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fiscal year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left"/>
        <w:rPr/>
      </w:pPr>
      <w:r>
        <w:rPr>
          <w:rFonts w:ascii="Times New Roman;serif" w:hAnsi="Times New Roman;serif"/>
          <w:b w:val="false"/>
          <w:color w:val="000000"/>
          <w:sz w:val="20"/>
        </w:rPr>
        <w:t>For the transition period from</w:t>
      </w:r>
      <w:r>
        <w:rPr>
          <w:color w:val="000000"/>
          <w:u w:val="single"/>
        </w:rPr>
        <w:t xml:space="preserve">                     </w:t>
      </w:r>
      <w:r>
        <w:rPr>
          <w:rFonts w:ascii="Times New Roman;serif" w:hAnsi="Times New Roman;serif"/>
          <w:b w:val="false"/>
          <w:color w:val="000000"/>
          <w:sz w:val="20"/>
        </w:rPr>
        <w:t>to</w:t>
      </w:r>
      <w:r>
        <w:rPr>
          <w:color w:val="000000"/>
          <w:u w:val="single"/>
        </w:rPr>
        <w:t xml:space="preserve">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Commission file number 001-14989 </w:t>
      </w:r>
    </w:p>
    <w:p>
      <w:pPr>
        <w:pStyle w:val="TextBody"/>
        <w:bidi w:val="0"/>
        <w:spacing w:lineRule="auto" w:line="288" w:before="180" w:after="283"/>
        <w:jc w:val="center"/>
        <w:rPr>
          <w:rFonts w:ascii="Times New Roman;serif" w:hAnsi="Times New Roman;serif"/>
          <w:b/>
          <w:color w:val="000000"/>
          <w:sz w:val="40"/>
        </w:rPr>
      </w:pPr>
      <w:r>
        <w:rPr>
          <w:rFonts w:ascii="Times New Roman;serif" w:hAnsi="Times New Roman;serif"/>
          <w:b/>
          <w:color w:val="000000"/>
          <w:sz w:val="40"/>
        </w:rPr>
        <w:t xml:space="preserve">WESCO International,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704" w:type="dxa"/>
        <w:jc w:val="center"/>
        <w:tblInd w:w="0" w:type="dxa"/>
        <w:tblLayout w:type="fixed"/>
        <w:tblCellMar>
          <w:top w:w="28" w:type="dxa"/>
          <w:left w:w="28" w:type="dxa"/>
          <w:bottom w:w="28" w:type="dxa"/>
          <w:right w:w="28" w:type="dxa"/>
        </w:tblCellMar>
      </w:tblPr>
      <w:tblGrid>
        <w:gridCol w:w="538"/>
        <w:gridCol w:w="474"/>
        <w:gridCol w:w="474"/>
        <w:gridCol w:w="474"/>
        <w:gridCol w:w="474"/>
        <w:gridCol w:w="488"/>
        <w:gridCol w:w="109"/>
        <w:gridCol w:w="109"/>
        <w:gridCol w:w="109"/>
        <w:gridCol w:w="424"/>
        <w:gridCol w:w="424"/>
        <w:gridCol w:w="607"/>
      </w:tblGrid>
      <w:tr>
        <w:trPr/>
        <w:tc>
          <w:tcPr>
            <w:tcW w:w="5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25-1723342</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225 West Station Square Drive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15219</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Pittsburgh,</w:t>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(412) 454-2200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06" w:type="dxa"/>
        <w:jc w:val="center"/>
        <w:tblInd w:w="0" w:type="dxa"/>
        <w:tblLayout w:type="fixed"/>
        <w:tblCellMar>
          <w:top w:w="28" w:type="dxa"/>
          <w:left w:w="28" w:type="dxa"/>
          <w:bottom w:w="28" w:type="dxa"/>
          <w:right w:w="28" w:type="dxa"/>
        </w:tblCellMar>
      </w:tblPr>
      <w:tblGrid>
        <w:gridCol w:w="1090"/>
        <w:gridCol w:w="959"/>
        <w:gridCol w:w="965"/>
        <w:gridCol w:w="109"/>
        <w:gridCol w:w="109"/>
        <w:gridCol w:w="109"/>
        <w:gridCol w:w="519"/>
        <w:gridCol w:w="519"/>
        <w:gridCol w:w="521"/>
        <w:gridCol w:w="109"/>
        <w:gridCol w:w="109"/>
        <w:gridCol w:w="109"/>
        <w:gridCol w:w="1019"/>
        <w:gridCol w:w="1019"/>
        <w:gridCol w:w="1441"/>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100" w:after="283"/>
        <w:jc w:val="center"/>
        <w:rPr/>
      </w:pPr>
      <w:r>
        <w:rPr/>
      </w:r>
    </w:p>
    <w:p>
      <w:pPr>
        <w:pStyle w:val="TextBody"/>
        <w:bidi w:val="0"/>
        <w:spacing w:lineRule="auto" w:line="288" w:before="0" w:after="0"/>
        <w:jc w:val="center"/>
        <w:rPr/>
      </w:pPr>
      <w:r>
        <w:rPr>
          <w:rFonts w:ascii="Times New Roman;serif" w:hAnsi="Times New Roman;serif"/>
          <w:b/>
          <w:color w:val="000000"/>
          <w:sz w:val="18"/>
        </w:rPr>
        <w:t>SECURITIES REGISTERED PURSUANT TO SECTION 12(g) OF THE ACT:</w:t>
      </w:r>
      <w:r>
        <w:rPr>
          <w:color w:val="000000"/>
        </w:rPr>
        <w:t xml:space="preserve"> </w:t>
      </w:r>
      <w:r>
        <w:rPr>
          <w:rFonts w:ascii="Times New Roman;serif" w:hAnsi="Times New Roman;serif"/>
          <w:b w:val="false"/>
          <w:color w:val="000000"/>
          <w:sz w:val="18"/>
        </w:rPr>
        <w:t>None</w:t>
      </w:r>
    </w:p>
    <w:p>
      <w:pPr>
        <w:pStyle w:val="TextBody"/>
        <w:bidi w:val="0"/>
        <w:spacing w:lineRule="auto" w:line="288" w:before="120" w:after="283"/>
        <w:ind w:left="0" w:right="0" w:firstLine="315"/>
        <w:jc w:val="left"/>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315"/>
        <w:jc w:val="left"/>
        <w:rPr/>
      </w:pPr>
      <w:r>
        <w:rPr>
          <w:rFonts w:ascii="Times New Roman;serif" w:hAnsi="Times New Roman;serif"/>
          <w:b w:val="false"/>
          <w:color w:val="000000"/>
          <w:sz w:val="18"/>
        </w:rPr>
        <w:t xml:space="preserve">Indicate by check mark if the registrant is not required to file reports pursuant to Section 13 or 15(d) of the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283"/>
        <w:ind w:left="0" w:right="0" w:firstLine="315"/>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76" w:before="120" w:after="283"/>
        <w:ind w:left="0" w:right="0" w:firstLine="31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w:t>
      </w:r>
      <w:r>
        <w:rPr>
          <w:rFonts w:ascii="Times New Roman;serif" w:hAnsi="Times New Roman;serif"/>
          <w:b w:val="false"/>
          <w:color w:val="000000"/>
          <w:sz w:val="20"/>
        </w:rPr>
        <w:t xml:space="preserve">§ </w:t>
      </w:r>
      <w:r>
        <w:rPr>
          <w:rFonts w:ascii="Times New Roman;serif" w:hAnsi="Times New Roman;serif"/>
          <w:b w:val="false"/>
          <w:color w:val="000000"/>
          <w:sz w:val="18"/>
        </w:rPr>
        <w:t xml:space="preserve">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31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0" w:type="dxa"/>
        <w:jc w:val="center"/>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109"/>
        <w:gridCol w:w="109"/>
        <w:gridCol w:w="109"/>
        <w:gridCol w:w="679"/>
        <w:gridCol w:w="679"/>
        <w:gridCol w:w="68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15"/>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60" w:after="283"/>
        <w:ind w:left="0" w:right="0" w:firstLine="315"/>
        <w:jc w:val="left"/>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ind w:left="0" w:right="0" w:firstLine="315"/>
        <w:jc w:val="left"/>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315"/>
        <w:jc w:val="left"/>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60" w:after="283"/>
        <w:ind w:left="0" w:right="0" w:firstLine="315"/>
        <w:jc w:val="left"/>
        <w:rPr/>
      </w:pPr>
      <w:r>
        <w:rPr>
          <w:rFonts w:ascii="Times New Roman;serif" w:hAnsi="Times New Roman;serif"/>
          <w:b w:val="false"/>
          <w:color w:val="000000"/>
          <w:sz w:val="18"/>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60" w:after="283"/>
        <w:ind w:left="0" w:right="0" w:firstLine="315"/>
        <w:jc w:val="left"/>
        <w:rPr>
          <w:rFonts w:ascii="Times New Roman;serif" w:hAnsi="Times New Roman;serif"/>
          <w:b w:val="false"/>
          <w:color w:val="000000"/>
          <w:sz w:val="18"/>
        </w:rPr>
      </w:pPr>
      <w:r>
        <w:rPr>
          <w:rFonts w:ascii="Times New Roman;serif" w:hAnsi="Times New Roman;serif"/>
          <w:b w:val="false"/>
          <w:color w:val="000000"/>
          <w:sz w:val="18"/>
        </w:rPr>
        <w:t>The registrant estimates that the aggregate market value of the voting shares held by non-affiliates of the registrant was approximately $8.9 billion as of June 30, 2025, the last business day of the registrant’s most recently completed second fiscal quarter, based on the closing price on the New York Stock Exchange for such stock.</w:t>
      </w:r>
    </w:p>
    <w:p>
      <w:pPr>
        <w:pStyle w:val="TextBody"/>
        <w:bidi w:val="0"/>
        <w:spacing w:lineRule="auto" w:line="288" w:before="60" w:after="283"/>
        <w:ind w:left="0" w:right="0" w:firstLine="315"/>
        <w:jc w:val="left"/>
        <w:rPr>
          <w:rFonts w:ascii="Times New Roman;serif" w:hAnsi="Times New Roman;serif"/>
          <w:b w:val="false"/>
          <w:color w:val="000000"/>
          <w:sz w:val="18"/>
        </w:rPr>
      </w:pPr>
      <w:r>
        <w:rPr>
          <w:rFonts w:ascii="Times New Roman;serif" w:hAnsi="Times New Roman;serif"/>
          <w:b w:val="false"/>
          <w:color w:val="000000"/>
          <w:sz w:val="18"/>
        </w:rPr>
        <w:t>As of February 12, 2026, 48,661,915 shares of Common Stock, par value $.01 per share, of the registrant were outstanding.</w:t>
      </w:r>
    </w:p>
    <w:p>
      <w:pPr>
        <w:pStyle w:val="TextBody"/>
        <w:bidi w:val="0"/>
        <w:spacing w:before="60" w:after="283"/>
        <w:ind w:left="0" w:right="0" w:firstLine="315"/>
        <w:jc w:val="left"/>
        <w:rPr/>
      </w:pPr>
      <w:r>
        <w:rPr/>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Part III of this Form 10-K incorporates by reference portions of the registrant’s Proxy Statement for its 2026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04"/>
        <w:gridCol w:w="3063"/>
        <w:gridCol w:w="3125"/>
        <w:gridCol w:w="149"/>
        <w:gridCol w:w="149"/>
        <w:gridCol w:w="215"/>
      </w:tblGrid>
      <w:tr>
        <w:trPr/>
        <w:tc>
          <w:tcPr>
            <w:tcW w:w="3504"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0">
              <w:r>
                <w:rPr>
                  <w:rStyle w:val="InternetLink"/>
                  <w:rFonts w:ascii="Times New Roman;serif" w:hAnsi="Times New Roman;serif"/>
                  <w:b/>
                  <w:color w:val="0000FF"/>
                  <w:sz w:val="20"/>
                  <w:u w:val="single"/>
                </w:rPr>
                <w:t>PART I</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3">
              <w:r>
                <w:rPr>
                  <w:rStyle w:val="InternetLink"/>
                  <w:rFonts w:ascii="Times New Roman;serif" w:hAnsi="Times New Roman;serif"/>
                  <w:b w:val="false"/>
                  <w:color w:val="0000FF"/>
                  <w:sz w:val="20"/>
                  <w:u w:val="single"/>
                </w:rPr>
                <w:t>Item 1. 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3">
              <w:r>
                <w:rPr>
                  <w:rStyle w:val="InternetLink"/>
                  <w:rFonts w:ascii="Times New Roman;serif" w:hAnsi="Times New Roman;serif"/>
                  <w:b w:val="false"/>
                  <w:color w:val="0000FF"/>
                  <w:sz w:val="20"/>
                  <w:u w:val="single"/>
                </w:rPr>
                <w:t>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6">
              <w:r>
                <w:rPr>
                  <w:rStyle w:val="InternetLink"/>
                  <w:rFonts w:ascii="Times New Roman;serif" w:hAnsi="Times New Roman;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6">
              <w:r>
                <w:rPr>
                  <w:rStyle w:val="InternetLink"/>
                  <w:rFonts w:ascii="Times New Roman;serif" w:hAnsi="Times New Roman;serif"/>
                  <w:b w:val="false"/>
                  <w:color w:val="0000FF"/>
                  <w:sz w:val="20"/>
                  <w:u w:val="single"/>
                </w:rPr>
                <w:t>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9">
              <w:r>
                <w:rPr>
                  <w:rStyle w:val="InternetLink"/>
                  <w:rFonts w:ascii="Times New Roman;serif" w:hAnsi="Times New Roman;serif"/>
                  <w:b w:val="false"/>
                  <w:color w:val="0000FF"/>
                  <w:sz w:val="20"/>
                  <w:u w:val="single"/>
                </w:rPr>
                <w:t>Item 1B. 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9">
              <w:r>
                <w:rPr>
                  <w:rStyle w:val="InternetLink"/>
                  <w:rFonts w:ascii="Times New Roman;serif" w:hAnsi="Times New Roman;serif"/>
                  <w:b w:val="false"/>
                  <w:color w:val="0000FF"/>
                  <w:sz w:val="20"/>
                  <w:u w:val="single"/>
                </w:rPr>
                <w:t>24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22">
              <w:r>
                <w:rPr>
                  <w:rStyle w:val="InternetLink"/>
                  <w:rFonts w:ascii="Times New Roman;serif" w:hAnsi="Times New Roman;serif"/>
                  <w:b w:val="false"/>
                  <w:color w:val="0000FF"/>
                  <w:sz w:val="20"/>
                  <w:u w:val="single"/>
                </w:rPr>
                <w:t>Item 1C. 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22">
              <w:r>
                <w:rPr>
                  <w:rStyle w:val="InternetLink"/>
                  <w:rFonts w:ascii="Times New Roman;serif" w:hAnsi="Times New Roman;serif"/>
                  <w:b w:val="false"/>
                  <w:color w:val="0000FF"/>
                  <w:sz w:val="20"/>
                  <w:u w:val="single"/>
                </w:rPr>
                <w:t>24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25">
              <w:r>
                <w:rPr>
                  <w:rStyle w:val="InternetLink"/>
                  <w:rFonts w:ascii="Times New Roman;serif" w:hAnsi="Times New Roman;serif"/>
                  <w:b w:val="false"/>
                  <w:color w:val="0000FF"/>
                  <w:sz w:val="20"/>
                  <w:u w:val="single"/>
                </w:rPr>
                <w:t>Item 2. 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25">
              <w:r>
                <w:rPr>
                  <w:rStyle w:val="InternetLink"/>
                  <w:rFonts w:ascii="Times New Roman;serif" w:hAnsi="Times New Roman;serif"/>
                  <w:b w:val="false"/>
                  <w:color w:val="0000FF"/>
                  <w:sz w:val="20"/>
                  <w:u w:val="single"/>
                </w:rPr>
                <w:t>25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28">
              <w:r>
                <w:rPr>
                  <w:rStyle w:val="InternetLink"/>
                  <w:rFonts w:ascii="Times New Roman;serif" w:hAnsi="Times New Roman;serif"/>
                  <w:b w:val="false"/>
                  <w:color w:val="0000FF"/>
                  <w:sz w:val="20"/>
                  <w:u w:val="single"/>
                </w:rPr>
                <w:t>Item 3.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28">
              <w:r>
                <w:rPr>
                  <w:rStyle w:val="InternetLink"/>
                  <w:rFonts w:ascii="Times New Roman;serif" w:hAnsi="Times New Roman;serif"/>
                  <w:b w:val="false"/>
                  <w:color w:val="0000FF"/>
                  <w:sz w:val="20"/>
                  <w:u w:val="single"/>
                </w:rPr>
                <w:t>26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31">
              <w:r>
                <w:rPr>
                  <w:rStyle w:val="InternetLink"/>
                  <w:rFonts w:ascii="Times New Roman;serif" w:hAnsi="Times New Roman;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31">
              <w:r>
                <w:rPr>
                  <w:rStyle w:val="InternetLink"/>
                  <w:rFonts w:ascii="Times New Roman;serif" w:hAnsi="Times New Roman;serif"/>
                  <w:b w:val="false"/>
                  <w:color w:val="0000FF"/>
                  <w:sz w:val="20"/>
                  <w:u w:val="single"/>
                </w:rPr>
                <w:t>26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34">
              <w:r>
                <w:rPr>
                  <w:rStyle w:val="InternetLink"/>
                  <w:rFonts w:ascii="Times New Roman;serif" w:hAnsi="Times New Roman;serif"/>
                  <w:b/>
                  <w:color w:val="0000FF"/>
                  <w:sz w:val="20"/>
                  <w:u w:val="single"/>
                </w:rPr>
                <w:t>PART II</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70e0c5eac544749808d0a156f25252d_37">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37">
              <w:r>
                <w:rPr>
                  <w:rStyle w:val="InternetLink"/>
                  <w:rFonts w:ascii="Times New Roman;serif" w:hAnsi="Times New Roman;serif"/>
                  <w:b w:val="false"/>
                  <w:color w:val="0000FF"/>
                  <w:sz w:val="20"/>
                  <w:u w:val="single"/>
                </w:rPr>
                <w:t>27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40">
              <w:r>
                <w:rPr>
                  <w:rStyle w:val="InternetLink"/>
                  <w:rFonts w:ascii="Times New Roman;serif" w:hAnsi="Times New Roman;serif"/>
                  <w:b w:val="false"/>
                  <w:color w:val="0000FF"/>
                  <w:sz w:val="20"/>
                  <w:u w:val="single"/>
                </w:rPr>
                <w:t>Item 6. [Reserved]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40">
              <w:r>
                <w:rPr>
                  <w:rStyle w:val="InternetLink"/>
                  <w:rFonts w:ascii="Times New Roman;serif" w:hAnsi="Times New Roman;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43">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43">
              <w:r>
                <w:rPr>
                  <w:rStyle w:val="InternetLink"/>
                  <w:rFonts w:ascii="Times New Roman;serif" w:hAnsi="Times New Roman;serif"/>
                  <w:b w:val="false"/>
                  <w:color w:val="0000FF"/>
                  <w:sz w:val="20"/>
                  <w:u w:val="single"/>
                </w:rPr>
                <w:t>29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55">
              <w:r>
                <w:rPr>
                  <w:rStyle w:val="InternetLink"/>
                  <w:rFonts w:ascii="Times New Roman;serif" w:hAnsi="Times New Roman;serif"/>
                  <w:b w:val="false"/>
                  <w:color w:val="0000FF"/>
                  <w:sz w:val="20"/>
                  <w:u w:val="single"/>
                </w:rPr>
                <w:t>Item 7A.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55">
              <w:r>
                <w:rPr>
                  <w:rStyle w:val="InternetLink"/>
                  <w:rFonts w:ascii="Times New Roman;serif" w:hAnsi="Times New Roman;serif"/>
                  <w:b w:val="false"/>
                  <w:color w:val="0000FF"/>
                  <w:sz w:val="20"/>
                  <w:u w:val="single"/>
                </w:rPr>
                <w:t>41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58">
              <w:r>
                <w:rPr>
                  <w:rStyle w:val="InternetLink"/>
                  <w:rFonts w:ascii="Times New Roman;serif" w:hAnsi="Times New Roman;serif"/>
                  <w:b w:val="false"/>
                  <w:color w:val="0000FF"/>
                  <w:sz w:val="20"/>
                  <w:u w:val="single"/>
                </w:rPr>
                <w:t>Item 8. 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58">
              <w:r>
                <w:rPr>
                  <w:rStyle w:val="InternetLink"/>
                  <w:rFonts w:ascii="Times New Roman;serif" w:hAnsi="Times New Roman;serif"/>
                  <w:b w:val="false"/>
                  <w:color w:val="0000FF"/>
                  <w:sz w:val="20"/>
                  <w:u w:val="single"/>
                </w:rPr>
                <w:t>43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30">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30">
              <w:r>
                <w:rPr>
                  <w:rStyle w:val="InternetLink"/>
                  <w:rFonts w:ascii="Times New Roman;serif" w:hAnsi="Times New Roman;serif"/>
                  <w:b w:val="false"/>
                  <w:color w:val="0000FF"/>
                  <w:sz w:val="20"/>
                  <w:u w:val="single"/>
                </w:rPr>
                <w:t>89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33">
              <w:r>
                <w:rPr>
                  <w:rStyle w:val="InternetLink"/>
                  <w:rFonts w:ascii="Times New Roman;serif" w:hAnsi="Times New Roman;serif"/>
                  <w:b w:val="false"/>
                  <w:color w:val="0000FF"/>
                  <w:sz w:val="20"/>
                  <w:u w:val="single"/>
                </w:rPr>
                <w:t>Item 9A.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33">
              <w:r>
                <w:rPr>
                  <w:rStyle w:val="InternetLink"/>
                  <w:rFonts w:ascii="Times New Roman;serif" w:hAnsi="Times New Roman;serif"/>
                  <w:b w:val="false"/>
                  <w:color w:val="0000FF"/>
                  <w:sz w:val="20"/>
                  <w:u w:val="single"/>
                </w:rPr>
                <w:t>89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36">
              <w:r>
                <w:rPr>
                  <w:rStyle w:val="InternetLink"/>
                  <w:rFonts w:ascii="Times New Roman;serif" w:hAnsi="Times New Roman;serif"/>
                  <w:b w:val="false"/>
                  <w:color w:val="0000FF"/>
                  <w:sz w:val="20"/>
                  <w:u w:val="single"/>
                </w:rPr>
                <w:t>Item 9B.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36">
              <w:r>
                <w:rPr>
                  <w:rStyle w:val="InternetLink"/>
                  <w:rFonts w:ascii="Times New Roman;serif" w:hAnsi="Times New Roman;serif"/>
                  <w:b w:val="false"/>
                  <w:color w:val="0000FF"/>
                  <w:sz w:val="20"/>
                  <w:u w:val="single"/>
                </w:rPr>
                <w:t>89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39">
              <w:r>
                <w:rPr>
                  <w:rStyle w:val="InternetLink"/>
                  <w:rFonts w:ascii="Times New Roman;serif" w:hAnsi="Times New Roman;serif"/>
                  <w:b w:val="false"/>
                  <w:color w:val="0000FF"/>
                  <w:sz w:val="20"/>
                  <w:u w:val="single"/>
                </w:rPr>
                <w:t>Item 9C. 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39">
              <w:r>
                <w:rPr>
                  <w:rStyle w:val="InternetLink"/>
                  <w:rFonts w:ascii="Times New Roman;serif" w:hAnsi="Times New Roman;serif"/>
                  <w:b w:val="false"/>
                  <w:color w:val="0000FF"/>
                  <w:sz w:val="20"/>
                  <w:u w:val="single"/>
                </w:rPr>
                <w:t>89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42">
              <w:r>
                <w:rPr>
                  <w:rStyle w:val="InternetLink"/>
                  <w:rFonts w:ascii="Times New Roman;serif" w:hAnsi="Times New Roman;serif"/>
                  <w:b/>
                  <w:color w:val="0000FF"/>
                  <w:sz w:val="20"/>
                  <w:u w:val="single"/>
                </w:rPr>
                <w:t>PART III</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45">
              <w:r>
                <w:rPr>
                  <w:rStyle w:val="InternetLink"/>
                  <w:rFonts w:ascii="Times New Roman;serif" w:hAnsi="Times New Roman;serif"/>
                  <w:b w:val="false"/>
                  <w:color w:val="0000FF"/>
                  <w:sz w:val="20"/>
                  <w:u w:val="single"/>
                </w:rPr>
                <w:t>Item 10. 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45">
              <w:r>
                <w:rPr>
                  <w:rStyle w:val="InternetLink"/>
                  <w:rFonts w:ascii="Times New Roman;serif" w:hAnsi="Times New Roman;serif"/>
                  <w:b w:val="false"/>
                  <w:color w:val="0000FF"/>
                  <w:sz w:val="20"/>
                  <w:u w:val="single"/>
                </w:rPr>
                <w:t>90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48">
              <w:r>
                <w:rPr>
                  <w:rStyle w:val="InternetLink"/>
                  <w:rFonts w:ascii="Times New Roman;serif" w:hAnsi="Times New Roman;serif"/>
                  <w:b w:val="false"/>
                  <w:color w:val="0000FF"/>
                  <w:sz w:val="20"/>
                  <w:u w:val="single"/>
                </w:rPr>
                <w:t>Item 11. 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48">
              <w:r>
                <w:rPr>
                  <w:rStyle w:val="InternetLink"/>
                  <w:rFonts w:ascii="Times New Roman;serif" w:hAnsi="Times New Roman;serif"/>
                  <w:b w:val="false"/>
                  <w:color w:val="0000FF"/>
                  <w:sz w:val="20"/>
                  <w:u w:val="single"/>
                </w:rPr>
                <w:t>90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51">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51">
              <w:r>
                <w:rPr>
                  <w:rStyle w:val="InternetLink"/>
                  <w:rFonts w:ascii="Times New Roman;serif" w:hAnsi="Times New Roman;serif"/>
                  <w:b w:val="false"/>
                  <w:color w:val="0000FF"/>
                  <w:sz w:val="20"/>
                  <w:u w:val="single"/>
                </w:rPr>
                <w:t>90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54">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54">
              <w:r>
                <w:rPr>
                  <w:rStyle w:val="InternetLink"/>
                  <w:rFonts w:ascii="Times New Roman;serif" w:hAnsi="Times New Roman;serif"/>
                  <w:b w:val="false"/>
                  <w:color w:val="0000FF"/>
                  <w:sz w:val="20"/>
                  <w:u w:val="single"/>
                </w:rPr>
                <w:t>90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57">
              <w:r>
                <w:rPr>
                  <w:rStyle w:val="InternetLink"/>
                  <w:rFonts w:ascii="Times New Roman;serif" w:hAnsi="Times New Roman;serif"/>
                  <w:b w:val="false"/>
                  <w:color w:val="0000FF"/>
                  <w:sz w:val="20"/>
                  <w:u w:val="single"/>
                </w:rPr>
                <w:t>Item 14. 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57">
              <w:r>
                <w:rPr>
                  <w:rStyle w:val="InternetLink"/>
                  <w:rFonts w:ascii="Times New Roman;serif" w:hAnsi="Times New Roman;serif"/>
                  <w:b w:val="false"/>
                  <w:color w:val="0000FF"/>
                  <w:sz w:val="20"/>
                  <w:u w:val="single"/>
                </w:rPr>
                <w:t>91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60">
              <w:r>
                <w:rPr>
                  <w:rStyle w:val="InternetLink"/>
                  <w:rFonts w:ascii="Times New Roman;serif" w:hAnsi="Times New Roman;serif"/>
                  <w:b/>
                  <w:color w:val="0000FF"/>
                  <w:sz w:val="20"/>
                  <w:u w:val="single"/>
                </w:rPr>
                <w:t>PART IV</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63">
              <w:r>
                <w:rPr>
                  <w:rStyle w:val="InternetLink"/>
                  <w:rFonts w:ascii="Times New Roman;serif" w:hAnsi="Times New Roman;serif"/>
                  <w:b w:val="false"/>
                  <w:color w:val="0000FF"/>
                  <w:sz w:val="20"/>
                  <w:u w:val="single"/>
                </w:rPr>
                <w:t>Item 15. Exhibits and Financial Statement Schedule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63">
              <w:r>
                <w:rPr>
                  <w:rStyle w:val="InternetLink"/>
                  <w:rFonts w:ascii="Times New Roman;serif" w:hAnsi="Times New Roman;serif"/>
                  <w:b w:val="false"/>
                  <w:color w:val="0000FF"/>
                  <w:sz w:val="20"/>
                  <w:u w:val="single"/>
                </w:rPr>
                <w:t>92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69">
              <w:r>
                <w:rPr>
                  <w:rStyle w:val="InternetLink"/>
                  <w:rFonts w:ascii="Times New Roman;serif" w:hAnsi="Times New Roman;serif"/>
                  <w:b w:val="false"/>
                  <w:color w:val="0000FF"/>
                  <w:sz w:val="20"/>
                  <w:u w:val="single"/>
                </w:rPr>
                <w:t>Item 16. 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69">
              <w:r>
                <w:rPr>
                  <w:rStyle w:val="InternetLink"/>
                  <w:rFonts w:ascii="Times New Roman;serif" w:hAnsi="Times New Roman;serif"/>
                  <w:b w:val="false"/>
                  <w:color w:val="0000FF"/>
                  <w:sz w:val="20"/>
                  <w:u w:val="single"/>
                </w:rPr>
                <w:t>99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172">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172">
              <w:r>
                <w:rPr>
                  <w:rStyle w:val="InternetLink"/>
                  <w:rFonts w:ascii="Times New Roman;serif" w:hAnsi="Times New Roman;serif"/>
                  <w:b w:val="false"/>
                  <w:color w:val="0000FF"/>
                  <w:sz w:val="20"/>
                  <w:u w:val="single"/>
                </w:rPr>
                <w:t>100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283"/>
        <w:ind w:left="0" w:right="0" w:firstLine="270"/>
        <w:jc w:val="both"/>
        <w:rPr/>
      </w:pPr>
      <w:r>
        <w:rPr>
          <w:rFonts w:ascii="Times New Roman;serif" w:hAnsi="Times New Roman;serif"/>
          <w:b w:val="false"/>
          <w:i/>
          <w:color w:val="000000"/>
          <w:sz w:val="20"/>
        </w:rPr>
        <w:t>In this Annual Report on</w:t>
      </w:r>
      <w:r>
        <w:rPr>
          <w:color w:val="000000"/>
        </w:rPr>
        <w:t xml:space="preserve"> </w:t>
      </w:r>
      <w:r>
        <w:rPr>
          <w:rFonts w:ascii="Times New Roman;serif" w:hAnsi="Times New Roman;serif"/>
          <w:b w:val="false"/>
          <w:i/>
          <w:color w:val="000000"/>
          <w:sz w:val="20"/>
        </w:rPr>
        <w:t>Form 10-K, “Wesco” refers to WESCO International, Inc., and its subsidiaries and its predecessors unless the context otherwise requires. References to “we,” “us,” “our” and the “Company” refer to Wesco and its subsidiaries.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International, Inc. (“Wesco International”) and its subsidiaries (collectively, “Wesco” or the “Company”), headquartered in Pittsburgh, Pennsylvania, is a leading provider of business-to-business distribution, logistics services and supply chain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employ approximately 21,000 people, maintain relationships with more than 35,000 suppliers, and serve nearly 130,000 customers worldwide. With millions of products, end-to-end supply chain services and significant digital capabilities, Wesco provides innovative solutions to meet customer needs across commercial and industrial businesses,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Wesco operates more than 700 sites, including distribution centers, fulfillment centers and sales offices in approximately 50 countries, providing a local presence for customers and a global network to serve multi-location businesses and global corporations.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Segments and Industry Overview</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has operating segments comprising three strategic business units consisting of Electrical &amp; Electronic Solutions (“EES”), Communications &amp; Security Solutions (“CSS”) and Utility &amp; Broadband Solutions (“UBS”).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each of our business segments and the industries in which they operate.</w:t>
      </w:r>
    </w:p>
    <w:p>
      <w:pPr>
        <w:pStyle w:val="TextBody"/>
        <w:bidi w:val="0"/>
        <w:spacing w:lineRule="auto" w:line="288" w:before="120" w:after="283"/>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Electrical &amp; Electronic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EES segment, serving customers in over 50 countries, is a North American leader, and supplies a broad range of products and solutions primarily to construction, industrial and original equipment manufacturer (“OEM”) customers. Construction and industrial customers include a wide array of diversified manufacturers and contractors, engineering, procurement and construction firms for industrial, infrastructure, electrical, commercial, and data and broadband communications projects. Specific applications include projects for data centers, hospitals, public transit, waste water treatment facilities, EV charging stations, and renewable and solar power plants. OEM customers require products used in the manufacturing of automotive, industrial, medical, transportation, marine, military and communications equipment. The EES product portfolio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solutions to improve project execution, direct and indirect manufacturing supply chain optimization programs, lighting and renewables advisory services, and digital and automation solutions to improve safety and productivity. The EES segment operates in highly fragmented markets that include thousands of small, regional and locally based privately owned competitors, as well as several large, multi-national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Communications &amp; Security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CSS segment, serving customers in over 50 countries, is a global leader in data center, network infrastructure and security solutions. For data centers, the CSS business leverages the complementary expertise and resources of the UBS and EES business units to deliver an integrated offering, combining various Wesco products and services, with specialized capabilities across all stages of data center design, development, operations, maintenance, and support. Its network infrastructure portfolio includes cabling and connectivity, power systems, wireless technologies, connected devices (IoT), and related products to enable seamless connectivity and communications in commercial buildings, hyperscale data centers, multi-tenant data centers, and cloud-based platforms. In the security business, CSS offers on-premise, cloud or hybrid comprehensive solutions for video surveillance, fire and intrusion detection, access control, door locking, and other technologies that help create safe and intelligent environments for customers. The data center, network infrastructure, and security businesses are large and diverse, encompassing sectors such as technology, finance, telecommunications, transportation, education, government, healthcare, and retail. CSS sells directly to end-users or through an extensive network of channel partners, including data communications contractors, security and network integrators, professional audio/visual integrators, and systems integrators. CSS also provides a wide range of professional A/V, safety, facilities, and energy management solutions. The full CSS product portfolio is frequently coupled with services designed to enhance efficiency and productivity across all customer segments globally. These services include data center services, advisory, installation enhancement, project deployment, supply chain solutions, and management platforms.</w:t>
      </w:r>
    </w:p>
    <w:p>
      <w:pPr>
        <w:pStyle w:val="TextBody"/>
        <w:bidi w:val="0"/>
        <w:spacing w:lineRule="auto" w:line="288" w:before="120" w:after="283"/>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Utility &amp; Broadband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UBS segment is a leader in North America, serving customers primarily in the U.S. and Canada, and provides products and services to investor owned utilities, electric power cooperatives and municipalities, as well as global service providers, wireless providers, broadband operators and the contractors that service these customers. Investor owned utility companies provide a combination of electric generation, transmission and/or distribution and are owned by investors or shareholders. Public power entities are generally non-profit entities owned by their members or governed by local, state, or municipal governments. These two businesses comprise the vast majority of our utility customers in the U.S. and Canada. The products sold include wire and cable, transformers, transmission and distribution hardware, switches, protective devices, connectors, lighting, conduit, fiber and power cable, connectivity products, pole line hardware, racks, cabinets, safety and MRO products, and point-to-point wireless devices. UBS also offers a complete set of service solutions including fiber project management, high and medium voltage project design and support, pre-wired meters and capacitor banks, meter testing and advanced metering infrastructure installation, personal protective equipment, dielectric testing, tool repair, emergency response management, storage yard management, materials management, and logistics management to improve customer supply chain efficiencies.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information concerning the financial results of our business segments, as well as our domestic and foreign operations, see Note 16, “Business Segments” in the Notes to Consolidated Financial Statements.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before="240" w:after="283"/>
        <w:jc w:val="center"/>
        <w:rPr/>
      </w:pPr>
      <w:r>
        <w:rPr/>
        <w:drawing>
          <wp:inline distT="0" distB="0" distL="0" distR="0">
            <wp:extent cx="6515100" cy="27146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515100" cy="2714625"/>
                    </a:xfrm>
                    <a:prstGeom prst="rect">
                      <a:avLst/>
                    </a:prstGeom>
                  </pic:spPr>
                </pic:pic>
              </a:graphicData>
            </a:graphic>
          </wp:inline>
        </w:drawing>
      </w:r>
      <w:bookmarkStart w:id="0" w:name="i-1"/>
      <w:bookmarkEnd w:id="0"/>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Wesco’s vision is to be the best tech-enabled supply chain solutions provider in the world. We believe that accomplishing this vision depends on the successful execution of our strategy, which comprises three elements:</w:t>
      </w:r>
    </w:p>
    <w:p>
      <w:pPr>
        <w:pStyle w:val="TextBody"/>
        <w:bidi w:val="0"/>
        <w:spacing w:lineRule="auto" w:line="288" w:before="120" w:after="283"/>
        <w:ind w:left="0" w:right="0" w:firstLine="270"/>
        <w:jc w:val="both"/>
        <w:rPr/>
      </w:pPr>
      <w:r>
        <w:rPr>
          <w:rFonts w:ascii="Times New Roman;serif" w:hAnsi="Times New Roman;serif"/>
          <w:b/>
          <w:color w:val="000000"/>
          <w:sz w:val="20"/>
        </w:rPr>
        <w:t>Extend Our Leading Scale and Value Proposition:</w:t>
      </w:r>
      <w:r>
        <w:rPr>
          <w:color w:val="000000"/>
        </w:rPr>
        <w:t xml:space="preserve"> </w:t>
      </w:r>
      <w:r>
        <w:rPr>
          <w:rFonts w:ascii="Times New Roman;serif" w:hAnsi="Times New Roman;serif"/>
          <w:b w:val="false"/>
          <w:color w:val="000000"/>
          <w:sz w:val="20"/>
        </w:rPr>
        <w:t>Our long-term growth potential benefits from secular trends of digitalization, including AI-driven data centers and automation; electrification, including increased power generation and reliability; and supply chain resiliency, including reshoring. Our broad portfolio of product and service offerings, as well as our global footprint and capabilities, enable us to provide value to our customers.</w:t>
      </w:r>
    </w:p>
    <w:p>
      <w:pPr>
        <w:pStyle w:val="TextBody"/>
        <w:bidi w:val="0"/>
        <w:spacing w:lineRule="auto" w:line="288" w:before="120" w:after="283"/>
        <w:ind w:left="0" w:right="0" w:firstLine="270"/>
        <w:jc w:val="both"/>
        <w:rPr/>
      </w:pPr>
      <w:r>
        <w:rPr>
          <w:rFonts w:ascii="Times New Roman;serif" w:hAnsi="Times New Roman;serif"/>
          <w:b/>
          <w:color w:val="000000"/>
          <w:sz w:val="20"/>
        </w:rPr>
        <w:t>Further Develop the Organization and Our Culture of Excellence:</w:t>
      </w:r>
      <w:r>
        <w:rPr>
          <w:color w:val="000000"/>
        </w:rPr>
        <w:t xml:space="preserve"> </w:t>
      </w:r>
      <w:r>
        <w:rPr>
          <w:rFonts w:ascii="Times New Roman;serif" w:hAnsi="Times New Roman;serif"/>
          <w:b w:val="false"/>
          <w:color w:val="000000"/>
          <w:sz w:val="20"/>
        </w:rPr>
        <w:t>Wesco’s five core values are foundational to everything we do: Our people are our greatest asset, One team, Always strive to be the best, Innovation, and Winning with customers and suppliers. Safety remains a priority and a company-wide responsibility at Wesco. Our goal is to provide a safe work environment for our employees and all those who visit our facilities. Our education and awareness campaigns for employees include training for our fulfillment and distribution centers, enhanced reporting and investigative tools, and reinforced processes at the local site level. Additionally, our commitment to continuous improvement is a hallmark of our business, and we do so by deploying Lean business practices and Agile methodologies. Wesco continues to enhance its approach to Environmental, Social, and Governance (“ESG”) matters, including integrating sustainability into our corporate strategy and expanding our employee training and leadership development programming.</w:t>
      </w:r>
    </w:p>
    <w:p>
      <w:pPr>
        <w:pStyle w:val="TextBody"/>
        <w:bidi w:val="0"/>
        <w:spacing w:lineRule="auto" w:line="288" w:before="120" w:after="283"/>
        <w:ind w:left="0" w:right="0" w:firstLine="270"/>
        <w:jc w:val="both"/>
        <w:rPr/>
      </w:pPr>
      <w:r>
        <w:rPr>
          <w:rFonts w:ascii="Times New Roman;serif" w:hAnsi="Times New Roman;serif"/>
          <w:b/>
          <w:color w:val="000000"/>
          <w:sz w:val="20"/>
        </w:rPr>
        <w:t>Digitalize and Transform the Business:</w:t>
      </w:r>
      <w:r>
        <w:rPr>
          <w:color w:val="000000"/>
        </w:rPr>
        <w:t xml:space="preserve"> </w:t>
      </w:r>
      <w:r>
        <w:rPr>
          <w:rFonts w:ascii="Times New Roman;serif" w:hAnsi="Times New Roman;serif"/>
          <w:b w:val="false"/>
          <w:color w:val="000000"/>
          <w:sz w:val="20"/>
        </w:rPr>
        <w:t>Digitalization is a secular trend affecting the entire business-to-business distribution value chain. Wesco offers significant digital capabilities today and intends to lead the further digitalization of our industry in the years to come, making it easier to do business with Wesco, and increase the value of our data by providing unique insight into end-market and customer use of the products and services we offer. We are implementing digital tools to add value within the company and at both ends of the supply chain. We continue to make progress on our digital transformation journey. These digital capabilities are expected to improve efficiency and sales effectiveness of our business, and to enable us to create more value for our customers and supplier partners.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three elements of our strategy touch every aspect of our business, from how we add value to our supplier partners and how we go-to-market within our three strategic business units to how we drive efficiency across the organization. We believe that the successful execution of these strategies, combined with our comprehensive product and service offerings, will provide cost-effective and innovative end-to-end supply chain solutions for a diverse set of customers across our end markets. Due to our leadership position, scale, global reach, complete portfolio of products, extensive services and insights from our data, we expect to grow our sales over the long term at a faster rate than the overall industry.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a distribution and supply chain services company, our approach to sustainability is to reduce the environmental impacts of our own operations and assist our customers and suppliers with attaining their sustainability goals through the products and services we provide. We do this by designing and providing solutions to help them reduce greenhouse gas (“GHG”) emissions at their facilities and in their supply chains, improve productivity through automation and increase output more efficiently and effectively through digital tools and applications. We build on our own internal strategies for sustainability, while reinforcing our corporate responsibility. Our sustainability efforts are an integral part of our operations and core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a large base of nearly 130,000 active customers across commercial and industrial businesses, technology companies, telecommunications providers and utilities. Our top ten customers accounted for approximately 15% of our sales in 2025. No single customer accounted for more than 5% of our sales in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Suppliers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global network of distribution centers, fulfillment centers and sales offices provide customers with access to millions of products. Specific locations tailor their inventories to meet the needs of their customers, providing a local presence and a global network to service multi-location businesses and global corporations.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purchase products from a diverse group of more than 35,000 suppliers who are located predominantly in North America, but who manufacture products around the world. The main product categories we source are electrical distribution and controls, communications and security, wire, cable and conduit, lighting and sustainability, automation and motors, and general supplies. In 2025, our ten largest suppliers accounted for approximately 32% of our purchases. No single supplier accounted for more than 6% of our total purchases.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supplier relationships are important to us, providing access to a wide range of products, services, technical training, and sales and marketing support. We have commercial agreements with more than 450 preferred suppliers and approximately 68% of our purchases are made pursuant to these arrangements.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offer a wide range of sustainable products from the world’s leading manufacturers and help our customers determine solutions to meet their sustainability goals. Key categories include energy-efficient products, energy-management solutions, renewable energy products, sustainable MRO products and workplace safety products.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Services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customers’ challenges are constantly evolving and require comprehensive yet practical solutions. As part of our overall offerings, we provide a comprehensive portfolio of differentiated solutions designed to address our customers’ business needs, help drive efficiency, improve productivity, increase profitability, and mitigate risk. These include, among others: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Advisory services to help our partners and customers with advanced solutions that leverage the industry’s leading technologies, optimize supply chains, implement Lean practices, improve safety and digitally transform workplaces;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Installation enhancement services to adapt products and packaging in order to streamline processes and reduce the total cost of installation;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Project deployment services to help secure job site materials, prevent loss, improve efficiency, reduce job site waste, ensure day-to-day supplies are on hand and improve scalability across global deployments;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Supply chain management programs to improve productivity, reduce operating costs and increase operational efficiencies;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Digital products, services and e-business integrations to transform how our customers consume, deploy, and procure materials and technologies, supporting data-driven decisions and increased operational efficiency; and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Data center services and solutions to ensure the efficiency and reliability of facilities throughout every phase of the data center lifecycle from construction to operation.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seek to drive efficiency and profitability by providing innovative and customizable services that help our customers and partners work smarter. Positioned in the center of the value chain, we aggregate technologies and digital capabilities to help deliver deeper insights and new opportunities for our customers.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Strengths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Wesco’s mission is to help our customers build, connect, power and protect the world. We believe that our business possesses strengths that will enable us to achieve this mission. The environment in which we operate is highly fragmented and there is significant competition within each end market and geographic area that we serve. Customers look to product line breadth, product availability, service capabilities, geographic proximity and price. Our scale, broad portfolio of products, technical expertise, global reach with local relationships, smart, digital solutions, and comprehensive value-added services provide distinct advantages that benefit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ind w:left="0" w:right="0" w:firstLine="270"/>
        <w:jc w:val="both"/>
        <w:rPr/>
      </w:pPr>
      <w:r>
        <w:rPr>
          <w:rFonts w:ascii="Times New Roman;serif" w:hAnsi="Times New Roman;serif"/>
          <w:b/>
          <w:i/>
          <w:color w:val="000000"/>
          <w:sz w:val="20"/>
        </w:rPr>
        <w:t>Broad Portfolio of Products from Top Brands.</w:t>
      </w:r>
      <w:r>
        <w:rPr>
          <w:color w:val="000000"/>
        </w:rPr>
        <w:t xml:space="preserve"> </w:t>
      </w:r>
      <w:r>
        <w:rPr>
          <w:rFonts w:ascii="Times New Roman;serif" w:hAnsi="Times New Roman;serif"/>
          <w:b w:val="false"/>
          <w:color w:val="000000"/>
          <w:sz w:val="20"/>
        </w:rPr>
        <w:t>Our broad product portfolio enables us to offer comprehensive, end-to-end solutions in each of our three business units. We partner with the industries’ largest suppliers to deliver leading brands across every product category including automation/IoT, broadband, communications, electrical, electronics, energy, lighting, MRO, networking, renewables, safety, security, utility and wire and cable.</w:t>
      </w:r>
    </w:p>
    <w:p>
      <w:pPr>
        <w:pStyle w:val="TextBody"/>
        <w:bidi w:val="0"/>
        <w:spacing w:lineRule="auto" w:line="288" w:before="120" w:after="283"/>
        <w:ind w:left="0" w:right="0" w:firstLine="270"/>
        <w:jc w:val="both"/>
        <w:rPr/>
      </w:pPr>
      <w:r>
        <w:rPr>
          <w:rFonts w:ascii="Times New Roman;serif" w:hAnsi="Times New Roman;serif"/>
          <w:b/>
          <w:i/>
          <w:color w:val="000000"/>
          <w:sz w:val="20"/>
        </w:rPr>
        <w:t>Customized Solutions.</w:t>
      </w:r>
      <w:r>
        <w:rPr>
          <w:color w:val="000000"/>
        </w:rPr>
        <w:t xml:space="preserve"> </w:t>
      </w:r>
      <w:r>
        <w:rPr>
          <w:rFonts w:ascii="Times New Roman;serif" w:hAnsi="Times New Roman;serif"/>
          <w:b w:val="false"/>
          <w:color w:val="000000"/>
          <w:sz w:val="20"/>
        </w:rPr>
        <w:t>Our customers have unique business models, challenges and priorities. Our dedicated technical experts have extensive experience and product and services knowledge that enable them to provide solutions tailored to the various needs of our customers. With specialized industry knowledge and a focus on the leading technologies, we help design and deploy solutions that address critical business priorities.</w:t>
      </w:r>
    </w:p>
    <w:p>
      <w:pPr>
        <w:pStyle w:val="TextBody"/>
        <w:bidi w:val="0"/>
        <w:spacing w:lineRule="auto" w:line="288" w:before="120" w:after="283"/>
        <w:ind w:left="0" w:right="0" w:firstLine="270"/>
        <w:jc w:val="both"/>
        <w:rPr/>
      </w:pPr>
      <w:r>
        <w:rPr>
          <w:rFonts w:ascii="Times New Roman;serif" w:hAnsi="Times New Roman;serif"/>
          <w:b/>
          <w:i/>
          <w:color w:val="000000"/>
          <w:sz w:val="20"/>
        </w:rPr>
        <w:t>Uniquely Positioned to Benefit from Secular Trends</w:t>
      </w:r>
      <w:r>
        <w:rPr>
          <w:rFonts w:ascii="Times New Roman;serif" w:hAnsi="Times New Roman;serif"/>
          <w:b w:val="false"/>
          <w:color w:val="000000"/>
          <w:sz w:val="20"/>
        </w:rPr>
        <w:t>. Each of our business units is positioned to benefit from secular trends that are driving growth. These include digitalization, including AI-driven data centers and automation; electrification, including increased power generation and reliability; and supply chain resiliency, including reshoring.</w:t>
      </w:r>
    </w:p>
    <w:p>
      <w:pPr>
        <w:pStyle w:val="TextBody"/>
        <w:bidi w:val="0"/>
        <w:spacing w:lineRule="auto" w:line="288" w:before="120" w:after="283"/>
        <w:ind w:left="0" w:right="0" w:firstLine="270"/>
        <w:jc w:val="both"/>
        <w:rPr/>
      </w:pPr>
      <w:r>
        <w:rPr>
          <w:rFonts w:ascii="Times New Roman;serif" w:hAnsi="Times New Roman;serif"/>
          <w:b/>
          <w:i/>
          <w:color w:val="000000"/>
          <w:sz w:val="20"/>
        </w:rPr>
        <w:t>Ingenuity and Expertise.</w:t>
      </w:r>
      <w:r>
        <w:rPr>
          <w:color w:val="000000"/>
        </w:rPr>
        <w:t xml:space="preserve"> </w:t>
      </w:r>
      <w:r>
        <w:rPr>
          <w:rFonts w:ascii="Times New Roman;serif" w:hAnsi="Times New Roman;serif"/>
          <w:b w:val="false"/>
          <w:color w:val="000000"/>
          <w:sz w:val="20"/>
        </w:rPr>
        <w:t>Our teams are empowered with access to real-time information and tools that enable better decision-making and facilitate easier interaction with customers. Our sales, service and operational specialists bring a depth of industry experience spanning construction, manufacturing, electrical, renewables, lighting, communications, data centers, security, professional audio and visual equipment, utility, broadband and more.</w:t>
      </w:r>
    </w:p>
    <w:p>
      <w:pPr>
        <w:pStyle w:val="TextBody"/>
        <w:bidi w:val="0"/>
        <w:spacing w:lineRule="auto" w:line="288" w:before="120" w:after="283"/>
        <w:ind w:left="0" w:right="0" w:firstLine="270"/>
        <w:jc w:val="both"/>
        <w:rPr/>
      </w:pPr>
      <w:r>
        <w:rPr>
          <w:rFonts w:ascii="Times New Roman;serif" w:hAnsi="Times New Roman;serif"/>
          <w:b/>
          <w:i/>
          <w:color w:val="000000"/>
          <w:sz w:val="20"/>
        </w:rPr>
        <w:t>Innovative Digital Roadmap.</w:t>
      </w:r>
      <w:r>
        <w:rPr>
          <w:color w:val="000000"/>
        </w:rPr>
        <w:t xml:space="preserve"> </w:t>
      </w:r>
      <w:r>
        <w:rPr>
          <w:rFonts w:ascii="Times New Roman;serif" w:hAnsi="Times New Roman;serif"/>
          <w:b w:val="false"/>
          <w:color w:val="000000"/>
          <w:sz w:val="20"/>
        </w:rPr>
        <w:t>We are investing in digital tools and platforms to enable a new level of collaboration, agility and productivity. From adaptable omni-channel e-commerce tools and platforms, to connected buildings and facility management, we are a supply chain partner that addresses our customers’ digital needs and drives operational excellence.</w:t>
      </w:r>
    </w:p>
    <w:p>
      <w:pPr>
        <w:pStyle w:val="TextBody"/>
        <w:bidi w:val="0"/>
        <w:spacing w:lineRule="auto" w:line="288" w:before="120" w:after="283"/>
        <w:ind w:left="0" w:right="0" w:firstLine="270"/>
        <w:jc w:val="both"/>
        <w:rPr/>
      </w:pPr>
      <w:r>
        <w:rPr>
          <w:rFonts w:ascii="Times New Roman;serif" w:hAnsi="Times New Roman;serif"/>
          <w:b/>
          <w:i/>
          <w:color w:val="000000"/>
          <w:sz w:val="20"/>
        </w:rPr>
        <w:t>Global Reach with Local Expertise.</w:t>
      </w:r>
      <w:r>
        <w:rPr>
          <w:color w:val="000000"/>
        </w:rPr>
        <w:t xml:space="preserve"> </w:t>
      </w:r>
      <w:r>
        <w:rPr>
          <w:rFonts w:ascii="Times New Roman;serif" w:hAnsi="Times New Roman;serif"/>
          <w:b w:val="false"/>
          <w:color w:val="000000"/>
          <w:sz w:val="20"/>
        </w:rPr>
        <w:t>Our international operations and global sourcing capabilities enable us to service our customers around the world. Wesco has more than 700 sites, including distribution centers, fulfillment centers and sales offices, with operations in approximately 50 countries. Our global distribution network includes facilities that operate as large distribution centers or fulfillment centers in key geographic areas in North America, Europe, South America and the Asia Pacific region. These facilities add value for our customers and suppliers through the combination of inventory selection, online ordering, shipment capabilities, and order handling and fulfillment. Our global network allows us to enhance local customer service by tailoring individual site products and services to local customer needs.</w:t>
      </w:r>
    </w:p>
    <w:p>
      <w:pPr>
        <w:pStyle w:val="TextBody"/>
        <w:bidi w:val="0"/>
        <w:spacing w:lineRule="auto" w:line="288" w:before="120" w:after="283"/>
        <w:ind w:left="0" w:right="0" w:firstLine="270"/>
        <w:jc w:val="both"/>
        <w:rPr/>
      </w:pPr>
      <w:r>
        <w:rPr>
          <w:rFonts w:ascii="Times New Roman;serif" w:hAnsi="Times New Roman;serif"/>
          <w:b/>
          <w:i/>
          <w:color w:val="000000"/>
          <w:sz w:val="20"/>
        </w:rPr>
        <w:t>Smart, Digital Solutions.</w:t>
      </w:r>
      <w:r>
        <w:rPr>
          <w:color w:val="000000"/>
        </w:rPr>
        <w:t xml:space="preserve"> </w:t>
      </w:r>
      <w:r>
        <w:rPr>
          <w:rFonts w:ascii="Times New Roman;serif" w:hAnsi="Times New Roman;serif"/>
          <w:b w:val="false"/>
          <w:color w:val="000000"/>
          <w:sz w:val="20"/>
        </w:rPr>
        <w:t>Our work with technology companies brings capabilities in digital and information-based solutions. These solutions include global e-commerce platforms, vendor managed inventory, point of use systems, last mile optimization, supply chain engineering and intelligent automation. Our recent acquisitions further extend our end-to-end service offerings and digital solutions for our customers. From enterprise-wide connectivity to real-time analytics and reporting, our digital ecosystem supports our customers’ business needs.</w:t>
      </w:r>
    </w:p>
    <w:p>
      <w:pPr>
        <w:pStyle w:val="TextBody"/>
        <w:bidi w:val="0"/>
        <w:spacing w:lineRule="auto" w:line="288" w:before="120" w:after="283"/>
        <w:ind w:left="0" w:right="0" w:firstLine="270"/>
        <w:jc w:val="both"/>
        <w:rPr/>
      </w:pPr>
      <w:r>
        <w:rPr>
          <w:rFonts w:ascii="Times New Roman;serif" w:hAnsi="Times New Roman;serif"/>
          <w:b/>
          <w:i/>
          <w:color w:val="000000"/>
          <w:sz w:val="20"/>
        </w:rPr>
        <w:t>Comprehensive Value-Added Services.</w:t>
      </w:r>
      <w:r>
        <w:rPr>
          <w:color w:val="000000"/>
        </w:rPr>
        <w:t xml:space="preserve"> </w:t>
      </w:r>
      <w:r>
        <w:rPr>
          <w:rFonts w:ascii="Times New Roman;serif" w:hAnsi="Times New Roman;serif"/>
          <w:b w:val="false"/>
          <w:color w:val="000000"/>
          <w:sz w:val="20"/>
        </w:rPr>
        <w:t>We provide a wide range of value-added services, which draw on our product knowledge and logistics expertise, to help our customers save time, improve productivity, mitigate risk and increase profitability. Our broad service offering includes installation enhancement, materials management, kitting and labeling, extensive MRO solutions, onsite job trailer solutions, end-to-end supply chain management and project management/execution across the project lifecycle.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Geography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sell to global customers through our network of distribution centers, fulfillment centers and sales offices consisting of 427 locations in the U.S., 144 in Canada, 49 in the Asia Pacific region, which includes Australia, 48 in Europe and the Middle East, and 45 in Central America, the Caribbean and South America. This includes 63 facilities that operate as large distribution centers or large fulfillment centers in key geographic areas, of which 49 are located in the U.S., eight in Canada, three in Europe, two in South America and one in Australia.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Wesco, our people and our high-performance culture are our greatest assets. We are committed to continuous improvement and leveraging our talented workforce in pursuing Wesco’s vision to be the best tech-enabled supply chain solutions provider in the world. We also believe that our employees should be treated with dignity and respect. Our Human Rights Policy promotes safety in the workplace, training, disabled employee accommodations, and freedom of association and collective bargaining. It prohibits discrimination, harassment, and child and forced labor. It also provides guidance on appropriate working hours, wages and benefits, and safe and healthy workplace conditions.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Wesco had approximately 21,000 full-time employees worldwide, with more than 13,000 in the U.S. and more than 7,000 in international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ind w:left="0" w:right="0" w:firstLine="270"/>
        <w:jc w:val="both"/>
        <w:rPr/>
      </w:pPr>
      <w:r>
        <w:rPr>
          <w:rFonts w:ascii="Times New Roman;serif" w:hAnsi="Times New Roman;serif"/>
          <w:b/>
          <w:i/>
          <w:color w:val="000000"/>
          <w:sz w:val="20"/>
        </w:rPr>
        <w:t xml:space="preserve">Safety. </w:t>
      </w:r>
      <w:r>
        <w:rPr>
          <w:rFonts w:ascii="Times New Roman;serif" w:hAnsi="Times New Roman;serif"/>
          <w:b w:val="false"/>
          <w:color w:val="000000"/>
          <w:sz w:val="20"/>
        </w:rPr>
        <w:t>Safety is the first tenet of our core value of commitment to our people and we do not tolerate violations of established safety protocol. We work to reduce or eliminate health and safety risks through dedicated preventative and reactionary programs, leadership commitment, and employee best practice sharing and training. We seek to achieve continuous improvement in the safety of our facilities and track a series of metrics that provide guidance toward that improvement.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Global Corporate Safety team oversees our health and safety program, which covers the core processes and procedures for health and safety management, safe work practices, and regulatory compliance. Our health and safety program considers elements of the ISO-45001 guidelines and standards. The key components of our health and safety program are management and supervisory responsibilities, employee responsibilities, incident investigation processes, reporting of safety concerns, safety committee systems, new employee orientation, enforcement procedure, and regulatory compliance. We have set a goal to achieve a 15% reduction in the total recordable injury rate (“TRIR”) from a 2020 baseline by 2030.</w:t>
      </w:r>
    </w:p>
    <w:p>
      <w:pPr>
        <w:pStyle w:val="TextBody"/>
        <w:bidi w:val="0"/>
        <w:spacing w:lineRule="auto" w:line="288" w:before="120" w:after="283"/>
        <w:ind w:left="0" w:right="0" w:firstLine="270"/>
        <w:jc w:val="both"/>
        <w:rPr/>
      </w:pPr>
      <w:r>
        <w:rPr>
          <w:rFonts w:ascii="Times New Roman;serif" w:hAnsi="Times New Roman;serif"/>
          <w:b/>
          <w:i/>
          <w:color w:val="000000"/>
          <w:sz w:val="20"/>
        </w:rPr>
        <w:t xml:space="preserve">Training and Development. </w:t>
      </w:r>
      <w:r>
        <w:rPr>
          <w:rFonts w:ascii="Times New Roman;serif" w:hAnsi="Times New Roman;serif"/>
          <w:b w:val="false"/>
          <w:color w:val="000000"/>
          <w:sz w:val="20"/>
        </w:rPr>
        <w:t>Wesco offers certification and training programs, some of which are required for all employees while others are voluntary or based on job role. Employees also have access to external training resources. Our learning and development function is comprised of seasoned talent that is continuously improving our process and enhancing our learning technology. This enables us to execute our learning strategy of providing employees with the knowledge, skills, and experiences they need to be effective and productive. We align our learning and development priorities to Wesco’s strategic business goals and initiatives. We offer a tuition reimbursement program to eligible employees to encourage the pursuit of undergraduate and graduate education to prepare employees for expanded roles in our business.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sales and operations development training program has been in place for more than ten years. The program is designed to systematically train and develop new college graduates through on-the-job rotations and cohort learning and development during the first year of employment. Graduates of the program move into various sales and operations roles after completing the one-year program. Additionally, we have a function-specific development program for recent college graduates seeking a career in IT, finance, or supply chain that provides members with eligibility for roles with increasing responsibilities commensurate with their career development goals. Individuals in this program have the opportunity to accelerate the development of their business and technical skills through three 8-month job rotations. We also sponsor a summer internship program to provide college students with work experience within staff or business functions and give them the opportunity to evaluate different career fields.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developed a collective approach to deliver personalized, successive development aligned with enterprise needs, known as “Leadership Essentials.” Leadership Essentials consists of separate programs curated for managers that are new to leading people or leaders of teams. The programs include personalized development journeys which are aligned to both the individual’s and the Company’s needs. Wesco also provides specific tools and resources to help leaders across the enterprise support ongoing transformational change.</w:t>
      </w:r>
    </w:p>
    <w:p>
      <w:pPr>
        <w:pStyle w:val="TextBody"/>
        <w:bidi w:val="0"/>
        <w:spacing w:lineRule="auto" w:line="288" w:before="120" w:after="283"/>
        <w:ind w:left="0" w:right="0" w:firstLine="270"/>
        <w:jc w:val="both"/>
        <w:rPr/>
      </w:pPr>
      <w:r>
        <w:rPr>
          <w:rFonts w:ascii="Times New Roman;serif" w:hAnsi="Times New Roman;serif"/>
          <w:b/>
          <w:i/>
          <w:color w:val="000000"/>
          <w:sz w:val="20"/>
        </w:rPr>
        <w:t xml:space="preserve">Inclusive and Respectful Workplace Culture. </w:t>
      </w:r>
      <w:r>
        <w:rPr>
          <w:rFonts w:ascii="Times New Roman;serif" w:hAnsi="Times New Roman;serif"/>
          <w:b w:val="false"/>
          <w:color w:val="000000"/>
          <w:sz w:val="20"/>
        </w:rPr>
        <w:t>We aim to foster a sense of individual and group belonging by 1) leveraging the unique experiences, backgrounds and perspectives of our talented workforce to support Wesco’s mission, 2) engaging employees and building an inclusive culture, 3) recruiting and developing talent from different backgrounds to bring new perspectives and thought processes to Wesco, and 4) supporting the communities in which we operate.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has six Business Resource Groups (“BRGs”) to support the following groups: women, BLIPOC (Black, Latino, Indigenous, and People of Color), LGBTQ+, people with diverse abilities, veterans of the armed forces, and our early-career employees. These BRGs foster a sense of community and inclusion and provide opportunities to network. The BRGs are global and open to all employees regardless of any aspect of their personal identity.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BRGs engage in various activities, such as: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Building an inclusive culture, positively impacting employee engagement and creating an open forum for the exchange of ideas;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Providing professional development opportunities for employees;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Identifying opportunities for adding value and growing Wesco’s business through community engagement;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Engaging with suppliers, customers and industry groups to share best practices, advance the industry, and drive business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ind w:left="0" w:right="0" w:firstLine="270"/>
        <w:jc w:val="both"/>
        <w:rPr/>
      </w:pPr>
      <w:r>
        <w:rPr>
          <w:rFonts w:ascii="Times New Roman;serif" w:hAnsi="Times New Roman;serif"/>
          <w:b/>
          <w:i/>
          <w:color w:val="000000"/>
          <w:sz w:val="20"/>
        </w:rPr>
        <w:t>Company Ethics.</w:t>
      </w:r>
      <w:r>
        <w:rPr>
          <w:color w:val="000000"/>
        </w:rPr>
        <w:t xml:space="preserve"> </w:t>
      </w:r>
      <w:r>
        <w:rPr>
          <w:rFonts w:ascii="Times New Roman;serif" w:hAnsi="Times New Roman;serif"/>
          <w:b w:val="false"/>
          <w:color w:val="000000"/>
          <w:sz w:val="20"/>
        </w:rPr>
        <w:t>We are firmly committed to operating with the highest level of ethics and integrity. This commitment is reflected in our Code of Business Conduct, which applies to our Directors, officers, employees and other parties when they are acting on behalf of Wesco. Annually, employees must acknowledge that they have received, read and will comply with the Code of Business Conduct. Our global Ethics and Compliance program provides employees with the tools they need to understand our expectations for ethical business conduct. It also provides an anonymous reporting channel for employees and outside parties to report issues of concern regarding workplace activities or business practices without fear of retaliation</w:t>
      </w:r>
      <w:r>
        <w:rPr>
          <w:rFonts w:ascii="Arial;sans-serif" w:hAnsi="Arial;sans-serif"/>
          <w:b w:val="false"/>
          <w:color w:val="000000"/>
          <w:sz w:val="20"/>
        </w:rPr>
        <w:t>.</w:t>
      </w:r>
    </w:p>
    <w:p>
      <w:pPr>
        <w:pStyle w:val="TextBody"/>
        <w:bidi w:val="0"/>
        <w:spacing w:lineRule="auto" w:line="288" w:before="120" w:after="283"/>
        <w:ind w:left="0" w:right="0" w:firstLine="270"/>
        <w:jc w:val="both"/>
        <w:rPr/>
      </w:pPr>
      <w:r>
        <w:rPr>
          <w:rFonts w:ascii="Times New Roman;serif" w:hAnsi="Times New Roman;serif"/>
          <w:b/>
          <w:i/>
          <w:color w:val="000000"/>
          <w:sz w:val="20"/>
        </w:rPr>
        <w:t xml:space="preserve">Compensation and Benefits Program. </w:t>
      </w:r>
      <w:r>
        <w:rPr>
          <w:rFonts w:ascii="Times New Roman;serif" w:hAnsi="Times New Roman;serif"/>
          <w:b w:val="false"/>
          <w:color w:val="000000"/>
          <w:sz w:val="20"/>
        </w:rPr>
        <w:t>Wesco provides competitive compensation and benefits packages in our locations around the globe. In the U.S., we provide a comprehensive benefits program that offers choices to fit our employees’ diverse needs including health and disability benefits, paid time off (including a self-managed time off policy, flexible work arrangements, and family leave options for certain eligible employees), life insurance, retirement programs, and access to other services that support health and wellness. To further improve the health of our employees, we offer a variety of activities and programs that assist our employees and their family members to better manage or overcome major well-being challenges, including an employee assistance program, wellness coaching, case/disease management and wellness discounts.</w:t>
      </w:r>
    </w:p>
    <w:p>
      <w:pPr>
        <w:pStyle w:val="TextBody"/>
        <w:bidi w:val="0"/>
        <w:spacing w:lineRule="auto" w:line="288" w:before="120" w:after="283"/>
        <w:ind w:left="0" w:right="0" w:firstLine="270"/>
        <w:jc w:val="both"/>
        <w:rPr/>
      </w:pPr>
      <w:r>
        <w:rPr>
          <w:rFonts w:ascii="Times New Roman;serif" w:hAnsi="Times New Roman;serif"/>
          <w:b/>
          <w:i/>
          <w:color w:val="000000"/>
          <w:sz w:val="20"/>
        </w:rPr>
        <w:t xml:space="preserve">Employee Engagement. </w:t>
      </w:r>
      <w:r>
        <w:rPr>
          <w:rFonts w:ascii="Times New Roman;serif" w:hAnsi="Times New Roman;serif"/>
          <w:b w:val="false"/>
          <w:color w:val="000000"/>
          <w:sz w:val="20"/>
        </w:rPr>
        <w:t>We believe that employee engagement is good for our people and our business through improved productivity, better customer service, and importantly, an increased focus on safety. Wesco regularly surveys employees to assess their engagement, as well as to solicit feedback and ideas on organizational changes, so senior management may more intelligently adjust to our employees’ evolving needs and support employee success. Wesco also promotes employee engagement through regular town hall discussions.</w:t>
      </w:r>
    </w:p>
    <w:p>
      <w:pPr>
        <w:pStyle w:val="TextBody"/>
        <w:bidi w:val="0"/>
        <w:spacing w:lineRule="auto" w:line="288" w:before="120" w:after="283"/>
        <w:ind w:left="0" w:right="0" w:firstLine="270"/>
        <w:jc w:val="both"/>
        <w:rPr/>
      </w:pPr>
      <w:r>
        <w:rPr>
          <w:rFonts w:ascii="Times New Roman;serif" w:hAnsi="Times New Roman;serif"/>
          <w:b/>
          <w:i/>
          <w:color w:val="000000"/>
          <w:sz w:val="20"/>
        </w:rPr>
        <w:t xml:space="preserve">Community. </w:t>
      </w:r>
      <w:r>
        <w:rPr>
          <w:rFonts w:ascii="Times New Roman;serif" w:hAnsi="Times New Roman;serif"/>
          <w:b w:val="false"/>
          <w:color w:val="000000"/>
          <w:sz w:val="20"/>
        </w:rPr>
        <w:t>Wesco has established relationships with several charitable organizations and encourages employees to volunteer in the community by organizing events and promoting a wide-range of options globally. Every employee is provided a full day of paid time off to volunteer in the community annually. By connecting with and contributing to local charitable organizations, Wesco supports the development of strong, vibrant and diverse communities. Wesco Cares is our corporate philanthropy program focused on affordable housing, humanitarian aid, and science, technology, engineering and mathematics education, and provides for corporate charitable donations, employee volunteerism, employee assistance grants and employee gift-matching. Employees are encouraged to volunteer in their communities by taking part in Wesco’s global annual day of caring.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Environmental Management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strive to continually improve our environmental management by establishing and working towards various sustainability objectives. We leverage our environmental management experience in our offerings of products and services to our customers. The foundation of our environmental management is our Sustainability and Environmental Compliance Policy, which aligns with key provisions of the ISO 14001:2015 environmental management standards. The policy outlines accountability for environmental sustainability, direct program responsibilities, key performance indicators and other metrics to track progress. We produce a Sustainability Report annually which is made public on our website. Refer to our Sustainability Report for updates on our sustainability efforts and goals. Information contained in the Sustainability Report is not part of, and should not be construed as being incorporated by reference into, this Annual Report on Form 10-K.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are working to reduce our environmental impact in the following areas: </w:t>
      </w:r>
    </w:p>
    <w:p>
      <w:pPr>
        <w:pStyle w:val="TextBody"/>
        <w:bidi w:val="0"/>
        <w:spacing w:lineRule="auto" w:line="288" w:before="120" w:after="283"/>
        <w:ind w:left="0" w:right="0" w:firstLine="270"/>
        <w:jc w:val="both"/>
        <w:rPr/>
      </w:pPr>
      <w:r>
        <w:rPr>
          <w:rFonts w:ascii="Times New Roman;serif" w:hAnsi="Times New Roman;serif"/>
          <w:b/>
          <w:i/>
          <w:color w:val="000000"/>
          <w:sz w:val="20"/>
        </w:rPr>
        <w:t>Energy.</w:t>
      </w:r>
      <w:r>
        <w:rPr>
          <w:color w:val="000000"/>
        </w:rPr>
        <w:t xml:space="preserve"> </w:t>
      </w:r>
      <w:r>
        <w:rPr>
          <w:rFonts w:ascii="Times New Roman;serif" w:hAnsi="Times New Roman;serif"/>
          <w:b w:val="false"/>
          <w:color w:val="000000"/>
          <w:sz w:val="20"/>
        </w:rPr>
        <w:t>The vast majority of the energy we use is for lighting, heating, and cooling our more than 700 sites, in approximately 50 countries around the world. Where practicable, we engage with the owners and agents of the buildings we lease to improve energy efficiency, and we include energy-efficiency requirements in new building leases. We have implemented lighting retrofit projects, conducted energy audits, and installed solar systems at certain facilities. Adding to our energy consumption is our North American fleet of approximately 3,300 vehicles for our distribution and sales activities. Our Fleet Efficiency Policy includes the use of fuel-efficient vehicles, determining the most efficient routes, and idling restrictions.</w:t>
      </w:r>
    </w:p>
    <w:p>
      <w:pPr>
        <w:pStyle w:val="TextBody"/>
        <w:bidi w:val="0"/>
        <w:spacing w:lineRule="auto" w:line="288" w:before="120" w:after="283"/>
        <w:ind w:left="0" w:right="0" w:firstLine="270"/>
        <w:jc w:val="both"/>
        <w:rPr/>
      </w:pPr>
      <w:r>
        <w:rPr>
          <w:rFonts w:ascii="Times New Roman;serif" w:hAnsi="Times New Roman;serif"/>
          <w:b/>
          <w:i/>
          <w:color w:val="000000"/>
          <w:sz w:val="20"/>
        </w:rPr>
        <w:t>Emissions.</w:t>
      </w:r>
      <w:r>
        <w:rPr>
          <w:color w:val="000000"/>
        </w:rPr>
        <w:t xml:space="preserve"> </w:t>
      </w:r>
      <w:r>
        <w:rPr>
          <w:rFonts w:ascii="Times New Roman;serif" w:hAnsi="Times New Roman;serif"/>
          <w:b w:val="false"/>
          <w:color w:val="000000"/>
          <w:sz w:val="20"/>
        </w:rPr>
        <w:t>Our main source of direct and indirect GHG emissions from our own activities is attributed to the electricity and natural gas used by our facilities, which accounts for approximately 70% of total emissions from our own activities. Our decarbonization strategy is focused on initiatives targeting these emissions sources, such as renewable energy, energy efficiency improvements, heating, ventilation and air conditioning upgrades and electrification. A secondary source of our GHG emissions is our fleet. We have implemented policies and technology to reduce the emissions impact of our fleet, which include evaluating alternative fuel sources, assessing the integration of hybrid and electric vehicle into our fleet, efficient route practices and idling restrictions. We also have emissions from employees commuting, corporate travel and the lifecycle impact of our landfilled waste. We have a goal to reduce absolute direct and certain indirect GHG emissions by 30% from a 2021 baseline by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ind w:left="0" w:right="0" w:firstLine="270"/>
        <w:jc w:val="both"/>
        <w:rPr/>
      </w:pPr>
      <w:r>
        <w:rPr>
          <w:rFonts w:ascii="Times New Roman;serif" w:hAnsi="Times New Roman;serif"/>
          <w:b/>
          <w:i/>
          <w:color w:val="000000"/>
          <w:sz w:val="20"/>
        </w:rPr>
        <w:t>Climate Impact.</w:t>
      </w:r>
      <w:r>
        <w:rPr>
          <w:color w:val="000000"/>
        </w:rPr>
        <w:t xml:space="preserve"> </w:t>
      </w:r>
      <w:r>
        <w:rPr>
          <w:rFonts w:ascii="Times New Roman;serif" w:hAnsi="Times New Roman;serif"/>
          <w:b w:val="false"/>
          <w:color w:val="000000"/>
          <w:sz w:val="20"/>
        </w:rPr>
        <w:t xml:space="preserve">Wesco aligns with the International Financial Reporting Standards S2 </w:t>
      </w:r>
      <w:r>
        <w:rPr>
          <w:rFonts w:ascii="Times New Roman;serif" w:hAnsi="Times New Roman;serif"/>
          <w:b w:val="false"/>
          <w:i/>
          <w:color w:val="000000"/>
          <w:sz w:val="20"/>
        </w:rPr>
        <w:t>Climate-related Disclosures</w:t>
      </w:r>
      <w:r>
        <w:rPr>
          <w:color w:val="000000"/>
        </w:rPr>
        <w:t xml:space="preserve"> </w:t>
      </w:r>
      <w:r>
        <w:rPr>
          <w:rFonts w:ascii="Times New Roman;serif" w:hAnsi="Times New Roman;serif"/>
          <w:b w:val="false"/>
          <w:color w:val="000000"/>
          <w:sz w:val="20"/>
        </w:rPr>
        <w:t>(“IFRS S2”), developed by the International Sustainability Standards Board (“ISSB”). IFRS S2 fully incorporates the recommendations of the now decommissioned Task Force on Climate-related Financial Disclosures (“TCFD”). We annually review environmental programs, policies, and data, including energy consumption and GHG emissions to identify and assess climate-related risks. The Board of Directors oversees the integration of ESG principles throughout our enterprise. This includes oversight of enterprise risk. Our Board of Directors receives regular updates and ongoing information on significant risks and risk mitigation plans. Our ESG management team also reports to the Board of Directors annually on the status of our ESG programs and progress on achieving sustainability goals. We have identified climate-related opportunities that include expanding our offering of energy-efficient and renewable energy products. We believe that Wesco is well positioned to expand our business in these energy efficiency and renewable energy technologies and projects.</w:t>
      </w:r>
    </w:p>
    <w:p>
      <w:pPr>
        <w:pStyle w:val="TextBody"/>
        <w:bidi w:val="0"/>
        <w:spacing w:lineRule="auto" w:line="288" w:before="120" w:after="283"/>
        <w:ind w:left="0" w:right="0" w:firstLine="270"/>
        <w:jc w:val="both"/>
        <w:rPr/>
      </w:pPr>
      <w:r>
        <w:rPr>
          <w:rFonts w:ascii="Times New Roman;serif" w:hAnsi="Times New Roman;serif"/>
          <w:b/>
          <w:i/>
          <w:color w:val="000000"/>
          <w:sz w:val="20"/>
        </w:rPr>
        <w:t>Waste.</w:t>
      </w:r>
      <w:r>
        <w:rPr>
          <w:color w:val="000000"/>
        </w:rPr>
        <w:t xml:space="preserve"> </w:t>
      </w:r>
      <w:r>
        <w:rPr>
          <w:rFonts w:ascii="Times New Roman;serif" w:hAnsi="Times New Roman;serif"/>
          <w:b w:val="false"/>
          <w:color w:val="000000"/>
          <w:sz w:val="20"/>
        </w:rPr>
        <w:t>Our top waste streams are cardboard, wood pallets and reels, metal and plastic. We strive to reduce these waste streams by applying Lean principles and identifying opportunities for reuse and recycling. We have developed regional relationships with recycling vendors that recycle non-traditional waste streams, specifically metal and wood. We have a goal to reduce landfill waste intensity by 15% across our U.S. and Canadian locations from a 2020 baseline by 2030.</w:t>
      </w:r>
    </w:p>
    <w:p>
      <w:pPr>
        <w:pStyle w:val="TextBody"/>
        <w:bidi w:val="0"/>
        <w:spacing w:lineRule="auto" w:line="288" w:before="120" w:after="283"/>
        <w:ind w:left="0" w:right="0" w:firstLine="270"/>
        <w:jc w:val="both"/>
        <w:rPr/>
      </w:pPr>
      <w:r>
        <w:rPr>
          <w:rFonts w:ascii="Times New Roman;serif" w:hAnsi="Times New Roman;serif"/>
          <w:b/>
          <w:i/>
          <w:color w:val="000000"/>
          <w:sz w:val="20"/>
        </w:rPr>
        <w:t>Water.</w:t>
      </w:r>
      <w:r>
        <w:rPr>
          <w:color w:val="000000"/>
        </w:rPr>
        <w:t xml:space="preserve"> </w:t>
      </w:r>
      <w:r>
        <w:rPr>
          <w:rFonts w:ascii="Times New Roman;serif" w:hAnsi="Times New Roman;serif"/>
          <w:b w:val="false"/>
          <w:color w:val="000000"/>
          <w:sz w:val="20"/>
        </w:rPr>
        <w:t>As a distributor and supply chain solutions provider, we are not a major consumer of water. Our facilities primarily use water for sanitation, cleaning, and irrigation purposes. We track water usage at our locations and use the data to identify unusual consumption patterns that could indicate undetected leaks or excessive usage that requires intervention.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consider our intellectual property, including trademarks, service marks, copyrights, patents, domain names, trade dress, trade secrets, proprietary technologies, and similar assets, to be important to our business. To protect our intellectual property rights, we rely on trademark, copyright and patent laws, trade secret procedures, and confidentiality and other agreements with employees, consultants, customers and other partners. We have registered trademarks, service marks, and patents in the U.S. and in various other countries. The “Wesco” and “Anixter” trademarks and service marks are registered in the U.S. and various foreign jurisdictions, and the “EECOL” service mark is registered in Canada, Chile, and Peru. Our U.S. trademarks and service marks include “Wesco®” and our corporate logo, among others. While in the aggregate our patents are valuable to our business, we do not believe that the loss of any of them would materially affect our business or financial condition. For a discussion of certain risks related to our intellectual property, see Item 1A, “Risk Factors - Risks Related to Our Information Systems and Technology and Intellectual Property.”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facilities and operations are subject to federal, state and local laws and regulations relating to environmental protection and human health and safety. Some of these laws and regulations may impose strict, joint and several liabilities on certain persons for the cost of investigation or remediation of contaminated properties. These persons may include former, current or future owners or operators of properties and persons who arranged for the disposal of hazardous substances. Our owned and leased real property may give rise to such investigation, remediation and monitoring liabilities under environmental laws. In addition, anyone disposing of certain products we distribute, such as ballasts, fluorescent lighting and batteries, must comply with environmental laws that regulate certain materials in these products.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that we are in compliance, in all material respects, with applicable environmental laws. As a result, we do not anticipate making significant capital expenditures for environmental control matters either in the current year or in the near future.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Website Access</w:t>
      </w:r>
    </w:p>
    <w:p>
      <w:pPr>
        <w:pStyle w:val="TextBody"/>
        <w:bidi w:val="0"/>
        <w:spacing w:lineRule="auto" w:line="288" w:before="120" w:after="283"/>
        <w:ind w:left="0" w:right="0" w:firstLine="270"/>
        <w:jc w:val="both"/>
        <w:rPr/>
      </w:pPr>
      <w:r>
        <w:rPr>
          <w:rFonts w:ascii="Times New Roman;serif" w:hAnsi="Times New Roman;serif"/>
          <w:b w:val="false"/>
          <w:color w:val="000000"/>
          <w:sz w:val="20"/>
        </w:rPr>
        <w:t xml:space="preserve">Our Internet address is </w:t>
      </w:r>
      <w:r>
        <w:rPr>
          <w:rFonts w:ascii="Times New Roman;serif" w:hAnsi="Times New Roman;serif"/>
          <w:b w:val="false"/>
          <w:color w:val="000000"/>
          <w:sz w:val="20"/>
          <w:u w:val="single"/>
        </w:rPr>
        <w:t>www.wesco.com</w:t>
      </w:r>
      <w:r>
        <w:rPr>
          <w:rFonts w:ascii="Times New Roman;serif" w:hAnsi="Times New Roman;serif"/>
          <w:b w:val="false"/>
          <w:color w:val="000000"/>
          <w:sz w:val="20"/>
        </w:rPr>
        <w:t>. Information contained on our website is not part of, and should not be construed as being incorporated by reference into, this Annual Report on Form 10-K. We make available free of charge under the “Investors” heading on our website our annual reports on Form 10-K, quarterly reports on Form 10-Q, current reports on Form 8-K and amendments to those reports filed or furnished pursuant to Section 13(a) or 15(d) of the Securities Exchange Act of 1934, as amended (the “Exchange Act”), as well as our Proxy Statements, as soon as reasonably practicable after such documents are electronically filed or furnished, as applicable, with the U.S. Securities and Exchange Commission (the “SEC”).</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the charters for our Audit, Compensation, Executive, and Nominating and Governance committees, as well as our Corporate Governance Guidelines, Code of Principles for Senior Financial Executives, Independence Policy, Global Antibribery and Anticorruption Policy, and Code of Business Conduct for our Directors, officers and employees, are all available on our website at the “Leadership” link under the “Our Company” heading.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various “forward-looking statements” within the meaning of the Private Securities Litigation Reform Act of 1995. These statements involve certain unknown risks and uncertainties, including, among others, those contained in Item 1, “Business,” Item 1A, “Risk Factors,” and Item 7, “Management’s Discussion and Analysis of Financial Condition and Results of Operations.” When used in this Annual Report on Form 10-K, the words “anticipates,” “plans,” “believes,” “estimates,” “intends,” “expects,” “projects,” “will” and similar expressions may identify forward-looking statements, although not all forward-looking statements contain such words. Such statements, including, but not limited to, our statements regarding business strategy, growth strategy, competitive strengths, productivity and profitability enhancement, competition, new product and service introductions and liquidity and capital resources, are based on management’s current expectations and beliefs, as well as on assumptions made by and information currently available to management, current market trends and market conditions and involve various risks and uncertainties, some of which are beyond our control and which may cause actual results to differ materially from those contained in the forward-looking statements. Our actual results could differ materially from those expressed in any forward-looking statement made by us or on our behalf. In light of these risks and uncertainties, there can be no assurance that the forward-looking information will in fact prove to be accurate. We have undertaken no obligation to publicly update or revise any forward-looking statements, whether as a result of new information, future events or otherwise.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executive officers and their respective ages and positions as of February 13, 2026 are set forth below.</w:t>
      </w:r>
    </w:p>
    <w:tbl>
      <w:tblPr>
        <w:tblW w:w="9833" w:type="dxa"/>
        <w:jc w:val="left"/>
        <w:tblInd w:w="0" w:type="dxa"/>
        <w:tblLayout w:type="fixed"/>
        <w:tblCellMar>
          <w:top w:w="28" w:type="dxa"/>
          <w:left w:w="28" w:type="dxa"/>
          <w:bottom w:w="28" w:type="dxa"/>
          <w:right w:w="28" w:type="dxa"/>
        </w:tblCellMar>
      </w:tblPr>
      <w:tblGrid>
        <w:gridCol w:w="568"/>
        <w:gridCol w:w="498"/>
        <w:gridCol w:w="508"/>
        <w:gridCol w:w="109"/>
        <w:gridCol w:w="109"/>
        <w:gridCol w:w="109"/>
        <w:gridCol w:w="135"/>
        <w:gridCol w:w="135"/>
        <w:gridCol w:w="136"/>
        <w:gridCol w:w="109"/>
        <w:gridCol w:w="109"/>
        <w:gridCol w:w="109"/>
        <w:gridCol w:w="2098"/>
        <w:gridCol w:w="2098"/>
        <w:gridCol w:w="3003"/>
      </w:tblGrid>
      <w:tr>
        <w:trPr/>
        <w:tc>
          <w:tcPr>
            <w:tcW w:w="56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Position</w:t>
            </w:r>
          </w:p>
        </w:tc>
      </w:tr>
      <w:tr>
        <w:trPr/>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 Engel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S. Schulz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F. Cameron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Manager, Utility &amp; Broadband Solutions</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Daniel J. Castillo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Manager, Electrical &amp; Electronic Solutions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Akash Khurana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Information and Digital Officer</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Diane E. Lazzaris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Dirk W. Naylor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Manager, Communications &amp; Security Solutions</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Hemant Porwal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Supply Chain and Operations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A. Wolf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Human Resources Officer</w:t>
            </w:r>
          </w:p>
        </w:tc>
      </w:tr>
    </w:tbl>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Set forth below is biographical information for our executive officers listed above.</w:t>
      </w:r>
    </w:p>
    <w:p>
      <w:pPr>
        <w:pStyle w:val="TextBody"/>
        <w:bidi w:val="0"/>
        <w:spacing w:lineRule="auto" w:line="288" w:before="120" w:after="283"/>
        <w:ind w:left="0" w:right="0" w:firstLine="270"/>
        <w:jc w:val="both"/>
        <w:rPr/>
      </w:pPr>
      <w:r>
        <w:rPr>
          <w:rFonts w:ascii="Times New Roman;serif" w:hAnsi="Times New Roman;serif"/>
          <w:b/>
          <w:i/>
          <w:color w:val="000000"/>
          <w:sz w:val="20"/>
        </w:rPr>
        <w:t>John J. Engel</w:t>
      </w:r>
      <w:r>
        <w:rPr>
          <w:color w:val="000000"/>
        </w:rPr>
        <w:t xml:space="preserve"> </w:t>
      </w:r>
      <w:r>
        <w:rPr>
          <w:rFonts w:ascii="Times New Roman;serif" w:hAnsi="Times New Roman;serif"/>
          <w:b w:val="false"/>
          <w:color w:val="000000"/>
          <w:sz w:val="20"/>
        </w:rPr>
        <w:t>has served as Chairman of the Board of Directors since May 2011 and as our President and Chief Executive Officer since 2009. Previously, Mr. Engel served as our Senior Vice President and Chief Operating Officer from 2004 to 2009. Before joining Wesco in 2004, Mr. Engel served as Senior Vice President and General Manager of Gateway, Inc., Executive Vice President and Senior Vice President of Perkin Elmer, Inc., Vice President and General Manager of Allied Signal, Inc., and also held various engineering, manufacturing and general management positions at General Electric Company.</w:t>
      </w:r>
    </w:p>
    <w:p>
      <w:pPr>
        <w:pStyle w:val="TextBody"/>
        <w:bidi w:val="0"/>
        <w:spacing w:lineRule="auto" w:line="288" w:before="120" w:after="283"/>
        <w:ind w:left="0" w:right="0" w:firstLine="270"/>
        <w:jc w:val="both"/>
        <w:rPr/>
      </w:pPr>
      <w:r>
        <w:rPr>
          <w:rFonts w:ascii="Times New Roman;serif" w:hAnsi="Times New Roman;serif"/>
          <w:b/>
          <w:i/>
          <w:color w:val="000000"/>
          <w:sz w:val="20"/>
        </w:rPr>
        <w:t>David S. Schulz</w:t>
      </w:r>
      <w:r>
        <w:rPr>
          <w:color w:val="000000"/>
        </w:rPr>
        <w:t xml:space="preserve"> </w:t>
      </w:r>
      <w:r>
        <w:rPr>
          <w:rFonts w:ascii="Times New Roman;serif" w:hAnsi="Times New Roman;serif"/>
          <w:b w:val="false"/>
          <w:color w:val="000000"/>
          <w:sz w:val="20"/>
        </w:rPr>
        <w:t>has served as our Executive Vice President and Chief Financial Officer since June 2020, and from October 2016 to June 2020, he served as Senior Vice President and Chief Financial Officer. Prior to joining Wesco, Mr. Schulz served as Senior Vice President and Chief Operating Officer of Armstrong Flooring, Inc. from April 2016 to October 2016 and from November 2013 to March 2016, he served as Senior Vice President and Chief Financial Officer of Armstrong World Industries, Inc., and as Vice President, Finance of the Armstrong Building Products division from 2011 to November 2013. Prior to joining Armstrong World Industries in 2011, he held various financial leadership roles with Procter &amp; Gamble and The J.M. Smucker Company. Mr. Schulz began his career as an officer in the United States Marine Corps.</w:t>
      </w:r>
    </w:p>
    <w:p>
      <w:pPr>
        <w:pStyle w:val="TextBody"/>
        <w:bidi w:val="0"/>
        <w:spacing w:lineRule="auto" w:line="288" w:before="120" w:after="283"/>
        <w:ind w:left="0" w:right="0" w:firstLine="270"/>
        <w:jc w:val="both"/>
        <w:rPr/>
      </w:pPr>
      <w:r>
        <w:rPr>
          <w:rFonts w:ascii="Times New Roman;serif" w:hAnsi="Times New Roman;serif"/>
          <w:b/>
          <w:i/>
          <w:color w:val="000000"/>
          <w:sz w:val="20"/>
        </w:rPr>
        <w:t>James F. Cameron</w:t>
      </w:r>
      <w:r>
        <w:rPr>
          <w:color w:val="000000"/>
        </w:rPr>
        <w:t xml:space="preserve"> </w:t>
      </w:r>
      <w:r>
        <w:rPr>
          <w:rFonts w:ascii="Times New Roman;serif" w:hAnsi="Times New Roman;serif"/>
          <w:b w:val="false"/>
          <w:color w:val="000000"/>
          <w:sz w:val="20"/>
        </w:rPr>
        <w:t>has served as our Executive Vice President and General Manager of the Utility &amp; Broadband Solutions division since June 2020. From January 2014 to June 2020 he served as Vice President and General Manager, Utility and Broadband Group and from 2011 to 2013 he was Regional Vice President of the utility business. Prior to joining Wesco in 2011, Mr. Cameron served as Senior Vice President of the Utility Group, and Vice President of Marketing &amp; Operations with Irby, a Sonepar Company. Earlier in his career, Mr. Cameron held various positions with Hubbell Power Systems, Thomas &amp; Betts and the ABB Power T&amp;D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ind w:left="0" w:right="0" w:firstLine="270"/>
        <w:jc w:val="both"/>
        <w:rPr/>
      </w:pPr>
      <w:r>
        <w:rPr>
          <w:rFonts w:ascii="Times New Roman;serif" w:hAnsi="Times New Roman;serif"/>
          <w:b/>
          <w:i/>
          <w:color w:val="000000"/>
          <w:sz w:val="20"/>
        </w:rPr>
        <w:t xml:space="preserve">Daniel J. Castillo </w:t>
      </w:r>
      <w:r>
        <w:rPr>
          <w:rFonts w:ascii="Times New Roman;serif" w:hAnsi="Times New Roman;serif"/>
          <w:b w:val="false"/>
          <w:color w:val="000000"/>
          <w:sz w:val="20"/>
        </w:rPr>
        <w:t>has served as our Executive Vice President and General Manager of the Electrical &amp; Electronic Solutions division since September 1, 2025. Prior to joining Wesco, Mr. Castillo served as Executive Vice President and President, North America at Brink's Company from 2022 to 2025; Executive Vice President and President, North America at JELD-WEN, Inc. from 2020 to 2022 and President, North America Doors from 2018 to 2020. Previously, he served as President of Cree Lighting and held a variety of business leadership positions at Eaton and Cooper Industries.</w:t>
      </w:r>
    </w:p>
    <w:p>
      <w:pPr>
        <w:pStyle w:val="TextBody"/>
        <w:bidi w:val="0"/>
        <w:spacing w:lineRule="auto" w:line="288" w:before="120" w:after="283"/>
        <w:ind w:left="0" w:right="0" w:firstLine="270"/>
        <w:jc w:val="both"/>
        <w:rPr/>
      </w:pPr>
      <w:r>
        <w:rPr>
          <w:rFonts w:ascii="Times New Roman;serif" w:hAnsi="Times New Roman;serif"/>
          <w:b/>
          <w:i/>
          <w:color w:val="000000"/>
          <w:sz w:val="20"/>
        </w:rPr>
        <w:t>Akash Khurana</w:t>
      </w:r>
      <w:r>
        <w:rPr>
          <w:color w:val="000000"/>
        </w:rPr>
        <w:t xml:space="preserve"> </w:t>
      </w:r>
      <w:r>
        <w:rPr>
          <w:rFonts w:ascii="Times New Roman;serif" w:hAnsi="Times New Roman;serif"/>
          <w:b w:val="false"/>
          <w:color w:val="000000"/>
          <w:sz w:val="20"/>
        </w:rPr>
        <w:t>has served as our Executive Vice President and Chief Information and Digital Officer since joining the Company in November 2020. Before joining Wesco, Mr. Khurana served as Chief Information Officer and Chief Data Officer of Global information at McDermott International, Ltd. from March 2015 to November 2020. Previously, he served as Senior Director of Global Product Lines and Regional P&amp;Ls at Baker Hughes and a variety of leadership roles at GE Healthcare and Power &amp; Water Divisions.</w:t>
      </w:r>
    </w:p>
    <w:p>
      <w:pPr>
        <w:pStyle w:val="TextBody"/>
        <w:bidi w:val="0"/>
        <w:spacing w:lineRule="auto" w:line="288" w:before="120" w:after="283"/>
        <w:ind w:left="0" w:right="0" w:firstLine="270"/>
        <w:jc w:val="both"/>
        <w:rPr/>
      </w:pPr>
      <w:r>
        <w:rPr>
          <w:rFonts w:ascii="Times New Roman;serif" w:hAnsi="Times New Roman;serif"/>
          <w:b/>
          <w:i/>
          <w:color w:val="000000"/>
          <w:sz w:val="20"/>
        </w:rPr>
        <w:t>Diane E. Lazzaris</w:t>
      </w:r>
      <w:r>
        <w:rPr>
          <w:color w:val="000000"/>
        </w:rPr>
        <w:t xml:space="preserve"> </w:t>
      </w:r>
      <w:r>
        <w:rPr>
          <w:rFonts w:ascii="Times New Roman;serif" w:hAnsi="Times New Roman;serif"/>
          <w:b w:val="false"/>
          <w:color w:val="000000"/>
          <w:sz w:val="20"/>
        </w:rPr>
        <w:t>has served as our Executive Vice President and General Counsel since June 2020 and also as Corporate Secretary from February 2021 to December 2023. From 2014 to June 2020 she served as our Senior Vice President and General Counsel and from 2010 to December 2013 as our Vice President, Legal Affairs. From 2008 to 2010, Ms. Lazzaris served as Senior Vice President - Legal, General Counsel and Corporate Secretary of Dick’s Sporting Goods, Inc. From 1994 to 2008, she held various corporate counsel positions at Alcoa Inc., including Group Counsel to a group of global businesses.</w:t>
      </w:r>
    </w:p>
    <w:p>
      <w:pPr>
        <w:pStyle w:val="TextBody"/>
        <w:bidi w:val="0"/>
        <w:spacing w:lineRule="auto" w:line="288" w:before="120" w:after="283"/>
        <w:ind w:left="0" w:right="0" w:firstLine="270"/>
        <w:jc w:val="both"/>
        <w:rPr/>
      </w:pPr>
      <w:r>
        <w:rPr>
          <w:rFonts w:ascii="Times New Roman;serif" w:hAnsi="Times New Roman;serif"/>
          <w:b/>
          <w:i/>
          <w:color w:val="000000"/>
          <w:sz w:val="20"/>
        </w:rPr>
        <w:t>Dirk W. Naylor</w:t>
      </w:r>
      <w:r>
        <w:rPr>
          <w:color w:val="000000"/>
        </w:rPr>
        <w:t xml:space="preserve"> </w:t>
      </w:r>
      <w:r>
        <w:rPr>
          <w:rFonts w:ascii="Times New Roman;serif" w:hAnsi="Times New Roman;serif"/>
          <w:b w:val="false"/>
          <w:color w:val="000000"/>
          <w:sz w:val="20"/>
        </w:rPr>
        <w:t>has served as our Executive Vice President and General Manager of the Communications &amp; Security Solutions division since July 2025, and from 2021 to June 2025, he served as Senior Vice President and General Manager - Communications &amp; Security Solutions USA and Global Accounts and Senior Vice President, Global Accounts from 2018 to 2021. Mr. Naylor has held various leadership roles since joining Anixter in 2005. Prior to that, he held leadership positions with Lowry Computer Products and Panduit.</w:t>
      </w:r>
    </w:p>
    <w:p>
      <w:pPr>
        <w:pStyle w:val="TextBody"/>
        <w:bidi w:val="0"/>
        <w:spacing w:lineRule="auto" w:line="288" w:before="120" w:after="283"/>
        <w:ind w:left="0" w:right="0" w:firstLine="270"/>
        <w:jc w:val="both"/>
        <w:rPr/>
      </w:pPr>
      <w:r>
        <w:rPr>
          <w:rFonts w:ascii="Times New Roman;serif" w:hAnsi="Times New Roman;serif"/>
          <w:b/>
          <w:i/>
          <w:color w:val="000000"/>
          <w:sz w:val="20"/>
        </w:rPr>
        <w:t>Hemant Porwal</w:t>
      </w:r>
      <w:r>
        <w:rPr>
          <w:color w:val="000000"/>
        </w:rPr>
        <w:t xml:space="preserve"> </w:t>
      </w:r>
      <w:r>
        <w:rPr>
          <w:rFonts w:ascii="Times New Roman;serif" w:hAnsi="Times New Roman;serif"/>
          <w:b w:val="false"/>
          <w:color w:val="000000"/>
          <w:sz w:val="20"/>
        </w:rPr>
        <w:t>has served as our Executive Vice President, Supply Chain and Operations division since June 2020, and from January 2015 to June 2020 as Vice President of Global Supply Chain and Operations. Before joining Wesco, Mr. Porwal served as Vice President at Sears Holding Corporation, leading their global procurement function since 2011, and at PepsiCo, Inc. where he held roles with increasing responsibilities in Operations, Supply Chain, Procurement and Finance.</w:t>
      </w:r>
    </w:p>
    <w:p>
      <w:pPr>
        <w:pStyle w:val="TextBody"/>
        <w:bidi w:val="0"/>
        <w:spacing w:lineRule="auto" w:line="288" w:before="120" w:after="283"/>
        <w:ind w:left="0" w:right="0" w:firstLine="270"/>
        <w:jc w:val="both"/>
        <w:rPr/>
      </w:pPr>
      <w:r>
        <w:rPr>
          <w:rFonts w:ascii="Times New Roman;serif" w:hAnsi="Times New Roman;serif"/>
          <w:b/>
          <w:i/>
          <w:color w:val="000000"/>
          <w:sz w:val="20"/>
        </w:rPr>
        <w:t>Christine A. Wolf</w:t>
      </w:r>
      <w:r>
        <w:rPr>
          <w:color w:val="000000"/>
        </w:rPr>
        <w:t xml:space="preserve"> </w:t>
      </w:r>
      <w:r>
        <w:rPr>
          <w:rFonts w:ascii="Times New Roman;serif" w:hAnsi="Times New Roman;serif"/>
          <w:b w:val="false"/>
          <w:color w:val="000000"/>
          <w:sz w:val="20"/>
        </w:rPr>
        <w:t>has served as our Executive Vice President and Chief Human Resources Officer since June 2020, and from June 2018 to June 2020 she served as Senior Vice President and Chief Human Resources Officer. Before joining Wesco from 2011 to June 2018, Ms. Wolf served as the Chief Human Resources Officer of Orbital ATK, Inc. until its acquisition by Northrop Grumman. From 2008 to 2011, she served as the Chief Human Resources Officer of Fannie Mae and from 2004 to 2008 she served as Chief Human Resources Officer of E*Trade Financial Corporation. Prior to that, she held various positions in human resources with companies in a variety of industries.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factors, among others, could cause our actual results to differ materially from the forward-looking statements we make. All forward-looking statements attributable to us or persons working on our behalf are expressly qualified by the following factors. This information should be read in conjunction with Item 7, “Management’s Discussion and Analysis of Financial Condition and Results of Operations”, Item 7A, “Quantitative and Qualitative Disclosures about Market Risks” and the consolidated financial statements and related notes included in this Form 10-K.</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Risks Related to the Global Macroeconomic Environment and Our International Operations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Adverse conditions in the global economy and disruptions of financial and commodities markets could negatively impact us and our customers.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are affected by the level of business activity of our customers, which in turn is affected by global economic conditions and market factors impacting the industries and markets that they serve. Certain global economies and the financial and commodities markets continue to experience significant uncertainty and volatility. Adverse economic conditions, disruptions in financial markets or lack of liquidity in these markets, particularly in North America, as well as those caused by political risk or instability globally, may adversely affect our revenues and operating results. Disruptions in financial markets can cause increases in interest rates and borrowing costs. Economic and financial market conditions may also affect the availability or the cost of financing for projects and for our customers’ capital or other expenditures, which can result in project delays or cancellations and thus affect demand for our products. There can be no assurance that any governmental responses to economic conditions or disruptions in the financial markets ultimately will stabilize the markets or increase our customers’ liquidity or the availability of credit for us or our customers. Although no single customer accounts for more than 5% of our sales, a payment default by one of our larger customers could have a negative short-term impact on earnings or liquidity. A financial or industry downturn could have an adverse effect on the collectability of our accounts receivable, which could result in longer payment cycles, increased collection costs and defaults, and limit our ability to borrow additional funds. Should one or more of our larger customers declare bankruptcy, it could adversely affect the collectability of our accounts receivable, along with credit loss reserves and net income. In addition, our ability to access the capital markets may be restricted at a time when we would like, or need, to do so.</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economic, political and financial environment may also affect our business and financial condition in ways that we currently cannot predict. Certain geopolitical conflicts, and resulting international responses, have contributed to further volatility and uncertainty in the global financial and commodities markets, resulting in fluctuations in oil and commodity prices. There can be no assurance that economic and political instability, both domestically and internationally (for example, resulting from the geopolitical conflicts, changes in the creditworthiness of the U.S. or any government, changes to economic or trade policies, sanctions, tariffs or participation in trade agreements or economic and political unions) will not adversely affect our results of operations, cash flows or financial position in the future.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Volatile trade policies, including a shift toward a “reciprocal” tariff regime in the U.S., and retaliatory measures by foreign governments, could materially increase our costs, disrupt supply availability and lead times, reduce price competitiveness, and adversely affect demand for our products and services.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Global trade policy remains highly volatile. Sudden, material changes in U.S. and foreign tariff rates, scope, exclusions and enforcement, particularly following the adoption of a “reciprocal” tariff approach by the U.S., as well as retaliatory actions by other jurisdictions, including counter-tariffs and expanded export controls on critical minerals, components, and technologies, could negatively affect the availability and cost of certain products and inputs, extend lead times and impair our ability to fulfill customer orders. These measures may also increase our logistics, compliance and working capital costs, and contribute to broader inflationary pressures. We may be unable to pass through incremental costs to customers in a timely manner or at all without adversely affecting our price competitiveness or margins. If we are unable to adjust pricing, sourcing or inventory strategies effectively, or if customers reduce or defer purchases (including due to demand destruction arising from higher end-market prices), our business, financial condition and results of operations could be materially adversely affected.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global operations expose us to political, economic, legal, currency and other risks.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operate a network of more than 700 sites, including distribution centers, fulfillment centers and sales offices with operations in approximately 50 countries. Approximately one-third of our employee population are non-U.S. employees. We derive approximately 26% of our revenues from sales outside of the U.S. As a result, we are subject to additional risks associated with owning and operating businesses in these foreign markets and jurisdictions.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Operating in the global marketplace exposes us to a number of risks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geopolitical and security issues, including armed conflict and civil or military unrest, political instability, terrorist activity and human rights concerns;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natural disasters (including as a result of climate change) and public health crises (including pandemics such as COVID-19 and its variants), and other catastrophic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supply chain disruptions and large-scale outages or inefficient provision of services from utilities, transportation, data hosting, or telecommunications providers;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abrupt changes in government policies, laws, regulations, executive orders, spending allocations, or treaties, including imposition of export, import, or doing-business regulations, trade sanctions, embargoes or other trade restrictions, as well as tariffs and trade measures that may increase the cost of goods, limit the availability of key materials, or otherwise disrupt supply chains, pricing, and demand;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changing and expanding export controls, sanctions, and data localization rules which could restrict our ability to source, sell or service certain products, software or technologies;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uncertainty, including potential challenges to agency rulemaking authority, which could increase litigation risks, complicate compliance planning, and disrupt our operations;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tax increases, tariff increases, or retaliatory trade measures, including those intended to address trade imbalances or protect domestic industries, that could impact the pricing of our products, the cost and availability of raw materials and components used in production, and the competitiveness of our goods in key markets, while also contributing to broader economic uncertainty, inflationary pressures, and disruptions in our supply chain;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government restrictions on, or nationalization of, our operations in any country;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labor conditions and difficulties in staffing and managing international operations, including logistical and communication challenges;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monetary policy of the countries where we operate and related currency exchange rate fluctuations;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challenges in protecting our IP rights in certain countries;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local business and cultural factors that differ from our current standards and practices;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continuing uncertainty regarding social, political, immigration, tax, and trade policies in the U.S. and abroad;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social, political and economic instability, including recessions and other economic crises in other regions.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Broader geopolitical conflicts and instability could disrupt supply chains, energy markets, cross</w:t>
        <w:noBreakHyphen/>
        <w:t>border data flows, and vendor operations, and may result in new or expanded trade controls, export restrictions, sanctions, or heightened cybersecurity threats. To the extent conflicts escalate or are further prolonged, it may have the effect of heightening many of the risks described above or elsewhere in these risk factors.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are subject to various laws and regulations globally and any failure to comply could adversely affect our business.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are subject to a broad range of laws and regulations in the jurisdictions where we operate globally, including, among others, those relating to data privacy and protection, cyber security, import and export requirements, anti-bribery and corruption, product compliance, extended producer responsibility requirements, supplier regulations regarding the sources of supplies or products (such as the Uyghur Forced Labor Prevention Act or other forced labor, traceability and country of origin verification requirements), sustainability and environmental protection, health and safety requirements, intellectual property, foreign exchange controls and cash repatriation restrictions, labor and employment, human rights, e-commerce, advertising and marketing, anti-competition, artificial intelligence and tax. Compliance with these domestic and foreign laws, regulations and requirements may be burdensome, increasing our cost of compliance and doing business. In addition, as a supplier to federal, state, and local government agencies, we must comply with certain laws and regulations relating specifically to our governmental contracts. Although we have implemented policies and procedures designed to facilitate compliance with various laws, we cannot assure you that our employees, contractors, or agents will not violate such laws and regulations, or our policies and procedures. Any such violations could result in the imposition of fines and penalties, remediation costs, product restrictions or prohibitions, contractual claims, litigation, damage to our reputation, and, in the case of laws and regulations relating to governmental contracts, the loss of those contracts.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Fluctuations in foreign currency have an effect on our results from operations.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certain of our foreign operations are reported in the local currency and then translated into U.S. dollars at the applicable exchange rates for inclusion in our consolidated financial statements. The exchange rates between some of these currencies and the U.S. dollar have fluctuated significantly in recent years, and may continue to do so in the future. Even small fluctuations in exchange rates in currencies where we significantly transact, such as the Canadian dollar, could have material impacts on our business and financial results. We may incur losses related to foreign currency fluctuations, and foreign exchange controls may prevent us from repatriating cash in countries outside the U.S. In addition, because our financial statements are stated in U.S. dollars, such fluctuations may also affect the comparability of our results between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periods. Refer to Item 7A, “Quantitative and Qualitative Disclosures About Market Risks” for additional details on foreign currency risks.</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Risks Related to Our Strategic Initiatives and Acquisitions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Expansion into new business activities, industries, product lines, services offerings, or geographic areas could subject the Company to increased costs and risks and may not achieve the intended results.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invested significantly in expanding our digital solutions and digitalization initiatives, including but not limited to, our digital and data platform, e-commerce capabilities, enhancing the online customer experience, software as a service (SaaS), internet of things (IoT) technology, artificial intelligence capabilities, electrification, automation, grid modernization, security, design and engineering services, smart building technology and advisory services. If our efforts to transform and expand our digital and service capabilities are not successful, or are not developed and deployed on a timely basis, we may not realize the return on our investments as anticipated, or our operating results could be adversely affected by slower than expected sales growth or additional costs. Furthermore, engaging in or significantly expanding business activities in product sourcing, sales and services could subject the Company to unexpected costs and risks. Such activities could subject us to increased operating costs, product liability, regulatory requirements and reputational risks. Our expansion into new and existing markets, including manufacturing related or regulated businesses, may present competitive distribution and regulatory challenges that differ from current ones. We may be less familiar with the target customers and may face different or additional risks, as well as increased or unexpected costs, compared to existing operations. Growth into new markets may also bring us into direct competition with companies with whom we have little or no past experience as competitors. To the extent we are reliant upon expansion into new geographic, industry and product markets for growth and do not meet the new challenges posed by such expansion, our future sales growth could be negatively impacted, our operating costs could increase, and our business operations and financial results could be negatively affected.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strategic and operational initiatives, including our business transformation enabled by digital initiatives, are subject to various risks and uncertainties, and we may be unable to implement the initiatives successfully.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are engaged in a number of strategic and operational initiatives, including our digital transformation initiatives, designed to optimize costs and improve operational efficiency. Our ability to successfully execute these initiatives is subject to various risks and uncertainties and there can be no assurance regarding the timing of or extent to which we will realize the anticipated benefits, if at all. The design, development, and implementation of new systems and applications carries inherent risks, including potential technical failures, integration challenges, inadequacy of internal controls, and business disruptions. These risks could result in operational inefficiencies, system downtime, or other unforeseen complications that may adversely affect our business operations and customer relationships. Additionally, our initiatives may require significant capital investments and resource allocation, and any delays, cost overruns, or implementation difficulties could negatively impact our expected return on investment and overall business performance.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not be able to fully realize the anticipated benefits and cost savings of mergers and acquisitions.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2020, we completed our merger with Anixter; in 2022, we completed the acquisition of Rahi Systems; and in 2024 and 2025, we completed several acquisitions, including those of entroCIM, Independent Electric Supply, Ascent and Industrial Software Solutions. We consider and may pursue other acquisitions on an on-going basis. The success of these and future acquisitions, including anticipated benefits and cost savings, depends on the successful combination and integration of the companies’ businesses. It is possible that the integration process of an acquired business could result in the loss of key employees, higher than expected costs, diversion of management attention, the disruption of either company’s ongoing legacy businesses or inconsistencies in standards, controls, procedures and policies that adversely affect the Company’s ability to maintain relationships with customers, suppliers and employees or to achieve the anticipated benefits and cost savings of the transaction.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non-recurring costs associated with recent acquisitions and related integration activities. This includes transaction fees and expenses related to formulating and implementing integration plans, including facilities, systems consolidation and employment-related costs. We continue to assess the magnitude of these costs, and additional unanticipated costs may be incurred in the integration of the acquired companies’ businesses. Although we anticipate that the elimination of duplicative costs, as well as the realization of other efficiencies related to the integration of the businesses, should allow us to offset integration-related costs over time, this net benefit may not be achieved in the near term, or at all.</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If we experience difficulties with the integration process, the anticipated benefits of recent or future mergers or acquisitions may not be realized or may take longer to realize than expected. These integration matters could have an adverse effect on us for an undetermined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Any future acquisitions that we may undertake will involve inherent risks, any of which could cause us not to realize the anticipated benefits.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expanded our operations through organic growth and selected acquisitions of businesses and assets, such as our acquisitions of Rahi Systems, entroCIM, Independent Electric Supply, Ascent and Industrial Software Solutions, and may seek to do so in the future. Acquisitions involve various inherent risks, including: problems that could arise from the integration of the acquired business; uncertainties in assessing the value, strengths, weaknesses, contingent and other liabilities and potential profitability of acquisition candidates; the potential loss of key employees of an acquired business; the ability to achieve identified operating and financial synergies anticipated to result from an acquisition or other transaction; unanticipated changes in business, industry or general economic conditions that affect the assumptions underlying the acquisition or other transaction rationale; and expansion into new countries or geographic markets where we may be less familiar with operating requirements, target customers and regulatory compliance. Additionally, elevated valuations and increasing acquisition multiples across various sectors, such as those related to data centers, artificial intelligence, and technology services, may impact our ability to execute acquisitions at acceptable prices or achieve expected returns on investment. Any one or more of these factors could increase our costs or cause us not to realize the benefits anticipated to result from the acquisition of a business or assets.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Divestitures are subject to various risks and uncertainties.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2024 we completed the divestiture of our Wesco Integrated Supply business. We may consider and undertake divestitures of other businesses in the future. Divestitures involve risks and uncertainties, such as the separation of assets that are being sold, employee distraction, potential disruptions to customer and vendor relationships, and tax obligations or loss of tax benefits. If we are unable to successfully transition divested businesses, our business and financial results could be negatively impacted. After we divest a business, we may retain exposure on financial or performance guarantees and other contractual, employment, or severance obligations, and potential liabilities that may arise under law because of the disposition or the subsequent failure of an acquirer. Purchase price adjustments could be unfavorable and other future proceeds owed to us as part of these transactions could be lower than we expect. In addition, the divestiture of any business could negatively impact our profitability, resulting in the loss of sales or income, or a decrease in cash flows.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Heightened antitrust and foreign investment scrutiny could delay, condition, or prevent our strategic transactions.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Competition and foreign investment authorities in the U.S. and other jurisdictions are applying more expansive and unpredictable approaches to reviewing mergers, acquisitions, joint ventures, minority investments, and other strategic transactions. Premerger notification and reporting obligations under the Hart-Scott-Rodino Antitrust Improvements Act (“HSR Act”), as well as analogous merger control and foreign direct investment regimes globally, have become more burdensome, costly, and time-consuming. Recent rule changes and evolving agency practices require the submission of significantly more information, including detailed narratives, internal documents, data, and ordinary course materials. Filing fees and compliance costs have increased, and regulators are taking longer to accept filings as complete and to commence or conclude review periods. Even transactions that raise limited or no apparent competitive concerns can face prolonged timelines, significant expense, and uncertainty as to outcome. Authorities may also review consummated deals, require divestitures or unwinding, or impose penalties for alleged non-compliance. As a result, we may face delays, increased costs, and conditions, such as divestitures, behavioral commitments, or conduct restrictions, or we may be unable to close on expected terms or timelines, or at all. Evolving legal standards, shifting enforcement priorities, and new or revised rules that expand disclosure obligations, increase fees, or extend waiting periods may further reduce deal certainty. These factors could deter attractive opportunities, delay or diminish anticipated synergies and benefits, distract management, and adversely affect our strategy, reputation, financial condition, and results of operations.</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Risks Related to Our Information Systems and Technology and Intellectual Property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Any significant disruption or failure of our information systems could lead to interruptions in our operations, which may materially adversely affect our business operations, financial condition, and results of operations.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a number of facilities and we coordinate company activities, including information technology systems, administrative services, and similar systems, through our headquarters and field operations. We rely on the proper functioning and availability of our information systems to successfully operate our business, including managing inventory, processing customer orders, shipping products, providing service to customers, maintaining customer and supplier information, and compiling financial results. Our operations depend on our ability to maintain existing systems and implement new technology, which includes allocating sufficient resources to upgrade our information technology systems, and to protect our equipment and the information stored in our databases against both man-made and natural disasters (including those as a result of climate change), as well as power losses, computer and telecommunications failures, technological breakdowns, unauthorized intrusions, cyber-attacks, and other events. Further, many of the products and services we provide to customers rely on information technology to transmit and store data in Company, cloud-based and third-party systems. Even where Company-managed information systems remain fully operational, a failure by a third-party’s systems or procedures could have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effects on our operations. Any significant or prolonged unavailability or failure of critical information systems could materially impair our ability to maintain proper levels of inventories, process orders, meet the demands of our customers and suppliers in a timely manner, and other harmful effects on our business operations, which could negatively affect our financial results.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not be able to realize the anticipated benefits and cost savings of our digital transformation initiatives or enhancing existing, and deploying new, technology, digital products and information systems in our operations.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are executing our digital transformation strategy and seek to continually enhance existing and deploy new technology, digital products and information systems as a part of our technology-enablement strategy. Such changes could fail to realize anticipated benefits, create new liability or disrupt our existing information systems or other aspects of our operations. Conversions to new information technology systems may result in cost overruns, delays or business interruptions. Efforts to align portions of our business on common enterprise platforms, systems and processes could result in unforeseen interruptions, increased costs or liability, and other negative effects. Sales enablement initiatives that improve data analytics and automate, optimize, digitize or outsource tasks could result in unforeseen consequences, including our ability to process orders, receive and ship products, maintain inventories, collect accounts receivable and pay expenses, therefore impacting our results of operations. Additionally, exploring and deploying use cases for artificial intelligence, generative artificial intelligence and large language models to empower our employees and streamline our operations may introduce new risks such as biased output, inaccurate output, security vulnerabilities and increased stakeholder or regulatory scrutiny, which could impact the integrity of our business processes, expose us to litigation or fines, or erode the trust of our stakeholders. Our governance structures and control environment may not keep pace with the rapid adoption of these emerging technologies, potentially leading to inadequate oversight of their development and deployment. The dynamic and rapidly evolving nature of artificial intelligence technologies and their applications necessitates continuous monitoring and updating of systems, processes, and policies, which, if not adequately managed, could exacerbate the risks of obsolescence, unintended outcomes, or compliance failures. If our technology systems are disrupted, become obsolete or do not adequately support our strategic, operational or compliance needs, or if the controls placed over the use of new and existing technology prove inadequate, it could result in a competitive disadvantage or adversely affect our business operations, reputation or financial condition.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Our increasing use and reliance on artificial intelligence (“AI”), including machine learning, generative AI, agentic AI and large language models, may expose us to significant risks that could adversely affect our operations, financial condition, and results of operations.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invested, and expect to continue to invest, significant time, capital, and resources to develop, upgrade, manage, and implement AI capabilities within our business and in support of our products and services. These initiatives are complex and may involve substantial upfront and ongoing expenditures, as well as diversion of management attention and internal resources. The design, testing, integration, and deployment of AI systems can be unpredictable and may take longer than anticipated, require greater expense than planned, or fail to deliver expected efficiencies or other benefits. In addition, implementation challenges, unforeseen technical limitations, integration issues with legacy systems or third</w:t>
        <w:noBreakHyphen/>
        <w:t>party technologies, and change</w:t>
        <w:noBreakHyphen/>
        <w:t>management complexities may disrupt our operations, impair productivity, or negatively affect the customer experience.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also depend on third</w:t>
        <w:noBreakHyphen/>
        <w:t>party AI vendors, platforms, cloud service providers, data sources, and other partners to enable and operate certain AI capabilities. These external dependencies may subject us to service outages, performance degradation, data accessibility constraints, changes in service offerings or roadmaps, discontinuation of products or features, pricing increases, or other unfavorable changes in terms and conditions. Providers may modify or terminate their contractual arrangements with us, fail to meet service</w:t>
        <w:noBreakHyphen/>
        <w:t>level commitments, experience business or technical failures, or be affected by regulatory or legal restrictions that limit the availability or functionality of their AI solutions. Any such developments could require costly transitions to alternative solutions, reduce or delay our ability to innovate, disrupt critical workflows, or otherwise adversely affect our business.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Integrating AI into critical business processes introduces operational risks and business continuity challenges. AI models and AI</w:t>
        <w:noBreakHyphen/>
        <w:t>generated outputs can produce errors, inaccuracies, hallucinations, or biased results, and their performance and reliability may degrade over time, in new contexts, or when exposed to unanticipated inputs. These risks may result in flawed business decisions, operational interruptions, delays in order processing or fulfillment, impaired customer support, or quality issues in services and solutions, any of which could lead to reputational harm, customer dissatisfaction, contractual disputes, regulatory scrutiny, or financial losses. Model lifecycle risks, including data drift, concept drift, inadequate testing or validation, ineffective monitoring, or insufficient human oversight, could exacerbate such outcomes. Furthermore, AI</w:t>
        <w:noBreakHyphen/>
        <w:t xml:space="preserve">enabled automation may create single points of failure or amplify errors at scale if controls are not adequately designed and enforced.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legal and regulatory landscape governing AI is rapidly evolving and varies across jurisdictions. New or existing laws, regulations, standards, contractual obligations, or industry guidelines applicable to AI, covering areas such as transparency, accountability, safety, human oversight, data protection and privacy, cybersecurity, intellectual property, and product liability, may require us to modify our AI development and deployment practices, implement additional controls, or limit certain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cases. We may incur significant costs to achieve and maintain compliance, including expenses associated with audits, assessments, documentation, disclosures, incident reporting, third</w:t>
        <w:noBreakHyphen/>
        <w:t>party assurance, and remediation. Divergent or conflicting requirements across jurisdictions may increase complexity and compliance risk. Failure to comply with applicable AI</w:t>
        <w:noBreakHyphen/>
        <w:t>related requirements, or to meet evolving customer, supplier, or market expectations regarding responsible AI, could result in investigations, enforcement actions, fines, litigation, contractual liabilities, or reputational damage.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competitive position could be adversely affected if we do not successfully integrate AI into our operations, processes, and offerings at the pace or scale achieved by competitors, or if competing solutions deliver superior performance, cost savings, or customer outcomes. Competitors may leverage AI more effectively to improve pricing, procurement, supply chain resilience, sales enablement, product content, design and engineering services, customer engagement, or service delivery, which could pressure our margins, reduce demand for our products and services, or erode our market share.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use of AI also presents risks related to data privacy and security, intellectual property, and content protection. AI systems often rely on large volumes of data, which can heighten the risk of unauthorized access, use, or disclosure, as well as data quality issues. Prompting or training on inappropriate data sources, or insufficient segregation of inputs and outputs, could create security vulnerabilities, confidentiality breaches, or violations of contractual obligations. We may face allegations that our AI tools or outputs infringe, misappropriate, or otherwise violate third</w:t>
        <w:noBreakHyphen/>
        <w:t>party intellectual property rights, that we lack sufficient rights in training data or model outputs, or that we cannot prevent unauthorized use or copying of content generated by or incorporated into AI systems. We may also encounter challenges in protecting proprietary content, software, and know</w:t>
        <w:noBreakHyphen/>
        <w:t>how when leveraging third</w:t>
        <w:noBreakHyphen/>
        <w:t xml:space="preserve">party AI tools or sharing data with vendors. Any of these issues could result in claims, disputes, defense costs, settlements, judgments, or operational restrictions.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Although we maintain governance processes and internal safeguards designed to evaluate, approve, and oversee AI use cases and systems, these controls may not be designed or operate effectively in all circumstances or keep pace with rapid technological change. Gaps in policies, training, documentation, testing, validation, monitoring, or human</w:t>
        <w:noBreakHyphen/>
        <w:t>in</w:t>
        <w:noBreakHyphen/>
        <w:t>the</w:t>
        <w:noBreakHyphen/>
        <w:t xml:space="preserve">loop oversight could lead to unintended outcomes, compliance failures, biased or inaccurate outputs, privacy or security incidents, or other adverse effects. In addition, limitations in our ability to explain or audit certain AI model behaviors may hinder our ability to detect, remediate, and report issues in a timely manner, or to satisfy regulatory, contractual, or customer requirements.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Any of the foregoing risks, individually or in the aggregate, could result in increased costs, operational disruptions, diminished efficiency, reduced revenue, lower profitability, compliance or legal exposure, reputational harm, and other adverse impacts on our business, financial condition, and results of operations.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business depends on cloud-based services operated by various third-party service providers, and any disruption in or interference with our use of these services could have adverse effects on our business, operational results, and financial condition.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rely heavily on cloud-based services, systems and networks operated or supported by various third-party service providers to operate critical business systems, to process, transmit and store information, and to conduct our business activities and transactions with employees, customers, vendors and other third parties. Our utilization of these cloud-based services and systems will increase as we continue to implement our digital transformation initiatives. This reliance makes us vulnerable to service malfunctions, interruptions, or outages caused by technical failures, natural disasters, or cybersecurity and other security breaches. Such disruptions can adversely impact our operations as well as our ability to serve our customers, diminishing customer satisfaction and potentially damaging our business reputation. Moreover, we have limited control over these third-party providers and the need to manage multiple external service providers increases operational complexity. If any of our cloud service providers do not perform effectively, or if we fail to adequately monitor their performance (including their failure to comply with service-level agreements or regulatory requirements), we could incur additional expenses to remediate errors made by such providers, or could be subject to litigation, claims or regulatory investigations and actions. In addition, our third-party service providers might unilaterally discontinue or limit our access to services, increase pricing, alter service terms, or seek to terminate their contractual relationship with us, negatively affecting our operations. The failure to maintain our relationships or renew our contracts with cloud service providers on commercially favorable terms could pose serious challenges to our business. Although we could seek alternative providers, we may incur significant costs in connection with the transition or experience operational disruptions. In light of these factors, the cumulative impact of such issues, whether service disruptions, regulatory challenges, litigation or remediation costs, reputational harm, or cost escalations, could pose substantial risks to our operational efficiency and our ability to meet our strategic objectives, thereby potentially leading to material adverse effects on our overall business performance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may experience a failure in or breach of our information security systems, or those of our third-party product suppliers or service providers, as a result of cyber-attacks or information security breaches.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Because we rely heavily on information technology both in serving our customers and in our enterprise infrastructure in order to achieve our objectives, we may be vulnerable to damage or intrusion from a variety of cyber-attacks, including computer viruses, ransomware, worms or other malicious software programs that seek to gain access to our systems and networks, or those of our third-party service providers. Additionally, third parties may fraudulently attempt to induce employees or customers into disclosing sensitive information such as user names, passwords and other information in order to gain access to our customers’ data or our data, including our intellectual property and other confidential business information, or our information technology systems. Information technology security threats to our systems, networks and data have dramatically increased in recent years due to the proliferation of new technologies and the increased sophistication and activities of perpetrators. We have seen, and will continue to see, industry-wide vulnerabilities, which could cause widespread disruptions to our or other parties’ systems. In addition, the risk of retaliatory cyber-attacks has increased as a result of geopolitical conflicts, including the Middle East and Russia-Ukraine conflicts. These threats and vulnerabilities pose a risk to the security of our systems and networks and the confidentiality, availability and integrity of our proprietary and confidential information.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Although we actively manage information technology security risks within our control and continually seek to enhance our controls and processes designed to protect our systems, computers, networks and data, there can be no assurance that such actions will be sufficient to mitigate all potential risks. As cyber threats continue to evolve, we may be required to expend additional resources to continue to enhance our information security measures and remediate any information security vulnerabilities. Despite the precautions we take to mitigate the risks of such events, an attack on our enterprise information technology system, or those of third parties with which we do business, could result in theft or unauthorized disclosure of our proprietary or confidential information or a breach of confidential customer, supplier or employee information. Such events could impair our ability to conduct our operations or cause disruptions to our supply chain, which could have an adverse impact on revenue and harm our reputation. Additionally, such an event could expose us to regulatory sanctions or penalties, lawsuits or other legal action or cause us to incur legal liabilities and costs, which could be significant, in order to address and remediate the effects of an attack and related security concerns. The insurance coverage we maintain may be inadequate to cover claims or liabilities relating to a cybersecurity attack.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Malicious actors increasingly leverage AI to enhance the frequency, speed, sophistication and coordination of cyber-attacks, including through highly convincing phishing, deepfake impersonations and other social engineering techniques. These techniques heighten risks of business email compromise, fraudulent payment or procurement instructions, unauthorized access to systems and data, and manipulation of customer or supplier communications. AI-enabled attacks may also evade traditional detection tools, propagate rapidly across systems and third-party environments, and complicate incident response and attribution. Even with employee training, enhanced controls and layered defenses, such threats could result in data loss or corruption, operational disruption, financial fraud, regulatory inquiries, litigation, reputational damage, and other adverse impacts.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the legal and regulatory environment surrounding information security and privacy in the U.S. and international jurisdictions is constantly evolving and additional laws and regulations regarding AI are being considered and implemented. Violation or non-compliance with any of these laws or regulations, contractual requirements relating to data security and privacy, or our own privacy and security policies, either intentionally or unintentionally, or through the acts of intermediaries could have a material adverse effect on our brand, reputation, business, financial condition and results of operations, as well as subject us to significant fines, litigation losses, third-party damages and other liabilities.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could incur significant and unexpected costs in our efforts to successfully avoid, manage, defend and litigate intellectual property matters.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rely on certain trademarks, patents, trade secrets, copyrights, and other intellectual property, and are continuing to develop intellectual property in connection with the digital transformation of our business and operations. We cannot be certain that others have not or will not infringe upon our intellectual property, or that in-house or third-party solutions, including the output of large language models, will not potentially infringe upon the intellectual property rights of others. Intellectual property litigation could be costly and time consuming, and we could incur significant legal expenses pursuing these claims against others. From time to time, we may receive notices from third parties that allege intellectual property infringement. Any dispute or litigation involving intellectual property could be costly and time-consuming due to its complexity and uncertainty. Our intellectual property portfolio may not be useful in asserting a counterclaim or negotiating a license in response to a claim of infringement or misappropriation. In addition, as a result of such claims, we may lose our rights to utilize critical technology or may be required to pay substantial damages or license fees with respect to infringed rights or be required to redesign or restructure our products or services at a substantial cost, any of which could negatively impact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Industry, Markets and Business Operations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Loss of key suppliers could decrease sales, profit margins and earnings.</w:t>
      </w:r>
    </w:p>
    <w:p>
      <w:pPr>
        <w:pStyle w:val="TextBody"/>
        <w:bidi w:val="0"/>
        <w:spacing w:lineRule="auto" w:line="288" w:before="120" w:after="283"/>
        <w:ind w:left="0" w:right="0" w:firstLine="270"/>
        <w:jc w:val="both"/>
        <w:rPr/>
      </w:pPr>
      <w:r>
        <w:rPr>
          <w:rFonts w:ascii="Times New Roman;serif" w:hAnsi="Times New Roman;serif"/>
          <w:b w:val="false"/>
          <w:color w:val="000000"/>
          <w:sz w:val="20"/>
        </w:rPr>
        <w:t>Most of our agreements with suppliers are terminable by either party on 60 days’ notice or less for any reason. We currently source products from thousands of suppliers. However, our 10 largest suppliers in 2025 accounted for approximately 32% of our purchases by dollar volume for the period. The loss of, or a substantial decrease in the availability of, products from any of these suppliers, a supplier’s change in sales strategy to reduce its reliance on distribution channels, the loss of key preferred supplier agreements, or disruptions in a key supplier’s operations could have a material adverse effect on our business. Although we believe our relationships with our key suppliers are good, they could change their strategies as a result of a change in control, expansion of their direct sales force, changes in the marketplace or other factors beyond our control, including a key supplier becoming financially distressed or experiencing operational or business disruptions which could materially affect our supply chain, increase our costs or disrupt our ability to deliver products to our customers in a timely and cost-effective manner. We derive a meaningful portion of profitability and cash flow from supplier rebates, volume discounts, co-op/marketing funds and other incentive arrangements with suppliers. These arrangements may be renegotiated, changed or terminated (sometimes on short notice), and typically depend on sales thresholds, product mix targets and other performance conditions. If suppliers modify the terms of these programs, or if we fail to satisfy specified conditions, our margins could decline.</w:t>
      </w:r>
      <w:r>
        <w:rPr>
          <w:color w:val="000000"/>
        </w:rPr>
        <w:t xml:space="preserv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have been, and may continue to be, adversely affected by supply chain challenges, including product shortages, delays and price increases, which could decrease sales, profit margins and earnings.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Supply interruptions could arise from shortages of raw materials, effects of economic, political or financial market conditions on a supplier’s operations, labor disputes or weather conditions affecting products or shipments, transportation disruptions, natural disasters, outbreaks of disease, information system disruptions or other reasons beyond our control.</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Since the start of the COVID-19 pandemic, our industry and the broader economy experienced supply chain challenges, including shortages in raw materials and components, labor shortages and transportation constraints, leading to product delays, backlogged orders, increased transportation cost and longer lead times. In 2024 and 2025, we saw continued improvements in supply chain resilience, with manufacturers further adjusting their production footprints through diversification, reshoring, nearshoring and other strategies designed at mitigating tariff and other supply chain risks, alongside continued volatility in the availability of certain raw materials, components and products. While we continue to aggressively and proactively manage supply chain developments, we have experienced, and may continue to experience, some delays in receiving products from our suppliers. We cannot be certain that particular products will be available to us, or available in quantities sufficient to meet customer demand. Any product shortages and delays could impair our ability to make scheduled deliveries to our customers in a timely manner and cause us to be at a competitive disadvantage.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Product shortages and delays in deliveries, along with other factors such as price inflation and higher transportation, import or export costs, including tariffs, could result in price increases from our suppliers. We may be unable to pass these price increases on to our customers, which could erode our profit margins. Supply chain constraints, increased product costs and inflationary pressures could continue or escalate in the future, for example if the Russia-Ukraine, Middle East or other geopolitical conflicts escalate or are further prolonged, which would have an adverse impact on our business and results of operations. Trade policy dynamics, including reciprocal tariff frameworks, shifting tariff exclusions, country-of-origin rules, retaliatory duties and export controls affecting critical inputs, may exacerbate product shortages, extend supplier lead times and increase costs. Even where we can re-source, nearshore or redesign supply routes, such actions may require time and capital and may not fully offset lost availability, increased costs or customer deferrals, which could pressure our sales and margins.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Wesco conducts regular climate risk assessments to determine the materiality of climate-related risks to our business, with the most recent assessment in December 2024. Wesco’s climate-related risk assessments include analysis of multiple temperature scenarios, and incorporate recommendations from recognized standards such as the TCFD and IFRS S2. The effects of global climate change could increase the frequency and intensity of acute physical risks (such as tropical storms, severe winter weather, drought, flooding, or wildfires), chronic physical risks (such as rising sea levels or shifting precipitation patterns) and transition risks (such as rising costs of regulatory compliance), which could cause or exacerbate supply chain interruptions. For example, some of our customers’, suppliers’ and our operations are in water-stressed regions or areas prone to flooding or wildfires, and our facilities depend on power grids that may be impacted by severe weather. With global climate change increasing the frequency and severity of such events, it is possible that we could face greater climate-related risks in the future, which could result in temporary or prolonged interruptions in operations, increase our operating costs and capital expenditures, and reduce revenue and profitability.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profitability of our business is also dependent upon the efficiency of our supply chain. An inefficient or ineffective supply chain strategy or operations could increase operational costs, decrease sales, profit margins and earnings, which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Product cost fluctuations could decrease sales, profit margins and earnings.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Some of our products, such as wire and conduit, are commodity price based products and may be subject to significant price fluctuations which are beyond our control. Recently, we have experienced fluctuations in commodity costs, as well as in the costs of raw materials and components generally, as a result of global economic conditions and other trends. Increases in these costs could erode our profit margin and negatively impact our results of operations to the extent we are unable to successfully mitigate and offset the impact of these costs. While increases in the cost of energy or products could have adverse effects, decreases in those costs, particularly if severe, could also adversely impact us by creating deflation in selling prices, which could cause our profit margin to deteriorate. Fluctuations in energy or raw materials costs can also adversely affect our customers.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Challenges in managing working capital and inventory in response to evolving customer demands, supply chain disruptions, and market fluctuations could significantly impact our cash flow, profit margins, and overall business performance.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ability to manage our working capital, including our inventory position, as well as efficiently managing our receivables and payables, is important to the successful operation of our business and resulting cash flow, and if we do not manage our working capital adequately, it can affect our cash flows, results of operations, and financial performance. Evolving customer demand patterns and supply chain disruptions may require rapid adjustments in inventory management strategies. Additionally, our business may continue to adjust the proportion of direct ship sales versus stock sales. An increase in direct ship sales could negatively impact product margins and other financial metrics, while an increase in stock sales could negatively impact inventory carrying costs and free cash flow, either of which could have a negative impact on our business and financial performance. Furthermore, fluctuations in foreign exchange rates, particularly in international markets, combined with varying interest rates, can significantly affect the cost of inventory, the value of receivables, and the cost of debt, thereby impacting our working capital efficiency, ability to fund growth initiatives and overall financial stability.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 decline in project volume could adversely affect our sales and earnings.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While much of our sales and earnings are generated by comparatively smaller and more frequent orders, the fulfillment of large orders for large capital projects generates significant sales and earnings. Accordingly, our results of operations can fluctuate depending on whether and when large project awards occur and the commencement and progress of work under large contracts already awarded.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awarding and timing of projects is unpredictable and depends on many factors outside of our control. Project awards often involve complex and lengthy negotiations and competitive bidding processes. These processes can be impacted by a wide range of factors including a customer’s decision to not proceed with a project or its inability to obtain necessary governmental approvals or financing, commodity prices, interest rates, and overall market and economic conditions. Slow macro-economic growth rates, difficult credit market conditions for our customers, weak demand for our customers’ products or other customer spending constraints can result in project delays or cancellations. In addition, some our competitors may also be more willing to take greater or unusual risks or include terms and conditions in a contract that we might not deem acceptable. Our involvement in large, complex projects and multi-site customer programs may also expose us to heightened execution, contractual, and working capital risk, as they often involve customer specific technical requirements, longer fulfillment timelines, milestone-based payment terms, tight delivery windows, liquidated damages, service level commitments, penalty provisions, or performance warranties.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have risks associated with the sale of nonconforming products and services.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experienced a small number of cases in which our vendors supplied us with products that did not conform to the agreed upon specifications. Additionally, we may inadvertently sell a product not suitable for a customer’s application. We address this risk through our quality control processes, by seeking to limit liability and our warranty in our customer contracts, and by seeking to obtain indemnification rights from vendors. However, there can be no assurance that we will be able to include protective provisions in all of our contracts or that vendors will adequately fulfill their obligations to us. In addition, we may be exposed to significant costs and reputational harm from product liability claims, recalls, or safety issues. Such events, regardless of merit, may lead to litigation, direct or third-party claims, regulatory scrutiny, and reduced customer confidence, adversely impacting our financial condition and operating results.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Disruptions to our logistics capability, or our failure to effectively manage supply chain logistics during periods of disruption, may have an adverse impact on our operations.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global logistics services are operated through distribution centers around the world. An interruption of operations at any of our distribution centers could have a material adverse effect on the operations of sites served by the affected distribution center. Such disaster related risks and effects are not predictable with certainty and, although they typically can be mitigated, they cannot be eliminated. We seek to mitigate our exposures to disaster events in a number of ways. For example,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feasible, we design the configuration of our facilities to reduce the consequences of disasters. We also maintain insurance for our facilities against casualties, and we evaluate our risks and develop contingency plans for dealing with them. Disruptions to our logistics capability or supply chain may have an adverse impact on our ability to serve our customers, based on factors such as a lack of depth and breadth in the suppliers we do business with, failure to utilize and optimize warehouse space availability in key markets, failure to achieve network optimization and last mile solutions, and failure to improve our supply chain resiliency through technological improvements.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Although we have reviewed and analyzed a broad range of risks applicable to our business, the risks that most significantly affect us may not be those that we have concluded are most likely to occur. Furthermore, although our reviews have led to more systematic business continuity and contingency planning, our plans are in varying stages of development and execution, such that they may not be adequate at the time of occurrence for the magnitude of any particular disaster event that we may encounter.</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also depend on transportation service providers for the delivery of products to our customers. Any significant interruption or disruption in service at one or more of our distribution centers due to severe weather or natural disasters (including as a result of climate change), information technology upgrades, operating issues, disruptions to our transportation network, public heath crises, pandemics, or other unanticipated events, could impair our ability to obtain or deliver inventory in a timely manner, increase transportation costs, cause cancellations or delays in shipments to customers or otherwise disrupt our normal business operations.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reliance on third-party service providers for outsourced functions could negatively impact our reputation, operations or financial results.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engage third-party suppliers for various outsourced services. This approach aims to enhance efficiency and generate cost savings. However, it also increases our operational complexity and reduces our direct control over these functions. Dependence on these providers subjects us to risks such as inadequate service levels, untimely support, non-compliance with legal requirements and industry standards, and potential disruptions if these relationships are terminated or not renewed. These factors could lead to missed deadlines, reputational harm, or challenges in adapting to regulatory or market changes. In the event of substandard performance by our service providers, or if we are unable to promptly replace them with competent alternatives, our business, reputation, and financial condition could be adversely affected. We may consider outsourcing additional functions in the future, further heightening these risks.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An increase in competition could decrease sales, profit margins, and earnings.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industry and compete directly with global, national, regional and local providers of like products and services. Some of our existing competitors have, and new market entrants may have, greater resources than us. Competition is generally based on product line breadth, product availability, service capabilities and price. Other sources of competition are buying groups formed by smaller distributors to increase purchasing power and provide some cooperative marketing capability, as well as e-commerce companies. There may be new market entrants with non-traditional business and customer service models, resulting in increased competition and changing industry dynamics.</w:t>
      </w:r>
    </w:p>
    <w:p>
      <w:pPr>
        <w:pStyle w:val="TextBody"/>
        <w:bidi w:val="0"/>
        <w:spacing w:lineRule="auto" w:line="288" w:before="120" w:after="283"/>
        <w:ind w:left="0" w:right="0" w:firstLine="270"/>
        <w:jc w:val="both"/>
        <w:rPr/>
      </w:pPr>
      <w:r>
        <w:rPr>
          <w:rFonts w:ascii="Times New Roman;serif" w:hAnsi="Times New Roman;serif"/>
          <w:b w:val="false"/>
          <w:color w:val="000000"/>
          <w:sz w:val="20"/>
        </w:rPr>
        <w:t>Existing or future competitors may seek to gain or retain market share by reducing prices, and we may be required to lower our prices or may lose business, which could adversely affect our financial results. We may be subject to supplier price increases while not being able to increase prices to customers. Also, to the extent that we do not meet changing customer preferences or demands, or to the extent that one or more of our competitors becomes more successful with private label products, on-line offerings or otherwise, our ability to attract and retain customers could be materially adversely affected. Existing or future competitors also may seek to compete with us for acquisitions, which could have the effect of increasing the price and reducing the number of suitable acquisitions. These factors, in addition to competitive pressures resulting from the fragmented nature of our industry, could affect our sales, profit margins and earnings. Additionally, changes in customer procurement practices,</w:t>
      </w:r>
      <w:r>
        <w:rPr>
          <w:color w:val="000000"/>
        </w:rPr>
        <w:t xml:space="preserve"> </w:t>
      </w:r>
      <w:r>
        <w:rPr>
          <w:rFonts w:ascii="Times New Roman;serif" w:hAnsi="Times New Roman;serif"/>
          <w:b w:val="false"/>
          <w:color w:val="000000"/>
          <w:sz w:val="20"/>
        </w:rPr>
        <w:t>such as increased direct sourcing, vendor consolidation, or adoption of digital procurement platforms, algorithmic or AI-enabled pricing, procurement or sales tools,</w:t>
      </w:r>
      <w:r>
        <w:rPr>
          <w:color w:val="000000"/>
        </w:rPr>
        <w:t xml:space="preserve"> </w:t>
      </w:r>
      <w:r>
        <w:rPr>
          <w:rFonts w:ascii="Times New Roman;serif" w:hAnsi="Times New Roman;serif"/>
          <w:b w:val="false"/>
          <w:color w:val="000000"/>
          <w:sz w:val="20"/>
        </w:rPr>
        <w:t xml:space="preserve">could shift volume away from us, heighten price competition, and pressure margins.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continued success may depend on our ability to execute ESG programs as planned and may impact our reputation and operating costs.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Customers, suppliers, employees, community partners, shareholders and regulatory agencies in various jurisdictions globally request disclosure and action relating to ESG objectives and performance. We commit time and resources to ESG efforts, consistent with our corporate values and in ways designed to strengthen our business, including programs focused on sustainability. Our failure to execute our ESG programs and objectives as planned, or in accordance with the evolving expectations of various stakeholders or regulators in the U.S., Europe and globally, including compliance with standards and regulations such as the EU Corporate Sustainability Reporting Directive (CSRD)’s ESRS standards, ISSB standards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incorporated into law by various countries globally, the Science Based Targets initiative, and California climate disclosure rules under Senate Bills 253 and 261, could adversely affect the Company’s reputation, business and financial performance. For example, an isolated incident of non-compliance, underperformance or inaccuracy in reporting, the aggregate effect of individually insignificant incidents or the failures of suppliers in our supply chain, can erode trust and confidence in the Company and our brand and adversely affect our business and financial performance, particularly if such events result in claims of misleading ESG-related statements or disclosures, adverse publicity, governmental investigations, enforcement actions, fines, or litigation. The continually evolving nature of ESG frameworks and climate disclosure regimes, particularly the CSRD and its ESRS standards, creates uncertainty regarding the timing, scope, applicability, and assurance requirements of disclosures, as well as the operational measures expected to support those disclosures, including climate transition plans and supply chain due diligence. These uncertainties complicate our compliance roadmap, may require systems and controls enhancements, data collection from numerous third parties, and may increase audit or assurance costs. Evolving and compartmentalized reporting requirements across jurisdictions could lead to inconsistent report interpretation, potential allegations of misstatement, and enforcement risk. To the extent we face delays or challenges in obtaining reliable data, implementing new processes, or securing necessary assurance, we may incur higher costs, experience reputational harm, or face regulatory or legal exposure.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Simultaneously, increased expectations and regulations around ESG reporting and performance may result in higher operating expenses, capital expenditures and costs of goods sold (including those related to deploying low-carbon technologies, expanding our electric vehicle fleet, strengthening ESG monitoring and reporting programs, calculating and disclosing different scopes of GHG emissions in the manner and timeline expected by regulators and other stakeholders, enhancing supply chain transparency programs, securing assurance by third-party auditors over ESG data, developing and implementing climate transition plans that may be requested by customers or required by regulations, transitioning suppliers due to their ESG programs, other costs to pursue our ESG goals or supplier price increases as manufacturers and services providers accommodate their own ESG-related expenses), which could reduce our profitability and cash flow. Additionally, certain customers may set net-zero emissions targets, and we could face pressure from such customers to further reduce emissions to assist them in the achievement of such targets or risk the loss of their business, which could result in increased costs or decreased revenue and may adversely impact financial performance.</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Tax Matters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tax laws or challenges to the Company’s tax positions by taxing authorities could adversely impact the Company’s results of operations and financial condition.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are subject to taxes in jurisdictions in which we do business, including, but not limited to, taxes imposed on our income, receipts, stockholders’ equity, property, sales, purchases and payroll. As a result, the tax expense we incur can be adversely affected by changes in tax law. We cannot always anticipate these changes in tax law, which can cause unexpected volatility in our results of operations. Changes in the tax law at the federal and state/provincial levels, in particular, in the U.S. and Canada, jurisdictions which account for most of our income before taxes, can have a material adverse effect on our results of operations.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(the “OECD”) issued rules with effect from 2024, subject to phase-in and certain transitional relief, to address the tax challenges arising from the digitalization of the global economy, including a global minimum tax. Many of the OECD’s member states have enacted the required domestic legislation implementing the OECD’s global minimum tax rules. The OECD recently released additional rules, which are intended to become effective January 1, 2026, implementing a “side-by-side" system which exempts U.S.-based multinational companies from two of the three taxing mechanisms provided for in the global minimum tax rules. The side-by-side rules must still be adopted by the OECD member states through local legislation to become effective. The Company continues to evaluate the impact of developments concerning the global minimum tax rules. The Company does not expect the global minimum tax rules to have a material impact on the Company’s worldwide tax expense, but they are expected to create significant additional compliance obligations. Other provisions of the OECD rules, including standardized intercompany pricing for routine marketing and distribution activities, are still being developed by the OECD.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enacted on July 4, 2025, made permanent certain expiring provisions of the 2017 Tax Cuts and Jobs Act (“TCJA”) and modified other provisions of the TCJA, as well as the Inflation Reduction Act of 2022 (the “IRA”). These changes included the permanent extension of 100% “bonus” depreciation for certain property, the permanent restoration of the tax-basis EBITDA-based limitation on the deductibility of business interest expense subject to certain modifications to the computation of tax-basis EBITDA, and the immediate expensing of qualified domestic research and development expenses. The OBBBA also made permanent, with certain modifications, certain TCJA provisions concerning the current taxation of income from international operations. The OBBBA contained various effective dates with certain provisions becoming effective in 2025 and others in 2026 and beyond. The Company has reflected the estimated impact of the OBBBA on current and deferred income taxes in its Consolidated Balance Sheets. Modifications to the computation of the tax-basis EBITDA-based limitation on the deductibility of business interest expense, which become effective in 2026, could have a material adverse impact in future periods on our ability to deduct incremental interest expense on our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U.S. federal government provides incentives to promote investment in renewable energy and other qualifying projects in the form of tax credits and other financial incentives. The IRA significantly expanded the tax credits available for the investment in or production of renewable energy and made eligible tax credits transferable for the first time. The Company purchased transferable tax credits (“TTCs”) which we used to offset our 2024 and 2025 U.S. federal income tax liabilities. The Company may purchase additional TTCs to offset future federal income tax liabilities. The OBBBA made material modifications to the tax credit provisions in the IRA, which could impact the availability of TTC’s for purchase and increase the risk of disallowance or recapture of TTC’s purchased by the Company in future periods.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purchase of TTCs involves risks and uncertainties. These include a determination by the Internal Revenue Service (“IRS”) that the underlying investment or production is not eligible for tax credits or that such tax credits are not eligible for transfer. In some cases, the IRS can also impose a penalty of 20% of the amount of ineligible tax credits disallowed. Also, certain TTCs are subject to recapture if the underlying project does not remain in service for the required period of time under the law. The disallowance by the IRS or recapture of purchased TTC’s could result in material additional tax expense in future periods. These lost TTCs may be offset, at least in part, by other income recognized for the recovery of losses from insurance coverage, or seller/sponsor indemnifications or guarantees.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Finally, the tax laws to which the Company is subject are inherently complex and ambiguous. Therefore, we must interpret the applicable laws and make subjective judgments about the expected outcome upon challenge by the applicable taxing authorities. As a result, the impact on our results from operations of the application of enacted tax laws to our facts and circumstances is sometimes uncertain. If a tax authority successfully challenges our interpretation and application of the tax law to our facts and circumstances, there can be no assurance that we can accurately predict the outcome and the taxes ultimately owed upon effective settlement, which may differ from the tax expense recognized in our Consolidated Statements of Income and Comprehensive Income and accrued in our Consolidated Balance Sheets. Additionally, if we cannot meet liquidity requirements in the U.S., we may have to repatriate funds from overseas to meet these liabilities, which would result in additional income taxes being incurred on the amount repatriated.</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Risks Related to Our Indebtedness and Capital Structure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outstanding indebtedness requires debt service commitments that could adversely affect our ability to fulfill our obligations and could limit our growth and impose restrictions on our business, and fluctuations in interest rates could affect the cost of our indebtedness.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incurred significant indebtedness to finance mergers and acquisitions, including the merger with Anixter in 2020, to support working capital growth, investments in our digital platform and to fund investments in our operations. Additionally, in 2025, we incurred significant additional indebtedness to finance the redemption of the Series A Preferred Stock. As a result, a substantial portion of our cash flow from operations must be dedicated to the payment of principal and interest on our indebtedness, thereby reducing the funds available to us for other purposes. As of December 31, 2025, excluding debt discount and debt issuance costs, we had $5.8 billion of consolidated indebtedness. We and our subsidiaries may also undertake additional borrowings in the future, subject to certain limitations contained in the debt instruments governing our indebtedness.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debt service obligations impact our ability to operate and grow our business. Our payments of principal and interest on our indebtedness reduce the amount of funds available to us to invest in operations, future business opportunities, acquisitions, and other potentially beneficial activities. Our debt service obligations also reduce our flexibility to adjust to changing market conditions and may increase our vulnerability to adverse economic, political, financial market and industry conditions. A portion of our indebtedness, including amounts outstanding under our accounts receivable securitization and revolving credit facilities, bears interest at variable rates. In the future, we may also incur additional indebtedness that bears interest at variable rates. In a rising interest rate environment, or one in which interest rates may be affected by market disruptions, the interest expense on our variable rate borrowings will increase. Our ability to service and refinance our indebtedness, make scheduled payments on our operating and finance leases, fund capital expenditures, acquisitions or other business opportunities, repurchase shares, and pay dividends will depend in large part on both our future performance and the availability of additional financing in the future, as well as prevailing interest rates and other market conditions and other factors beyond our control. We cannot assure you that we will be able to obtain additional financing on terms acceptable to us or at all. Refer to Item 7A, “Quantitative and Qualitative Disclosures About Market Risks” for additional details on interest risks.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business will continue to generate sufficient cash flows from operations in the future to service our debt, make necessary capital expenditures, or meet other cash needs. If the financial performance of the Company does not meet current expectations, then our ability to service or repay our indebtedness may be adversely impacted. If unable to do so, we may be required to refinance all or a portion of our existing debt, sell assets, or obtain additional financing. If we are unable to repay indebtedness, lenders having secured obligations could proceed against the collateral securing these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debt agreements contain restrictive covenants that may limit our ability to operate our business.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credit facilities and our other debt agreements contain various covenants that restrict or limit our ability to,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incur additional indebtedness or create liens on assets;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engage in mergers, acquisitions or consolidations;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make loans or other investments;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transfer, lease or dispose of assets outside the ordinary course of business;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pay dividends, repurchase equity interests, make other payments with respect to equity interests, repay or repurchase subordinated debt;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engage in affiliate transactions.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certain of these debt agreements contain financial covenants that may require us to maintain certain financial ratios and other requirements in certain circumstances. As a result of these covenants, our ability to respond to changes in business and economic conditions and to obtain additional financing, if needed, may be significantly restricted, and we may be prevented from engaging in transactions or taking advantage of new business opportunities that might otherwise be beneficial to us. Our ability to comply with these covenants and restrictions may be affected by economic, financial and industry conditions or regulatory changes beyond our control. Failure to comply with these covenants or restrictions could result in an event of default, under our revolving lines of credit or the indentures governing our outstanding notes which, if not cured or waived, could accelerate our repayment obligations. See the Liquidity and Capital Resources section in Item 7, “Management’s Discussion and Analysis” for further details.</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are subject to costs and risks associated with global laws and regulations affecting our business, as well as litigation for product liability or other matters affecting our business.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global legal and regulatory environment is complex and exposes us to compliance costs and risks, as well as litigation and other legal proceedings, which could materially affect our operations and financial results. These laws and regulations may change, sometimes significantly, as a result of political or economic events, and some changes are anticipated to occur in the future. They include laws and regulations covering taxation, trade, import and export, labor and employment (including wage and hour), product safety, product labeling, occupational safety and health, data privacy, data protection, intellectual property, AI, and sustainability and environmental matters (including those relating to global climate change and its impact). We are also subject to securities and exchange laws and regulations and other laws applicable to publicly-traded companies such as the Foreign Corrupt Practices Act. Furthermore, as a government contractor selling to federal, state and local government entities, we are also subject to a wide variety of additional laws and regulations, including the Federal Acquisition Regulation (“FAR”) and Defense Federal Acquisitions Regulation Supplement (“DFARS”), and additional compliance obligations, such as Cybersecurity Maturity Model Certification (CMMC) compliance, domestic preference and Buy America/Build America requirements. Proposed laws and regulations in these and other areas could affect the cost of our business operations.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legal proceedings, audits or investigations which may relate to, for example, product liability, labor and employment (including wage and hour), tax, escheat, import and export compliance, government contracts, FAR and DFARS compliance, worker health and safety, intellectual property misappropriation or infringement, antitrust and business practices, and general commercial and securities matters. While we believe the outcome of any pending matter is unlikely to have a material adverse effect on our financial condition or liquidity, additional legal proceedings may arise in the future and the outcome of these as well as other contingencies could require us to take actions, which could adversely affect our operations, could diminish our intellectual property portfolio or could require us to pay substantial amounts of money. Even if we successfully defend against claims, we may incur significant costs that could adversely affect our results of operations, financial condition and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 must attract, retain and motivate our employees, and the failure to do so may adversely affect our business.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success depends on hiring, retaining and motivating our employees, including executive, managerial, sales, technical, operations, marketing and support personnel. We may have difficulty locating and hiring qualified personnel. In addition, we may have difficulty retaining such personnel once hired, and key people may leave and compete against us. The loss of key personnel or our failure to attract and retain other qualified and experienced personnel could disrupt or adversely affect our business, its sales and operating results. In addition, our operating results could be adversely affected by increased costs due to increased competition for employees, higher employee turnover, increasing levels of retirement, the possibility of a shrinking workforce in various regions globally, which may also result in increased employee benefit or other costs or the loss of significant customer business, proprietary information, or tacit knowledge, which could negatively impact our operational efficiency, innovation capabilities, and customer relationships. Furthermore, inadequate talent management and succession planning, along with potential challenges in adapting to evolving workplace trends and expectations, could hinder our ability to respond to market changes and maintain a competitive edge, which could lead to decreased productivity, reduced market share, and ultimately, a decline in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Information security and protection of our data is important to Wesco, our customers and suppliers. As a global company, we face various cybersecurity threats, ranging from phishing, ransomware and denial-of-service attacks to more recent and growing threats incorporating the use of AI, which are becoming more sophisticated. Our suppliers, third-party vendors, service providers, customers and other business partners are also vulnerable to similar cybersecurity risks. In response to this evolving cybersecurity threat landscape, we have implemented a cybersecurity risk management program that follows a comprehensive, multi-layered approach to securing our data and business systems from attack, compromise or loss, guided by the National Institute of Standards and Technology (“NIST”) Cybersecurity Framework. This includes the combination of leading technologies, physical and organizational safeguards, including a robust suite of security policies and procedures. We have a dedicated 24 hours per day/seven days per week Cybersecurity Operations team, with a third-party service provider, monitoring our environment for signs of attack and responding in real-time. Our implementation of a multi-layer and multi-provider portfolio of technologies is designed to deliver overlapping coverage against continually evolving cybersecurity threats with a strong defensive and response driven security posture. We evaluate risks, threats, intelligence feeds and vulnerabilities to adapt, mitigate or respond as appropriate to preserve a secure state. We recognize that even robust preventive and detective controls may not fully eliminate the possibility of a significant AI</w:t>
        <w:noBreakHyphen/>
        <w:t>driven cybersecurity incident. However, we are continually evaluating and introducing new processes and controls to mitigate risks from a constantly evolving threat landscape, including those amplified by AI.</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Additionally, we identify, assess and manage risks associated with our use of third-party service providers and other business partners and we maintain a comprehensive third-party risk management program to evaluate partners prior to onboarding, throughout the life of the relationship, and through the conclusion of the relationship. This program is designed to ensure our third-party partners adhere to Wesco’s security policies and expectations as the threat landscape and the relationship evolve.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engage third-party experts, including auditors, consultants and advisors, to evaluate and enhance our cybersecurity program through security certifications, assessments and testing. Wesco’s cybersecurity programs are reviewed as part of our information security management system (“ISMS”) by external, independent third-party auditors. We have received ISO 27001 certification for our ISMS and we undergo annual audits by an independent accreditation body to maintain this certification. We also engage third-party consultants to perform penetration and vulnerability tests at least once per quarter, as well as annual engagements that simulate cyber threats. The results of these tests and assessments are used to establish priorities, allocate resources, and improve controls. We conduct mandatory information security awareness training for all new hires and employees at least annually as well as specialized training for certain functions, such as developers, platform administrators and finance personnel. We have instituted regular phishing, social engineering and other malicious attack simulations, generally at least once per quarter, to enhance our employees’ awareness and responsiveness to such possible threats. We run several awareness campaigns each year covering a variety of topical cybersecurity subjects and we maintain an internal website that is accessible to all employees that has security policies, additional trainings, and current news events. Our security policies and trainings are regularly evaluated and updated to adapt to changing regulations and emerging cybersecurity risks. Our training program also includes expert guest speakers and additional training during cybersecurity awareness month each October.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While we focus on prevention and detection, we have response and recovery plans in place, as well as service agreements and partner engagements should there be a need for us to respond to an attack. We have adopted a cybersecurity incident response plan that provides direction and a defined approach for preparing for, identifying and responding to cybersecurity incidents that may pose a potential threat to our information systems, networks and data. We review the overall incident response plan at least annually or as needed to determine what updates (if any) are necessary. The plan defines the roles and responsibilities of our IT and security teams and other functional teams that comprise the cybersecurity incident response team, as well as provides controls and procedures for timely and accurate reporting of material cybersecurity incidents. Significant cybersecurity incidents are reviewed by a cross-functional team to determine whether further escalation is appropriate. Any incident that potentially is, or may become, material is reported to senior management for materiality and disclosure determinations. We also maintain cyber liability insurance coverage.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Through our enterprise risk management (“ERM”) program, we identify, assess and manage a broad range of risks across the organization. Through the ERM process, cybersecurity has been identified as an important risk facing our business. Accordingly, our cybersecurity risk management program is integrated into our overall ERM program and information about cybersecurity risks and our cybersecurity risk management program is reviewed as part of our ERM program.</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no risks from cybersecurity threats, including as a result of any previous cybersecurity incidents, have materially impacted us, including our business strategy, results of operations, or financial condition. However, we cannot provide assurance that we will not experience such an event moving forward and if realized, that we, or our business strategy, results of operations, or financial condition, would not be materially affected in the future by such risks or any future material incidents. For more information on our cybersecurity related risks, see Item 1A, “Risk Factors” of this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To more effectively prevent, detect and respond to information security threats, we have a dedicated Chief Information Security Officer (“CISO”) whose team is responsible for leading enterprise-wide information security strategy, policy, standards, architecture and processes. Our CISO has over 30 years of technology experience, including over twelve years of experience dedicated to cybersecurity. He has been in this role with Wesco since 2020 and has a total of approximately ten years of experience serving in the role of Chief Information Security Officer. The CISO reports to our Executive Vice President, Chief Information and Digital Officer (“CIDO”), who reports directly to our Chief Executive Officer. The CISO and CIDO regularly review cybersecurity matters with our Chief Executive Officer and other members of our senior management, including cybersecurity risks and threats and the status of our cybersecurity incident response plan and related processes relating to the prevention, detection, mitigation and remediation of cybersecurity incidents. Recognizing the transformative potential and risks of AI, Wesco established an AI Governance Council in 2025. This executive-led, cross-functional body ensures the prioritized, ethical and secure use of AI to drive strategic business initiatives while protecting our systems and data.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its oversight responsibility of cybersecurity risk and the overall enterprise risk management process, the Audit Committee of our Board of Directors meets periodically with our CISO, CIDO, and other senior leaders to receive updates on cybersecurity risks and threats (and should they arise, any material incidents), the status of initiatives to strengthen our information security systems, third-party risk assessment outcomes, cybersecurity risk metrics, management’s assessments of our security program, and compliance with disclosure requirements. The Audit Committee and senior management report any findings and recommendations, as appropriate to the full Board of Directors for consideration. Wesco’s cybersecurity program is regularly evaluated by internal and external experts with the results of those reviews reported to senior leadership and the Board of Directors. We also actively engage with strategic partners, industry groups, and intelligence and law enforcement to better understand macro trends and significant risk concerns to better inform and enhance our cybersecurity policies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operate a network of approximately 600 distribution and fulfillment center locations that hold inventory, and approximately 120 sales offices, with operations in approximately 50 countries throughout the world. This includes 63 facilities with square footage between 100,000 and 500,000 that operate as large distribution centers or fulfillment centers, of which 49 are located in the U.S., eight in Canada, three in Europe, two in South America and one in Australia. Approximately 7% of our facilities are owned, and the remainder are leased.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also lease our 118,000 square-foot headquarters in Pittsburgh, Pennsylvania. We do not regard the real property associated with any single facility as material to our operations. We believe our facilities are in good operating condition and are adequate for their respective uses.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a number of lawsuits and claims have been or may be asserted against us relating to the conduct of our business, including litigation relating to commercial, product and employment matters.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Information relating to legal proceedings is disclosed in Note 15, “Commitments and Contingencies” of the Notes to Consolidated Financial Statements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283"/>
        <w:ind w:left="0" w:right="0" w:firstLine="270"/>
        <w:jc w:val="both"/>
        <w:rPr/>
      </w:pPr>
      <w:r>
        <w:rPr>
          <w:rFonts w:ascii="Times New Roman;serif" w:hAnsi="Times New Roman;serif"/>
          <w:b/>
          <w:i/>
          <w:color w:val="000000"/>
          <w:sz w:val="20"/>
        </w:rPr>
        <w:t>Market, Stockholder, and Dividend Information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Our common stock is listed on the New York Stock Exchange under the symbol “WCC”. As of February 12, 2026, there were 48,661,915 shares of common stock outstanding held by approximately 820 holders of record.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each of the quarters in the fiscal year ended December 31, 2025, we paid a quarterly cash dividend of $0.454 per common share to our shareholders. The payment of dividends is within the discretion of our Board of Directors and any decision to pay dividends in the future, and the amount of any such dividend, will depend on an evaluation of a number of factors, including our financial condition, earnings, capital requirements, debt service obligations, restrictive covenants contained in our debt agreements, and other factors deemed relevant by our Board of Directors.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disclosed in Note 9, “Debt” of our Notes to Consolidated Financial Statements, the terms of the Revolving Credit Facility, as well as the indentures governing the 7.250% Senior Notes due 2028, 6.375% Senior Notes due 2029, 6.625% Senior Notes due 2032 and 6.375% Senior Notes due 2033 contain various restrictive covenants that limit the amount of dividends and common stock repurchases that can be made. We were in compliance with these conditions in 2025 and expect to be in 2026.</w:t>
      </w:r>
    </w:p>
    <w:p>
      <w:pPr>
        <w:pStyle w:val="TextBody"/>
        <w:bidi w:val="0"/>
        <w:spacing w:lineRule="auto" w:line="288" w:before="120" w:after="283"/>
        <w:ind w:left="0" w:right="0" w:firstLine="270"/>
        <w:jc w:val="both"/>
        <w:rPr/>
      </w:pPr>
      <w:r>
        <w:rPr>
          <w:rFonts w:ascii="Times New Roman;serif" w:hAnsi="Times New Roman;serif"/>
          <w:b/>
          <w:i/>
          <w:color w:val="000000"/>
          <w:sz w:val="20"/>
        </w:rPr>
        <w:t>Issuer Purchases of Equity Securities</w:t>
      </w:r>
      <w:r>
        <w:rPr>
          <w:rFonts w:ascii="Times New Roman;serif" w:hAnsi="Times New Roman;serif"/>
          <w:b/>
          <w:color w:val="000000"/>
          <w:sz w:val="20"/>
        </w:rPr>
        <w: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all issuer purchases of common stock during the three months ended December 31, 2025:</w:t>
      </w:r>
    </w:p>
    <w:tbl>
      <w:tblPr>
        <w:tblW w:w="10205" w:type="dxa"/>
        <w:jc w:val="center"/>
        <w:tblInd w:w="0" w:type="dxa"/>
        <w:tblLayout w:type="fixed"/>
        <w:tblCellMar>
          <w:top w:w="28" w:type="dxa"/>
          <w:left w:w="28" w:type="dxa"/>
          <w:bottom w:w="28" w:type="dxa"/>
          <w:right w:w="28" w:type="dxa"/>
        </w:tblCellMar>
      </w:tblPr>
      <w:tblGrid>
        <w:gridCol w:w="655"/>
        <w:gridCol w:w="439"/>
        <w:gridCol w:w="442"/>
        <w:gridCol w:w="109"/>
        <w:gridCol w:w="109"/>
        <w:gridCol w:w="109"/>
        <w:gridCol w:w="456"/>
        <w:gridCol w:w="456"/>
        <w:gridCol w:w="458"/>
        <w:gridCol w:w="109"/>
        <w:gridCol w:w="109"/>
        <w:gridCol w:w="109"/>
        <w:gridCol w:w="264"/>
        <w:gridCol w:w="904"/>
        <w:gridCol w:w="136"/>
        <w:gridCol w:w="109"/>
        <w:gridCol w:w="109"/>
        <w:gridCol w:w="109"/>
        <w:gridCol w:w="731"/>
        <w:gridCol w:w="731"/>
        <w:gridCol w:w="733"/>
        <w:gridCol w:w="109"/>
        <w:gridCol w:w="109"/>
        <w:gridCol w:w="109"/>
        <w:gridCol w:w="532"/>
        <w:gridCol w:w="1560"/>
        <w:gridCol w:w="400"/>
      </w:tblGrid>
      <w:tr>
        <w:trPr/>
        <w:tc>
          <w:tcPr>
            <w:tcW w:w="65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 as Part of Publicly Announced Plans or Programs</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Approximate Dollar Value of Shares That May Yet be Purchased Under the Plans or Programs</w:t>
            </w:r>
            <w:r>
              <w:rPr>
                <w:rFonts w:ascii="Times New Roman;serif" w:hAnsi="Times New Roman;serif"/>
                <w:b/>
                <w:color w:val="000000"/>
                <w:sz w:val="12"/>
              </w:rPr>
              <w:t>(2)</w:t>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5,210 </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There were 5,210 shares purchased during the quarterly period ended December 31, 2025 that were not part of the publicly announced share repurchase program. These shares were surrendered by stock-based compensation plan participants to satisfy tax withholding obligations arising from the exercise of stock options and stock-settled stock appreciation rights and vesting of restricted stock units.</w:t>
      </w:r>
    </w:p>
    <w:p>
      <w:pPr>
        <w:pStyle w:val="TextBody"/>
        <w:bidi w:val="0"/>
        <w:spacing w:lineRule="auto" w:line="288" w:before="120" w:after="283"/>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On May 31, 2022, Wesco's Board of Directors authorized the repurchase of up to $1 billion of the Company’s common stock. The share repurchase authorization has no expiration date and may be modified, suspended, or terminated at any time without prior notice. During the three months ended December 31, 2025, the Company did not repurchase any shares of its common stock under this share repurchase authorization.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120" w:after="180"/>
        <w:ind w:left="0" w:right="0" w:firstLine="270"/>
        <w:jc w:val="both"/>
        <w:rPr/>
      </w:pPr>
      <w:r>
        <w:rPr>
          <w:rFonts w:ascii="Times New Roman;serif" w:hAnsi="Times New Roman;serif"/>
          <w:b/>
          <w:i/>
          <w:color w:val="000000"/>
          <w:sz w:val="20"/>
        </w:rPr>
        <w:t xml:space="preserve">Company Performance. </w:t>
      </w:r>
      <w:r>
        <w:rPr>
          <w:rFonts w:ascii="Times New Roman;serif" w:hAnsi="Times New Roman;serif"/>
          <w:b w:val="false"/>
          <w:color w:val="000000"/>
          <w:sz w:val="20"/>
        </w:rPr>
        <w:t>The following stock price performance graph illustrates the five-year cumulative total return on an investment in Wesco International compared to the Standard &amp; Poor's (“S&amp;P”) MidCap 400 Index, the Dow Jones US Industrial Suppliers Index, the Russell 2000 Index and a self-selected performance peer group. During the current fiscal year, the Company re-evaluated and decided to discontinue future comparison of its cumulative total shareholder return to the Russell 2000 Index and self-selected performance peer group. This change reflects the Company’s view that the updated indices provide more appropriate, good-faith comparables and better align our reporting with the benchmarks commonly used by our industry peers. As a result of this change and in accordance with applicable SEC rules, the below graph compares Wesco International's cumulative total shareholder return to both the newly selected indices and the indices used in the immediately preceding fiscal year.</w:t>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graph covers the period from December 31, 2020 to December 31, 2025, and assumes that the value for each investment was $100 on December 31, 2020, and that all dividends were reinvested.</w:t>
      </w:r>
    </w:p>
    <w:p>
      <w:pPr>
        <w:pStyle w:val="TextBody"/>
        <w:bidi w:val="0"/>
        <w:spacing w:before="120" w:after="180"/>
        <w:jc w:val="center"/>
        <w:rPr/>
      </w:pPr>
      <w:r>
        <w:rPr/>
        <w:drawing>
          <wp:inline distT="0" distB="0" distL="0" distR="0">
            <wp:extent cx="7219950" cy="3343275"/>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3"/>
                    <a:stretch>
                      <a:fillRect/>
                    </a:stretch>
                  </pic:blipFill>
                  <pic:spPr bwMode="auto">
                    <a:xfrm>
                      <a:off x="0" y="0"/>
                      <a:ext cx="7219950" cy="3343275"/>
                    </a:xfrm>
                    <a:prstGeom prst="rect">
                      <a:avLst/>
                    </a:prstGeom>
                  </pic:spPr>
                </pic:pic>
              </a:graphicData>
            </a:graphic>
          </wp:inline>
        </w:drawing>
      </w:r>
      <w:bookmarkStart w:id="1" w:name="i-2"/>
      <w:bookmarkEnd w:id="1"/>
    </w:p>
    <w:p>
      <w:pPr>
        <w:pStyle w:val="TextBody"/>
        <w:bidi w:val="0"/>
        <w:spacing w:lineRule="auto" w:line="288" w:before="120" w:after="18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Russell 2000 Index and self-selected performance peer group are being presented for comparative purposes only and will be removed beginning next year.</w:t>
      </w:r>
    </w:p>
    <w:p>
      <w:pPr>
        <w:pStyle w:val="TextBody"/>
        <w:bidi w:val="0"/>
        <w:spacing w:lineRule="auto" w:line="288" w:before="120" w:after="180"/>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The self-selected performance peer group includes the following companies: Applied Industrial Technologies, Inc., Arrow Electronics, Inc., Avnet, Inc., Barnes Group Inc., Eaton Corporation Plc, Fastenal Company, Genuine Parts Company, Hubbell, Inc., MRC Global, Inc., MSC Industrial Direct Co., Inc., Rexel SA, Rockwell Automation, Inc., W.W. Grainger, Inc.</w:t>
      </w:r>
    </w:p>
    <w:p>
      <w:pPr>
        <w:pStyle w:val="TextBody"/>
        <w:bidi w:val="0"/>
        <w:spacing w:before="220" w:after="283"/>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ind w:left="0" w:right="0" w:firstLine="270"/>
        <w:jc w:val="both"/>
        <w:rPr/>
      </w:pPr>
      <w:r>
        <w:rPr>
          <w:rFonts w:ascii="Times New Roman;serif" w:hAnsi="Times New Roman;serif"/>
          <w:b w:val="false"/>
          <w:i/>
          <w:color w:val="000000"/>
          <w:sz w:val="20"/>
        </w:rPr>
        <w:t>The following discussion should be read in conjunction with the audited consolidated financial statements and notes thereto included in Item 8 of this Annual Report on</w:t>
      </w:r>
      <w:r>
        <w:rPr>
          <w:color w:val="000000"/>
        </w:rPr>
        <w:t xml:space="preserve"> </w:t>
      </w:r>
      <w:r>
        <w:rPr>
          <w:rFonts w:ascii="Times New Roman;serif" w:hAnsi="Times New Roman;serif"/>
          <w:b w:val="false"/>
          <w:i/>
          <w:color w:val="000000"/>
          <w:sz w:val="20"/>
        </w:rPr>
        <w:t xml:space="preserve">Form 10-K. The matters discussed herein may contain forward-looking statements that are subject to certain risks and uncertainties that could cause actual results to differ materially from expectations. Certain of these risks are set forth in Item 1A of this Annual Report on Form 10-K. In this Item 7, </w:t>
      </w:r>
      <w:r>
        <w:rPr>
          <w:color w:val="000000"/>
        </w:rPr>
        <w:t>“</w:t>
      </w:r>
      <w:r>
        <w:rPr>
          <w:rFonts w:ascii="Times New Roman;serif" w:hAnsi="Times New Roman;serif"/>
          <w:b w:val="false"/>
          <w:i/>
          <w:color w:val="000000"/>
          <w:sz w:val="20"/>
        </w:rPr>
        <w:t>Wesco</w:t>
      </w:r>
      <w:r>
        <w:rPr>
          <w:color w:val="000000"/>
        </w:rPr>
        <w:t xml:space="preserve">” </w:t>
      </w:r>
      <w:r>
        <w:rPr>
          <w:rFonts w:ascii="Times New Roman;serif" w:hAnsi="Times New Roman;serif"/>
          <w:b w:val="false"/>
          <w:i/>
          <w:color w:val="000000"/>
          <w:sz w:val="20"/>
        </w:rPr>
        <w:t xml:space="preserve">refers to WESCO International, Inc., and its subsidiaries and its predecessors unless the context otherwise requires. References to </w:t>
      </w:r>
      <w:r>
        <w:rPr>
          <w:color w:val="000000"/>
        </w:rPr>
        <w:t>“</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us,</w:t>
      </w:r>
      <w:r>
        <w:rPr>
          <w:color w:val="000000"/>
        </w:rPr>
        <w:t>” “</w:t>
      </w:r>
      <w:r>
        <w:rPr>
          <w:rFonts w:ascii="Times New Roman;serif" w:hAnsi="Times New Roman;serif"/>
          <w:b w:val="false"/>
          <w:i/>
          <w:color w:val="000000"/>
          <w:sz w:val="20"/>
        </w:rPr>
        <w:t>our</w:t>
      </w:r>
      <w:r>
        <w:rPr>
          <w:color w:val="000000"/>
        </w:rPr>
        <w:t xml:space="preserve">” </w:t>
      </w:r>
      <w:r>
        <w:rPr>
          <w:rFonts w:ascii="Times New Roman;serif" w:hAnsi="Times New Roman;serif"/>
          <w:b w:val="false"/>
          <w:i/>
          <w:color w:val="000000"/>
          <w:sz w:val="20"/>
        </w:rPr>
        <w:t xml:space="preserve">and the </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i/>
          <w:color w:val="000000"/>
          <w:sz w:val="20"/>
        </w:rPr>
        <w:t>refer to Wesco and its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the results provided in accordance with accounting principles generally accepted in the United States of America (“U.S. GAAP”), our discussion and analysis of financial condition and results of operations includes certain non-GAAP financial measures, which are defined further below. These financial measures include organic sales growth, earnings before interest, taxes, depreciation and amortization (“EBITDA”), adjusted EBITDA, adjusted EBITDA margin, financial leverage, adjusted selling, general and administrative expenses, adjusted income from operations, adjusted other non-operating expense (income), adjusted provision for income taxes, adjusted income before income taxes, adjusted net income, adjusted net income attributable to WESCO International, Inc., adjusted net income attributable to common stockholders, and adjusted earnings per diluted share. We believe that these non-GAAP measures are helpful to users of our financial statements as they provide a better understanding of our financial condition and results of operations on a comparable basis. Additionally, certain non-GAAP measures either focus on or exclude items impacting comparability of results, allowing users to more easily compare our financial performance from period to period. Management uses certain non-GAAP financial measures in its evaluation of the performance of the Company’s operating segments and in the determination of incentive compensation. Management does not use these non-GAAP financial measures for any purpose other than the reasons stated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headquartered in Pittsburgh, Pennsylvania, is a leading provider of business-to-business distribution, logistics services and supply chain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employ approximately 21,000 people, maintain relationships with more than 35,000 suppliers, and serve nearly 130,000 customers worldwide. With millions of products, end-to-end supply chain services, and significant digital capabilities, Wesco provides innovative solutions to meet customer needs across commercial and industrial businesses,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 operate more than 700 sites, including distribution centers, fulfillment centers and sales offices, in approximately 50 countries, providing a local presence for customers and a global network to serve multi-location businesses and global corporations.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operating segments comprising three strategic business units: Electrical &amp; Electronic Solutions (“EES”), Communications &amp; Security Solutions (“CSS”) and Utility &amp; Broadband Solutions (“UBS”). These operating segments are equivalent to our reportable segments. See Item 1, “Business” in this Annual Report on Form 10-K for a description of each of our reportable segments and their business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financial results reflect strong sales in 2025, highlighted by a 7.8% year-over-year increase in reported net sales. Organic sales increased by 8.6% year over year, which adjusts for the impact of acquisitions and divestitures, fluctuations in foreign exchange rates and number of workdays. Our CSS data center business is primarily driving this growth in sales, but also contributing to lower gross margins as compared to the prior year due to several large project sales. Our EES segment experienced continued growth across its Original Equipment Manufacturer (“OEM”) and construction businesses, fueled in part by rising demand for data center projects and increased infrastructure activity. Within the UBS segment, our Utility business experienced a year-over-year sales decline driven by reduced public power activity, while our Broadband business delivered year-over-year growth supported by continued network investments. We have also seen year-over-year backlog growth driven primarily by our CSS and UBS segments, with our EES segment contributing as well.</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continued to address supplier price increases in response, in part, to global tariffs, including but not limited to, passing through price increases, leveraging scale to provide locally sourced products, reducing imports from high tariff countries, optimizing supply chain logistics, and re-engineering our global supply chain. Although the long-term impact remains uncertain, tariffs did not have a material effect on our financial results for 2025. </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After redeeming our Series A Preferred Stock in June 2025, we have no significant debt maturities until 2028 and have strong liquidity to execute our capital allocation priorities of debt reduction, stock buybacks and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we continued to execute on our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 </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Taking the above highlights into consideration, we believe we are well positioned to benefit from enduring secular growth trends of AI-driven data centers, increased power generation, and supply chain re-shoring.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is based upon our consolidated financial statements, which have been prepared in accordance with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that involve a significant level of estimation uncertainty and have had or are reasonably likely to have a material impact on the financial condition or results of operations, including those related to goodwill and indefinite-lived intangible assets and income taxes.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If actual market conditions are less favorable than those projected by management, additional adjustments to reserve items may be required. We believe the following accounting estimates are the most critical to the understanding of our consolidated financial statements as they require subjective or complex judgments by management.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Goodwill and Indefinite-Lived Intangible Assets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tested for impairment annually as of October 1, or more frequently if triggering events occur, indicating that their carrying values may not be recoverable. We test for goodwill impairment on a reporting unit level. We have the option to first assess qualitative factors to determine whether it is more likely than not that the fair value of a reporting unit or indefinite-lived intangible asset is less than its carrying value as a basis for determining whether it is necessary to perform quantitative impairment tests. When performing a qualitative assessment we consider several factors, including macroeconomic conditions, industry and market considerations, cost factors, overall financial performance, other relevant events such as changes in key personnel, changes in the composition or carrying amount of the net assets of a reporting unit, and changes in share price.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will perform a quantitative impairment test if we bypass the qualitative assessment, or if based on the qualitative assessment, it is more likely than not that the fair value of each reporting unit or indefinite-lived intangible asset is less than the carrying amount. For the year ended December 31, 2025, we performed annual impairment tests of goodwill and indefinite-lived intangible assets during the fourth quarter of 2025 by assessing the above-mentioned qualitative factors. As a result of these assessments, we determined that it was more likely than not that the fair values of our reporting units and indefinite-lived intangible assets continued to exceed their respective carrying amounts and, therefore, a quantitative impairment test was not necessary.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it pertains to a quantitative impairment test, the determination of fair value involves significant management judgment, particularly as it relates to the underlying assumptions and factors around future expected revenues, operating margins and discount rate. This involves performing sensitivity analyses around certain of these assumptions in order to assess the reasonableness of the assumptions and resulting estimated fair values. Management applies its best judgment when assessing the reasonableness of financial projections. Fair values are sensitive to changes in underlying assumptions and factors, and as a result there can be no assurance that the estimates and assumptions made for purposes of the annual goodwill and indefinite-lived intangible assets impairment tests will prove to be an accurate prediction of future results.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See Note 2, “Accounting Policies” and Note 6, “Goodwill and Intangible Assets” of our Notes to Consolidated Financial Statements for additional disclosure regarding goodwill and indefinite-lived intangible assets.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recognize deferred tax assets consistent with amounts expected to be realized. To make such determination, management evaluates all positive and negative evidence, including but not limited to, prior, current and future taxable income, tax planning strategies and future reversals of existing taxable temporary differences. A valuation allowance is recognized if it is “more-likely-than-not” that some or all of a deferred tax asset will not be realized. We regularly assess the realizability of deferred tax assets.</w:t>
      </w:r>
    </w:p>
    <w:p>
      <w:pPr>
        <w:pStyle w:val="TextBody"/>
        <w:bidi w:val="0"/>
        <w:spacing w:lineRule="auto" w:line="288" w:before="120" w:after="283"/>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We account for uncertainty in income taxes using a “more-likely-than-not” recognition threshold. Due to the subjectivity inherent in the evaluation of uncertain tax positions, the tax benefit ultimately recognized may materially differ from the estimate recognized in the consolidated financial statements. We recognize interest and penalties related to uncertain tax benefits as part of interest expense and income tax expense,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See Note 2, “Accounting Policies” and Note 11, “Income Taxes” of our Notes to Consolidated Financial Statements for additional disclosure regarding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2025 Compared to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net sales and organic sales growth for the periods presented:</w:t>
      </w:r>
    </w:p>
    <w:tbl>
      <w:tblPr>
        <w:tblW w:w="10205" w:type="dxa"/>
        <w:jc w:val="left"/>
        <w:tblInd w:w="0" w:type="dxa"/>
        <w:tblLayout w:type="fixed"/>
        <w:tblCellMar>
          <w:top w:w="28" w:type="dxa"/>
          <w:left w:w="28" w:type="dxa"/>
          <w:bottom w:w="28" w:type="dxa"/>
          <w:right w:w="28" w:type="dxa"/>
        </w:tblCellMar>
      </w:tblPr>
      <w:tblGrid>
        <w:gridCol w:w="222"/>
        <w:gridCol w:w="194"/>
        <w:gridCol w:w="197"/>
        <w:gridCol w:w="211"/>
        <w:gridCol w:w="871"/>
        <w:gridCol w:w="109"/>
        <w:gridCol w:w="109"/>
        <w:gridCol w:w="109"/>
        <w:gridCol w:w="109"/>
        <w:gridCol w:w="211"/>
        <w:gridCol w:w="871"/>
        <w:gridCol w:w="109"/>
        <w:gridCol w:w="109"/>
        <w:gridCol w:w="109"/>
        <w:gridCol w:w="109"/>
        <w:gridCol w:w="240"/>
        <w:gridCol w:w="214"/>
        <w:gridCol w:w="534"/>
        <w:gridCol w:w="109"/>
        <w:gridCol w:w="109"/>
        <w:gridCol w:w="109"/>
        <w:gridCol w:w="288"/>
        <w:gridCol w:w="288"/>
        <w:gridCol w:w="723"/>
        <w:gridCol w:w="109"/>
        <w:gridCol w:w="109"/>
        <w:gridCol w:w="109"/>
        <w:gridCol w:w="261"/>
        <w:gridCol w:w="233"/>
        <w:gridCol w:w="586"/>
        <w:gridCol w:w="109"/>
        <w:gridCol w:w="109"/>
        <w:gridCol w:w="109"/>
        <w:gridCol w:w="219"/>
        <w:gridCol w:w="220"/>
        <w:gridCol w:w="467"/>
        <w:gridCol w:w="109"/>
        <w:gridCol w:w="109"/>
        <w:gridCol w:w="109"/>
        <w:gridCol w:w="244"/>
        <w:gridCol w:w="187"/>
        <w:gridCol w:w="544"/>
      </w:tblGrid>
      <w:tr>
        <w:trPr/>
        <w:tc>
          <w:tcPr>
            <w:tcW w:w="2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Growth/(Decline)</w:t>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Acquisition/Divestiture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Organic Sales</w:t>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2025 had one less workday compared to 2024.</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sales were $23.5 billion for 2025 compared to $21.8 billion for 2024, an increase of 7.8%. Organic sales for 2025 grew by 8.6%. This growth reflects an approximate 6% increase in volume driven by the CSS and EES segments, and an approximate 2% benefit from price.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Cost of goods sold for 2025 was $18.5 billion compared to $17.1 billion for 2024, an increase of $1.4 billion. Cost of goods sold as a percentage of net sales was 78.9% and 78.4% for 2025 and 2024, respectively. The unfavorable increase of 50 basis points primarily reflects a decrease in gross margin across all three segments, most significantly in the UBS segment primarily due to competitive pressures in the public power market, as well as in the EES and CSS segments driven by large project sales.</w:t>
      </w:r>
    </w:p>
    <w:p>
      <w:pPr>
        <w:pStyle w:val="TextBody"/>
        <w:bidi w:val="0"/>
        <w:spacing w:lineRule="auto" w:line="288" w:before="120" w:after="283"/>
        <w:jc w:val="both"/>
        <w:rPr/>
      </w:pPr>
      <w:r>
        <w:rPr>
          <w:rFonts w:ascii="Times New Roman;serif" w:hAnsi="Times New Roman;serif"/>
          <w:b/>
          <w:i/>
          <w:color w:val="000000"/>
          <w:sz w:val="20"/>
        </w:rPr>
        <w:t>Selling, General and Administrative (</w:t>
      </w:r>
      <w:r>
        <w:rPr>
          <w:color w:val="000000"/>
        </w:rPr>
        <w:t>“</w:t>
      </w:r>
      <w:r>
        <w:rPr>
          <w:rFonts w:ascii="Times New Roman;serif" w:hAnsi="Times New Roman;serif"/>
          <w:b/>
          <w:i/>
          <w:color w:val="000000"/>
          <w:sz w:val="20"/>
        </w:rPr>
        <w:t>SG&amp;A</w:t>
      </w:r>
      <w:r>
        <w:rPr>
          <w:color w:val="000000"/>
        </w:rPr>
        <w:t>”</w:t>
      </w:r>
      <w:r>
        <w:rPr>
          <w:rFonts w:ascii="Times New Roman;serif" w:hAnsi="Times New Roman;serif"/>
          <w:b/>
          <w:i/>
          <w:color w:val="000000"/>
          <w:sz w:val="20"/>
        </w:rPr>
        <w:t>) Expenses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expenses for 2025 totaled $3.5 billion versus $3.3 billion for 2024, an increase of 7.1%.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SG&amp;A expenses to adjusted SG&amp;A expenses, which is a non-GAAP financial measure, for the periods presented: </w:t>
      </w:r>
    </w:p>
    <w:tbl>
      <w:tblPr>
        <w:tblW w:w="7945" w:type="dxa"/>
        <w:jc w:val="center"/>
        <w:tblInd w:w="0" w:type="dxa"/>
        <w:tblLayout w:type="fixed"/>
        <w:tblCellMar>
          <w:top w:w="28" w:type="dxa"/>
          <w:left w:w="28" w:type="dxa"/>
          <w:bottom w:w="28" w:type="dxa"/>
          <w:right w:w="28" w:type="dxa"/>
        </w:tblCellMar>
      </w:tblPr>
      <w:tblGrid>
        <w:gridCol w:w="1347"/>
        <w:gridCol w:w="1184"/>
        <w:gridCol w:w="1189"/>
        <w:gridCol w:w="319"/>
        <w:gridCol w:w="360"/>
        <w:gridCol w:w="361"/>
        <w:gridCol w:w="350"/>
        <w:gridCol w:w="350"/>
        <w:gridCol w:w="350"/>
        <w:gridCol w:w="319"/>
        <w:gridCol w:w="360"/>
        <w:gridCol w:w="361"/>
        <w:gridCol w:w="320"/>
        <w:gridCol w:w="320"/>
        <w:gridCol w:w="455"/>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sales</w:t>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sales</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SG&amp;A Expenses:</w:t>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3,541.4</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3,306.2</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abandonment of assets</w:t>
            </w:r>
            <w:r>
              <w:rPr>
                <w:rFonts w:ascii="Times New Roman;serif" w:hAnsi="Times New Roman;serif"/>
                <w:b w:val="false"/>
                <w:color w:val="000000"/>
                <w:sz w:val="13"/>
              </w:rPr>
              <w:t>(3)</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Excise taxes on excess pension plan assets</w:t>
            </w:r>
            <w:r>
              <w:rPr>
                <w:rFonts w:ascii="Times New Roman;serif" w:hAnsi="Times New Roman;serif"/>
                <w:b w:val="false"/>
                <w:color w:val="000000"/>
                <w:sz w:val="13"/>
              </w:rPr>
              <w:t>(4)</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3,506.2</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3,246.5</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w:t>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(3)    </w:t>
      </w:r>
      <w:r>
        <w:rPr>
          <w:rFonts w:ascii="Times New Roman;serif" w:hAnsi="Times New Roman;serif"/>
          <w:b w:val="false"/>
          <w:color w:val="000000"/>
          <w:sz w:val="18"/>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pStyle w:val="TextBody"/>
        <w:bidi w:val="0"/>
        <w:spacing w:lineRule="auto" w:line="288" w:before="60" w:after="60"/>
        <w:ind w:left="0" w:right="0" w:hanging="270"/>
        <w:jc w:val="both"/>
        <w:rPr/>
      </w:pPr>
      <w:r>
        <w:rPr>
          <w:rFonts w:ascii="Times New Roman;serif" w:hAnsi="Times New Roman;serif"/>
          <w:b w:val="false"/>
          <w:color w:val="000000"/>
          <w:sz w:val="12"/>
        </w:rPr>
        <w:t>(4)    </w:t>
      </w:r>
      <w:r>
        <w:rPr>
          <w:rFonts w:ascii="Times New Roman;serif" w:hAnsi="Times New Roman;serif"/>
          <w:b w:val="false"/>
          <w:color w:val="000000"/>
          <w:sz w:val="18"/>
        </w:rPr>
        <w:t>Excise taxes on excess pension plan assets represent the excise taxes applicable to the excess pension plan assets following the final settlement of the Company's U.S. pension plan.</w:t>
      </w:r>
    </w:p>
    <w:p>
      <w:pPr>
        <w:pStyle w:val="TextBody"/>
        <w:bidi w:val="0"/>
        <w:spacing w:before="120" w:after="283"/>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SG&amp;A payroll and payroll-related expenses for 2025 of $2,193.7 million increased by $144.2 million compared to 2024, primarily as a result of increased salaries of $69.8 million due to wage inflation and increased commissions and incentives of $42.2 million, partially offset by the impact of the divestiture of the WIS business.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SG&amp;A expenses not related to payroll and payroll-related costs for 2025 were $1,347.7 million, an increase of $91.0 million compared to 2024, which primarily reflects increased costs to operate our facilities of $32.8 million, increased transportation costs of $32.1 million, and higher IT costs of $24.8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for 2025 was $197.6 million compared to $183.2 million for 2024, an increase of $14.4 million. The increase was primarily driven by depreciation related to IT asset additions placed into service during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interest expense totaled $386.7 million for 2025 compared to $364.9 million for 2024. The increase of $21.8 million, or 6.0%, was primarily driven by the issuance of the 6.375% Senior Notes due 2033 (the “2033 Notes”) and an increase in expense from adjustments for uncertain tax positions, partially offset by lower borrowings and lower interest rates on the Revolving Credit Facility throughout 2025 compared to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Other non-operating income totaled $9.6 million for 2025 compared to $92.7 million for 2024. The year ended December 31, 2024 included a $122.2 million gain on the sale of our WIS business. We recognized $4.5 million of income in 2025 from adjustments to the fair value of the contingent consideration liability related to a recent acquisition. Due to fluctuations in the U.S. dollar against certain foreign currencies, we recognized a net foreign currency exchange loss of $0.3 million for 2025 compared to a net loss of $25.5 million for 2024. We recognized net benefits of $3.3 million and net costs of $1.6 million associated with the non-service cost components of net periodic pension cost (benefit) for 2025 and 2024, respectively. The year-over-year decrease in net periodic pension cost was due to the settlement of the Anixter Inc. Pension Plan in the first quarter of 2024.</w:t>
      </w:r>
    </w:p>
    <w:p>
      <w:pPr>
        <w:pStyle w:val="TextBody"/>
        <w:bidi w:val="0"/>
        <w:spacing w:lineRule="auto" w:line="276"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other non-operating income to adjusted other non-operating (income) expense, which is a non-GAAP financial measure, for the periods presented: </w:t>
      </w:r>
    </w:p>
    <w:tbl>
      <w:tblPr>
        <w:tblW w:w="6323" w:type="dxa"/>
        <w:jc w:val="center"/>
        <w:tblInd w:w="0" w:type="dxa"/>
        <w:tblLayout w:type="fixed"/>
        <w:tblCellMar>
          <w:top w:w="28" w:type="dxa"/>
          <w:left w:w="28" w:type="dxa"/>
          <w:bottom w:w="28" w:type="dxa"/>
          <w:right w:w="28" w:type="dxa"/>
        </w:tblCellMar>
      </w:tblPr>
      <w:tblGrid>
        <w:gridCol w:w="1411"/>
        <w:gridCol w:w="1240"/>
        <w:gridCol w:w="1249"/>
        <w:gridCol w:w="370"/>
        <w:gridCol w:w="239"/>
        <w:gridCol w:w="241"/>
        <w:gridCol w:w="191"/>
        <w:gridCol w:w="191"/>
        <w:gridCol w:w="191"/>
        <w:gridCol w:w="370"/>
        <w:gridCol w:w="260"/>
        <w:gridCol w:w="370"/>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Other (Income) Expense, net:</w:t>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termination of business arrangement</w:t>
            </w:r>
            <w:r>
              <w:rPr>
                <w:rFonts w:ascii="Times New Roman;serif" w:hAnsi="Times New Roman;serif"/>
                <w:b w:val="false"/>
                <w:color w:val="000000"/>
                <w:sz w:val="13"/>
              </w:rPr>
              <w:t>(1)</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Pension settlement cost</w:t>
            </w:r>
            <w:r>
              <w:rPr>
                <w:rFonts w:ascii="Times New Roman;serif" w:hAnsi="Times New Roman;serif"/>
                <w:b w:val="false"/>
                <w:color w:val="000000"/>
                <w:sz w:val="13"/>
              </w:rPr>
              <w:t>(2)</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divestiture</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other (income) expense, net</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r>
    </w:tbl>
    <w:p>
      <w:pPr>
        <w:pStyle w:val="TextBody"/>
        <w:bidi w:val="0"/>
        <w:spacing w:lineRule="auto" w:line="288" w:before="40" w:after="4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Loss on termination of business arrangement represents the loss recognized as a result of management's decision to terminate a business arrangement with a third party.</w:t>
      </w:r>
    </w:p>
    <w:p>
      <w:pPr>
        <w:pStyle w:val="TextBody"/>
        <w:bidi w:val="0"/>
        <w:spacing w:lineRule="auto" w:line="288" w:before="40" w:after="4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 xml:space="preserve">Pension settlement cost represents expense related to the final settlement of the Company's U.S. pension plan.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$213.4 million for 2025 compared to $231.6 million for 2024, resulting in effective tax rates of 24.9% and 24.4%, respectively.</w:t>
      </w:r>
    </w:p>
    <w:p>
      <w:pPr>
        <w:pStyle w:val="TextBody"/>
        <w:bidi w:val="0"/>
        <w:spacing w:lineRule="auto" w:line="276" w:before="120" w:after="283"/>
        <w:jc w:val="both"/>
        <w:rPr>
          <w:rFonts w:ascii="Times New Roman;serif" w:hAnsi="Times New Roman;serif"/>
          <w:b/>
          <w:i/>
          <w:color w:val="000000"/>
          <w:sz w:val="20"/>
        </w:rPr>
      </w:pPr>
      <w:r>
        <w:rPr>
          <w:rFonts w:ascii="Times New Roman;serif" w:hAnsi="Times New Roman;serif"/>
          <w:b/>
          <w:i/>
          <w:color w:val="000000"/>
          <w:sz w:val="20"/>
        </w:rPr>
        <w:t>Net Income and Earnings per Share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income and earnings per diluted share attributable to common stockholders were $645.8 million and $13.05, respectively, for 2025 compared to $660.2 million and $13.05, respectively, for 2024. Adjusted for the non-GAAP adjustments above and the related income tax effects, and the $32.9 million gain recognized as a result of the Company's redemption of its outstanding Series A Preferred Stock, net income and earnings per diluted share attributable to common stockholders were $638.9 million and $12.91, respectively, for the year ended December 31, 2025 and $618.6 million and $12.23, respectively,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increase in adjusted earnings per diluted share primarily reflects the favorable impact of the June 2025 Series A Preferred Stock redemption and the corresponding decrease in preferred dividends. Additionally, there was a positive impact from the reduction in outstanding common shares during the year ended December 31, 2025 as compared to the year ended December 31, 2024.</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was $1,536.5 million for 2025 compared to $1,509.1 million for 2024, an increase of $27.4 million, or 1.8% year-over-year. The increase primarily reflects an increase in net sales, partially offset by an increase in cost of goods sold and an increase in SG&amp;A expenses, as described above. The year ended December 31, 2024 included $17.8 million in SG&amp;A expenses from loss on abandonment of assets and $4.9 million in excise taxes on excess pension plan assets. There was also a decrease in restructuring costs of $12.1 million in 2025, partially offset by a $10.3 million increase in digital transformation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the financial results of our operating segments comprising three strategic business units consisting of EES, CSS and UBS for the year ended December 31, 2025. As further described below and in Note 16, “Business Segments” of our Notes to Consolidated Financial Statements, the Chief Operating Decision Maker (the “CODM”) allocates resources and evaluates the performance of the Company’s reportable segments based on adjusted EBITDA, which is the Company’s measure of segment profit or loss. Adjusted EBITDA and adjusted EBITDA margin percentage are non-GAAP financial measures. As discussed in Note 2, “Accounting Policies,” the reportable segment information for the year ended December 31, 2024 for the EES and CSS reportable segments has been recast to conform to the current year presentation.</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Electrical &amp; Electronic Solutions</w:t>
      </w:r>
    </w:p>
    <w:tbl>
      <w:tblPr>
        <w:tblW w:w="10205" w:type="dxa"/>
        <w:jc w:val="left"/>
        <w:tblInd w:w="0" w:type="dxa"/>
        <w:tblLayout w:type="fixed"/>
        <w:tblCellMar>
          <w:top w:w="28" w:type="dxa"/>
          <w:left w:w="28" w:type="dxa"/>
          <w:bottom w:w="28" w:type="dxa"/>
          <w:right w:w="28" w:type="dxa"/>
        </w:tblCellMar>
      </w:tblPr>
      <w:tblGrid>
        <w:gridCol w:w="487"/>
        <w:gridCol w:w="427"/>
        <w:gridCol w:w="435"/>
        <w:gridCol w:w="237"/>
        <w:gridCol w:w="206"/>
        <w:gridCol w:w="515"/>
        <w:gridCol w:w="122"/>
        <w:gridCol w:w="122"/>
        <w:gridCol w:w="122"/>
        <w:gridCol w:w="237"/>
        <w:gridCol w:w="206"/>
        <w:gridCol w:w="515"/>
        <w:gridCol w:w="109"/>
        <w:gridCol w:w="109"/>
        <w:gridCol w:w="109"/>
        <w:gridCol w:w="240"/>
        <w:gridCol w:w="214"/>
        <w:gridCol w:w="533"/>
        <w:gridCol w:w="109"/>
        <w:gridCol w:w="109"/>
        <w:gridCol w:w="109"/>
        <w:gridCol w:w="220"/>
        <w:gridCol w:w="220"/>
        <w:gridCol w:w="551"/>
        <w:gridCol w:w="109"/>
        <w:gridCol w:w="109"/>
        <w:gridCol w:w="109"/>
        <w:gridCol w:w="261"/>
        <w:gridCol w:w="233"/>
        <w:gridCol w:w="586"/>
        <w:gridCol w:w="109"/>
        <w:gridCol w:w="109"/>
        <w:gridCol w:w="109"/>
        <w:gridCol w:w="219"/>
        <w:gridCol w:w="220"/>
        <w:gridCol w:w="467"/>
        <w:gridCol w:w="109"/>
        <w:gridCol w:w="109"/>
        <w:gridCol w:w="109"/>
        <w:gridCol w:w="244"/>
        <w:gridCol w:w="187"/>
        <w:gridCol w:w="544"/>
      </w:tblGrid>
      <w:tr>
        <w:trPr/>
        <w:tc>
          <w:tcPr>
            <w:tcW w:w="48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Growth/(Decline)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Sales</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8,955.5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EES reported net sales of $9.0 billion for 2025 compared to $8.4 billion for 2024, an increase of $563.8 million, or 6.7%. EES organic sales for 2025 grew by 7.5%, driven primarily by volume growth of approximately 4%, primarily as a result of growth in the OEM and construction businesses, and by the impact of changes in price, which favorably impacted organic sales by approximately 4%.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EES adjusted EBITDA increased $17.8 million, or 2.5% year-over-year. The increase primarily reflects an increase in volume and price, as described above. The decrease in adjusted EBITDA margin is attributable to an unfavorable change in product mix. Additionally, SG&amp;A expenses increased $69.7 million as compared to the prior year, which was primarily attributed to increased salaries of $24.4 million, increased commissions and incentives of $15.0 million, increased transportation costs of $11.7 million, and increased operations expenses of $9.2 million.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Communications &amp; Security Solutions</w:t>
      </w:r>
    </w:p>
    <w:tbl>
      <w:tblPr>
        <w:tblW w:w="10205" w:type="dxa"/>
        <w:jc w:val="left"/>
        <w:tblInd w:w="0" w:type="dxa"/>
        <w:tblLayout w:type="fixed"/>
        <w:tblCellMar>
          <w:top w:w="28" w:type="dxa"/>
          <w:left w:w="28" w:type="dxa"/>
          <w:bottom w:w="28" w:type="dxa"/>
          <w:right w:w="28" w:type="dxa"/>
        </w:tblCellMar>
      </w:tblPr>
      <w:tblGrid>
        <w:gridCol w:w="461"/>
        <w:gridCol w:w="404"/>
        <w:gridCol w:w="412"/>
        <w:gridCol w:w="233"/>
        <w:gridCol w:w="206"/>
        <w:gridCol w:w="515"/>
        <w:gridCol w:w="120"/>
        <w:gridCol w:w="120"/>
        <w:gridCol w:w="120"/>
        <w:gridCol w:w="233"/>
        <w:gridCol w:w="206"/>
        <w:gridCol w:w="515"/>
        <w:gridCol w:w="109"/>
        <w:gridCol w:w="109"/>
        <w:gridCol w:w="109"/>
        <w:gridCol w:w="280"/>
        <w:gridCol w:w="244"/>
        <w:gridCol w:w="522"/>
        <w:gridCol w:w="109"/>
        <w:gridCol w:w="109"/>
        <w:gridCol w:w="109"/>
        <w:gridCol w:w="220"/>
        <w:gridCol w:w="220"/>
        <w:gridCol w:w="551"/>
        <w:gridCol w:w="109"/>
        <w:gridCol w:w="109"/>
        <w:gridCol w:w="109"/>
        <w:gridCol w:w="246"/>
        <w:gridCol w:w="227"/>
        <w:gridCol w:w="570"/>
        <w:gridCol w:w="109"/>
        <w:gridCol w:w="109"/>
        <w:gridCol w:w="109"/>
        <w:gridCol w:w="217"/>
        <w:gridCol w:w="219"/>
        <w:gridCol w:w="467"/>
        <w:gridCol w:w="109"/>
        <w:gridCol w:w="109"/>
        <w:gridCol w:w="109"/>
        <w:gridCol w:w="255"/>
        <w:gridCol w:w="256"/>
        <w:gridCol w:w="531"/>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Growth/(Decline)</w:t>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Sales</w:t>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CSS reported net sales of $9.1 billion for 2025 compared to $7.7 billion for 2024, an increase of $1.4 billion, or 18.3%, which is inclusive of a favorable impact from the acquisition of Ascent of 1.9%. CSS organic sales for 2025 grew by 16.7%, driven primarily by volume growth of approximately 15% as a result of the data center solutions business, and to a lesser extent, growth in the security solutions business, and by the impact of changes in price, which favorably impacted organic sales by approximately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CSS adjusted EBITDA increased $160.6 million, or 25.1% year-over-year. The increase reflects an increase in volume, specifically within the data center solutions business and the security solutions business, as described above. Further, there was an increase in SG&amp;A expenses of $97.2 million. The increase in SG&amp;A expenses is primarily attributed to increased salaries of $28.7 million, increased transportation costs of $25.7 million consistent with higher sales, increased commissions and incentives of $17.8 million, increased operations expenses of $11.9 million, and increased benefits expense of $11.5 million.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Utility &amp; Broadband Solutions</w:t>
      </w:r>
    </w:p>
    <w:tbl>
      <w:tblPr>
        <w:tblW w:w="10205" w:type="dxa"/>
        <w:jc w:val="left"/>
        <w:tblInd w:w="0" w:type="dxa"/>
        <w:tblLayout w:type="fixed"/>
        <w:tblCellMar>
          <w:top w:w="28" w:type="dxa"/>
          <w:left w:w="28" w:type="dxa"/>
          <w:bottom w:w="28" w:type="dxa"/>
          <w:right w:w="28" w:type="dxa"/>
        </w:tblCellMar>
      </w:tblPr>
      <w:tblGrid>
        <w:gridCol w:w="460"/>
        <w:gridCol w:w="403"/>
        <w:gridCol w:w="411"/>
        <w:gridCol w:w="267"/>
        <w:gridCol w:w="253"/>
        <w:gridCol w:w="515"/>
        <w:gridCol w:w="120"/>
        <w:gridCol w:w="120"/>
        <w:gridCol w:w="120"/>
        <w:gridCol w:w="267"/>
        <w:gridCol w:w="253"/>
        <w:gridCol w:w="515"/>
        <w:gridCol w:w="109"/>
        <w:gridCol w:w="109"/>
        <w:gridCol w:w="109"/>
        <w:gridCol w:w="248"/>
        <w:gridCol w:w="209"/>
        <w:gridCol w:w="522"/>
        <w:gridCol w:w="109"/>
        <w:gridCol w:w="109"/>
        <w:gridCol w:w="109"/>
        <w:gridCol w:w="217"/>
        <w:gridCol w:w="218"/>
        <w:gridCol w:w="526"/>
        <w:gridCol w:w="109"/>
        <w:gridCol w:w="109"/>
        <w:gridCol w:w="109"/>
        <w:gridCol w:w="257"/>
        <w:gridCol w:w="227"/>
        <w:gridCol w:w="569"/>
        <w:gridCol w:w="109"/>
        <w:gridCol w:w="109"/>
        <w:gridCol w:w="109"/>
        <w:gridCol w:w="217"/>
        <w:gridCol w:w="218"/>
        <w:gridCol w:w="467"/>
        <w:gridCol w:w="109"/>
        <w:gridCol w:w="109"/>
        <w:gridCol w:w="109"/>
        <w:gridCol w:w="244"/>
        <w:gridCol w:w="194"/>
        <w:gridCol w:w="533"/>
      </w:tblGrid>
      <w:tr>
        <w:trPr/>
        <w:tc>
          <w:tcPr>
            <w:tcW w:w="46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Growth/(Decline)</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Divestiture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Sales</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UBS reported net sales of $5.5 billion for 2025 compared to $5.7 billion for 2024, a decrease of $280.6 million or 4.9%, which is inclusive of an unfavorable impact from the divestiture of the WIS business of 3.3%. UBS organic sales for 2025 declined by 1.0%, reflecting volume declines in the Utility business primarily as a result of reduced public power activity. The decline was partially offset by growth in the Broadband business from continued network investments. Changes in price did not have a material impact on the year-over-year decline in UBS organic sales.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UBS adjusted EBITDA decreased $80.6 million, or 12.5% year-over-year. The decrease primarily reflects a decline in volume, as described above. The decrease in adjusted EBITDA was partially offset by a decrease in SG&amp;A expenses of $8.3 million as compared to the prior year, which was primarily attributed to lower commissions and incentives of $9.3 million.</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net income attributable to common stockholders to adjusted EBITDA and adjusted EBITDA margin % by segment, which are non-GAAP financial measures, for the periods presented:</w:t>
      </w:r>
    </w:p>
    <w:tbl>
      <w:tblPr>
        <w:tblW w:w="10205" w:type="dxa"/>
        <w:jc w:val="left"/>
        <w:tblInd w:w="0" w:type="dxa"/>
        <w:tblLayout w:type="fixed"/>
        <w:tblCellMar>
          <w:top w:w="28" w:type="dxa"/>
          <w:left w:w="28" w:type="dxa"/>
          <w:bottom w:w="28" w:type="dxa"/>
          <w:right w:w="28" w:type="dxa"/>
        </w:tblCellMar>
      </w:tblPr>
      <w:tblGrid>
        <w:gridCol w:w="1153"/>
        <w:gridCol w:w="878"/>
        <w:gridCol w:w="887"/>
        <w:gridCol w:w="123"/>
        <w:gridCol w:w="123"/>
        <w:gridCol w:w="123"/>
        <w:gridCol w:w="259"/>
        <w:gridCol w:w="200"/>
        <w:gridCol w:w="461"/>
        <w:gridCol w:w="123"/>
        <w:gridCol w:w="123"/>
        <w:gridCol w:w="123"/>
        <w:gridCol w:w="259"/>
        <w:gridCol w:w="200"/>
        <w:gridCol w:w="461"/>
        <w:gridCol w:w="123"/>
        <w:gridCol w:w="123"/>
        <w:gridCol w:w="123"/>
        <w:gridCol w:w="326"/>
        <w:gridCol w:w="252"/>
        <w:gridCol w:w="461"/>
        <w:gridCol w:w="123"/>
        <w:gridCol w:w="123"/>
        <w:gridCol w:w="123"/>
        <w:gridCol w:w="501"/>
        <w:gridCol w:w="449"/>
        <w:gridCol w:w="455"/>
        <w:gridCol w:w="123"/>
        <w:gridCol w:w="123"/>
        <w:gridCol w:w="123"/>
        <w:gridCol w:w="279"/>
        <w:gridCol w:w="355"/>
        <w:gridCol w:w="524"/>
      </w:tblGrid>
      <w:tr>
        <w:trPr/>
        <w:tc>
          <w:tcPr>
            <w:tcW w:w="115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2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645.8</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income attributable to noncontrolling interests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redemption of Series A Preferred Stock</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90"/>
        <w:gridCol w:w="818"/>
        <w:gridCol w:w="827"/>
        <w:gridCol w:w="126"/>
        <w:gridCol w:w="126"/>
        <w:gridCol w:w="126"/>
        <w:gridCol w:w="265"/>
        <w:gridCol w:w="205"/>
        <w:gridCol w:w="473"/>
        <w:gridCol w:w="126"/>
        <w:gridCol w:w="126"/>
        <w:gridCol w:w="126"/>
        <w:gridCol w:w="265"/>
        <w:gridCol w:w="205"/>
        <w:gridCol w:w="473"/>
        <w:gridCol w:w="126"/>
        <w:gridCol w:w="126"/>
        <w:gridCol w:w="126"/>
        <w:gridCol w:w="334"/>
        <w:gridCol w:w="258"/>
        <w:gridCol w:w="473"/>
        <w:gridCol w:w="126"/>
        <w:gridCol w:w="126"/>
        <w:gridCol w:w="126"/>
        <w:gridCol w:w="514"/>
        <w:gridCol w:w="460"/>
        <w:gridCol w:w="466"/>
        <w:gridCol w:w="126"/>
        <w:gridCol w:w="126"/>
        <w:gridCol w:w="126"/>
        <w:gridCol w:w="286"/>
        <w:gridCol w:w="364"/>
        <w:gridCol w:w="539"/>
      </w:tblGrid>
      <w:tr>
        <w:trPr/>
        <w:tc>
          <w:tcPr>
            <w:tcW w:w="109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EES</w:t>
            </w:r>
            <w:r>
              <w:rPr>
                <w:rFonts w:ascii="Times New Roman;serif" w:hAnsi="Times New Roman;serif"/>
                <w:b/>
                <w:color w:val="000000"/>
                <w:sz w:val="12"/>
              </w:rPr>
              <w:t>(1)</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CSS</w:t>
            </w:r>
            <w:r>
              <w:rPr>
                <w:rFonts w:ascii="Times New Roman;serif" w:hAnsi="Times New Roman;serif"/>
                <w:b/>
                <w:color w:val="000000"/>
                <w:sz w:val="12"/>
              </w:rPr>
              <w:t>(1)</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660.2</w:t>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w:t>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 (income), net</w:t>
            </w:r>
            <w:r>
              <w:rPr>
                <w:rFonts w:ascii="Times New Roman;serif" w:hAnsi="Times New Roman;serif"/>
                <w:b w:val="false"/>
                <w:color w:val="000000"/>
                <w:sz w:val="13"/>
              </w:rPr>
              <w:t>(3)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abandonment of assets</w:t>
            </w:r>
            <w:r>
              <w:rPr>
                <w:rFonts w:ascii="Times New Roman;serif" w:hAnsi="Times New Roman;serif"/>
                <w:b w:val="false"/>
                <w:color w:val="000000"/>
                <w:sz w:val="13"/>
              </w:rPr>
              <w:t>(5)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Excise taxes on excess pension plan assets</w:t>
            </w:r>
            <w:r>
              <w:rPr>
                <w:rFonts w:ascii="Times New Roman;serif" w:hAnsi="Times New Roman;serif"/>
                <w:b w:val="false"/>
                <w:color w:val="000000"/>
                <w:sz w:val="13"/>
              </w:rPr>
              <w:t>(8)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w:t>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As described in Note 2, “Accounting Policies,” the reportable segment information for the year ended December 31, 2024 for the EES and CSS reportable segments has been recast to conform to the current year presentation.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Other income for the UBS segment includes the gain on the divestiture of the WIS business as disclosed in Note 5, “Acquisitions and Divestitures”.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(6)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                                        </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Restructuring costs include severance costs incurred pursuant to an ongoing restructuring plan.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(8)</w:t>
            </w:r>
            <w:r>
              <w:rPr>
                <w:color w:val="000000"/>
              </w:rPr>
              <w:t xml:space="preserve"> </w:t>
            </w:r>
            <w:r>
              <w:rPr>
                <w:rFonts w:ascii="Times New Roman;serif" w:hAnsi="Times New Roman;serif"/>
                <w:b w:val="false"/>
                <w:color w:val="000000"/>
                <w:sz w:val="18"/>
              </w:rPr>
              <w:t>Excise taxes on excess pension plan assets represent the excise taxes applicable to the excess pension plan assets following the final settlement of the Company's U.S. pension plan.</w:t>
            </w:r>
          </w:p>
        </w:tc>
      </w:tr>
    </w:tbl>
    <w:p>
      <w:pPr>
        <w:pStyle w:val="TextBody"/>
        <w:bidi w:val="0"/>
        <w:spacing w:lineRule="auto" w:line="276" w:before="200" w:after="180"/>
        <w:jc w:val="both"/>
        <w:rPr>
          <w:rFonts w:ascii="Times New Roman;serif" w:hAnsi="Times New Roman;serif"/>
          <w:b w:val="false"/>
          <w:color w:val="000000"/>
          <w:sz w:val="18"/>
        </w:rPr>
      </w:pPr>
      <w:r>
        <w:rPr>
          <w:rFonts w:ascii="Times New Roman;serif" w:hAnsi="Times New Roman;serif"/>
          <w:b w:val="false"/>
          <w:color w:val="000000"/>
          <w:sz w:val="18"/>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SG&amp;A expenses, income from operations, other non-operating (income) expense, provision for income taxes, net income attributable to common stockholders, and earnings per diluted share to adjusted SG&amp;A expenses, adjusted income from operations, adjusted other non-operating (income) expense, adjusted provision for income taxes, adjusted net income attributable to common stockholders, and adjusted earnings per diluted share, which are non-GAAP financial measures, for the periods presented:</w:t>
      </w:r>
    </w:p>
    <w:tbl>
      <w:tblPr>
        <w:tblW w:w="9039" w:type="dxa"/>
        <w:jc w:val="center"/>
        <w:tblInd w:w="0" w:type="dxa"/>
        <w:tblLayout w:type="fixed"/>
        <w:tblCellMar>
          <w:top w:w="28" w:type="dxa"/>
          <w:left w:w="28" w:type="dxa"/>
          <w:bottom w:w="28" w:type="dxa"/>
          <w:right w:w="28" w:type="dxa"/>
        </w:tblCellMar>
      </w:tblPr>
      <w:tblGrid>
        <w:gridCol w:w="2415"/>
        <w:gridCol w:w="2128"/>
        <w:gridCol w:w="2132"/>
        <w:gridCol w:w="196"/>
        <w:gridCol w:w="691"/>
        <w:gridCol w:w="109"/>
        <w:gridCol w:w="109"/>
        <w:gridCol w:w="109"/>
        <w:gridCol w:w="109"/>
        <w:gridCol w:w="196"/>
        <w:gridCol w:w="691"/>
        <w:gridCol w:w="154"/>
      </w:tblGrid>
      <w:tr>
        <w:trPr/>
        <w:tc>
          <w:tcPr>
            <w:tcW w:w="2415"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SG&amp;A Expenses:</w:t>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SG&amp;A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transformation costs</w:t>
            </w:r>
            <w:r>
              <w:rPr>
                <w:rFonts w:ascii="Times New Roman;serif" w:hAnsi="Times New Roman;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costs</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abandonment of assets</w:t>
            </w:r>
            <w:r>
              <w:rPr>
                <w:rFonts w:ascii="Times New Roman;serif" w:hAnsi="Times New Roman;serif"/>
                <w:b w:val="false"/>
                <w:color w:val="000000"/>
                <w:sz w:val="10"/>
              </w:rPr>
              <w:t>(3)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Excise taxes on excess pension plan assets</w:t>
            </w:r>
            <w:r>
              <w:rPr>
                <w:rFonts w:ascii="Times New Roman;serif" w:hAnsi="Times New Roman;serif"/>
                <w:b w:val="false"/>
                <w:color w:val="000000"/>
                <w:sz w:val="10"/>
              </w:rPr>
              <w:t>(4)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Adjusted SG&amp;A expenses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Income from Operations: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transformation costs</w:t>
            </w:r>
            <w:r>
              <w:rPr>
                <w:rFonts w:ascii="Times New Roman;serif" w:hAnsi="Times New Roman;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costs</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abandonment of assets</w:t>
            </w:r>
            <w:r>
              <w:rPr>
                <w:rFonts w:ascii="Times New Roman;serif" w:hAnsi="Times New Roman;serif"/>
                <w:b w:val="false"/>
                <w:color w:val="000000"/>
                <w:sz w:val="10"/>
              </w:rPr>
              <w:t>(3)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Excise taxes on excess pension plan assets</w:t>
            </w:r>
            <w:r>
              <w:rPr>
                <w:rFonts w:ascii="Times New Roman;serif" w:hAnsi="Times New Roman;serif"/>
                <w:b w:val="false"/>
                <w:color w:val="000000"/>
                <w:sz w:val="10"/>
              </w:rPr>
              <w:t>(4)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income from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Other (Income) Expense, net: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termination of business arrangement</w:t>
            </w:r>
            <w:r>
              <w:rPr>
                <w:rFonts w:ascii="Times New Roman;serif" w:hAnsi="Times New Roman;serif"/>
                <w:b w:val="false"/>
                <w:color w:val="000000"/>
                <w:sz w:val="10"/>
              </w:rPr>
              <w:t>(5)</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Pension settlement cost</w:t>
            </w:r>
            <w:r>
              <w:rPr>
                <w:rFonts w:ascii="Times New Roman;serif" w:hAnsi="Times New Roman;serif"/>
                <w:b w:val="false"/>
                <w:color w:val="000000"/>
                <w:sz w:val="10"/>
              </w:rPr>
              <w:t>(6)</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divestiture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other (income) expense,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Provision for Income Taxes: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Income tax effect of adjustments to income from operations and other (income) expense, net</w:t>
            </w:r>
            <w:r>
              <w:rPr>
                <w:rFonts w:ascii="Times New Roman;serif" w:hAnsi="Times New Roman;serif"/>
                <w:b w:val="false"/>
                <w:color w:val="000000"/>
                <w:sz w:val="10"/>
              </w:rPr>
              <w:t>(7)</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provision for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Adjusted Net Income Attributable to Common Stockholders: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transformation costs</w:t>
            </w:r>
            <w:r>
              <w:rPr>
                <w:rFonts w:ascii="Times New Roman;serif" w:hAnsi="Times New Roman;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costs</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abandonment of assets</w:t>
            </w:r>
            <w:r>
              <w:rPr>
                <w:rFonts w:ascii="Times New Roman;serif" w:hAnsi="Times New Roman;serif"/>
                <w:b w:val="false"/>
                <w:color w:val="000000"/>
                <w:sz w:val="10"/>
              </w:rPr>
              <w:t>(3)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Excise taxes on excess pension plan assets</w:t>
            </w:r>
            <w:r>
              <w:rPr>
                <w:rFonts w:ascii="Times New Roman;serif" w:hAnsi="Times New Roman;serif"/>
                <w:b w:val="false"/>
                <w:color w:val="000000"/>
                <w:sz w:val="10"/>
              </w:rPr>
              <w:t>(4)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divestiture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termination of business arrangement</w:t>
            </w:r>
            <w:r>
              <w:rPr>
                <w:rFonts w:ascii="Times New Roman;serif" w:hAnsi="Times New Roman;serif"/>
                <w:b w:val="false"/>
                <w:color w:val="000000"/>
                <w:sz w:val="10"/>
              </w:rPr>
              <w:t>(5)</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Pension settlement cost</w:t>
            </w:r>
            <w:r>
              <w:rPr>
                <w:rFonts w:ascii="Times New Roman;serif" w:hAnsi="Times New Roman;serif"/>
                <w:b w:val="false"/>
                <w:color w:val="000000"/>
                <w:sz w:val="10"/>
              </w:rPr>
              <w:t>(6)</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Income tax effect of adjustments to income from operations and other (income) expense, net</w:t>
            </w:r>
            <w:r>
              <w:rPr>
                <w:rFonts w:ascii="Times New Roman;serif" w:hAnsi="Times New Roman;serif"/>
                <w:b w:val="false"/>
                <w:color w:val="000000"/>
                <w:sz w:val="10"/>
              </w:rPr>
              <w:t>(7)</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redemption of Series A Preferred Stock</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Adjusted net income attributable to common stockholders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(3)    </w:t>
      </w:r>
      <w:r>
        <w:rPr>
          <w:rFonts w:ascii="Times New Roman;serif" w:hAnsi="Times New Roman;serif"/>
          <w:b w:val="false"/>
          <w:color w:val="000000"/>
          <w:sz w:val="18"/>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pStyle w:val="TextBody"/>
        <w:bidi w:val="0"/>
        <w:spacing w:lineRule="auto" w:line="288" w:before="60" w:after="60"/>
        <w:ind w:left="0" w:right="0" w:hanging="270"/>
        <w:jc w:val="both"/>
        <w:rPr/>
      </w:pPr>
      <w:r>
        <w:rPr>
          <w:rFonts w:ascii="Times New Roman;serif" w:hAnsi="Times New Roman;serif"/>
          <w:b w:val="false"/>
          <w:color w:val="000000"/>
          <w:sz w:val="12"/>
        </w:rPr>
        <w:t>(4)    </w:t>
      </w:r>
      <w:r>
        <w:rPr>
          <w:rFonts w:ascii="Times New Roman;serif" w:hAnsi="Times New Roman;serif"/>
          <w:b w:val="false"/>
          <w:color w:val="000000"/>
          <w:sz w:val="18"/>
        </w:rPr>
        <w:t>Excise taxes on excess pension plan assets represent the excise taxes applicable to the excess pension plan assets following the final settlement of the Company’s U.S. pension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(5)    </w:t>
      </w:r>
      <w:r>
        <w:rPr>
          <w:rFonts w:ascii="Times New Roman;serif" w:hAnsi="Times New Roman;serif"/>
          <w:b w:val="false"/>
          <w:color w:val="000000"/>
          <w:sz w:val="18"/>
        </w:rPr>
        <w:t>Loss on termination of business arrangement represents the loss recognized as a result of management’s decision to terminate a business arrangement with a third party.</w:t>
      </w:r>
    </w:p>
    <w:p>
      <w:pPr>
        <w:pStyle w:val="TextBody"/>
        <w:bidi w:val="0"/>
        <w:spacing w:lineRule="auto" w:line="288" w:before="60" w:after="60"/>
        <w:ind w:left="0" w:right="0" w:hanging="270"/>
        <w:jc w:val="both"/>
        <w:rPr/>
      </w:pPr>
      <w:r>
        <w:rPr>
          <w:rFonts w:ascii="Times New Roman;serif" w:hAnsi="Times New Roman;serif"/>
          <w:b w:val="false"/>
          <w:color w:val="000000"/>
          <w:sz w:val="12"/>
        </w:rPr>
        <w:t>(6)    </w:t>
      </w:r>
      <w:r>
        <w:rPr>
          <w:rFonts w:ascii="Times New Roman;serif" w:hAnsi="Times New Roman;serif"/>
          <w:b w:val="false"/>
          <w:color w:val="000000"/>
          <w:sz w:val="18"/>
        </w:rPr>
        <w:t>Pension settlement cost represents expense related to the settlement of the Company’s U.S. pension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(7)    </w:t>
      </w:r>
      <w:r>
        <w:rPr>
          <w:rFonts w:ascii="Times New Roman;serif" w:hAnsi="Times New Roman;serif"/>
          <w:b w:val="false"/>
          <w:color w:val="000000"/>
          <w:sz w:val="18"/>
        </w:rPr>
        <w:t>The adjustments to income from operations and other (income) expense, net for the years ended December 31, 2025 and 2024 have been tax effected at rates of 26.6% and 26.2%,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tbl>
      <w:tblPr>
        <w:tblW w:w="7748" w:type="dxa"/>
        <w:jc w:val="center"/>
        <w:tblInd w:w="0" w:type="dxa"/>
        <w:tblLayout w:type="fixed"/>
        <w:tblCellMar>
          <w:top w:w="28" w:type="dxa"/>
          <w:left w:w="28" w:type="dxa"/>
          <w:bottom w:w="28" w:type="dxa"/>
          <w:right w:w="28" w:type="dxa"/>
        </w:tblCellMar>
      </w:tblPr>
      <w:tblGrid>
        <w:gridCol w:w="1884"/>
        <w:gridCol w:w="1653"/>
        <w:gridCol w:w="1667"/>
        <w:gridCol w:w="211"/>
        <w:gridCol w:w="766"/>
        <w:gridCol w:w="109"/>
        <w:gridCol w:w="109"/>
        <w:gridCol w:w="109"/>
        <w:gridCol w:w="109"/>
        <w:gridCol w:w="211"/>
        <w:gridCol w:w="766"/>
        <w:gridCol w:w="154"/>
      </w:tblGrid>
      <w:tr>
        <w:trPr/>
        <w:tc>
          <w:tcPr>
            <w:tcW w:w="1884"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Adjusted Earnings Per Diluted Share:</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WESCO International, Inc.</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diluted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Note: For the year ended December 31, 2025, SG&amp;A expenses, income from operations, other non-operating (income) expense, the provision for income taxes, net income attributable to common stockholders, and earnings per diluted share have been adjusted to exclude digital transformation costs, restructuring costs, the loss on termination of business arrangement, and the related income tax effects, and the gain on redemption of the Company's Series A Preferred Stock. For the year ended December 31, 2024, SG&amp;A expenses, income from operations, other non-operating (income) expense, the provision for income taxes, net income attributable to common stockholders, and earnings per diluted share have been adjusted to exclude digital transformation costs, the loss on abandonment of assets, restructuring costs, excise taxes on excess pension plan assets, the gain recognized on the divestiture of the WIS business, the loss on termination of business arrangement, pension settlement cost, and the related income tax effects. These non-GAAP financial measures provide a better understanding of our financial results on a comparable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liquidity needs generally arise from fluctuations in our working capital requirements, information technology investments, capital expenditures, acquisitions, the payment of dividends, and debt service obligations. We finance our operating and investing needs primarily with borrowings under our Revolving Credit Facility and Receivables Facility, as well as uncommitted lines of credit entered into by certain of our foreign subsidiaries to support local operations, some of which are overdraft facilities. The Revolving Credit Facility has a borrowing limit of $1,725 million and the purchase limit under the Receivables Facility is $1,550 million. Our international lines of credit generally are renewable on an annual basis and certain facilities are fully and unconditionally guaranteed by Wesco Distribution. Accordingly, certain borrowings under these lines directly reduce availability under our Revolving Credit Facility. The maximum borrowing limits of our international lines of credit vary by facility and range between $1.0 million and $12.0 million. As of December 31, 2025, we had $5.6 million outstanding under our international lines of credit.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$581.5 million outstanding and $1,107.9 million in available borrowing capacity on the Revolving Credit Facility after giving effect to outstanding letters of credit and certain borrowings under our international lines of credit. Additionally, as of December 31, 2025, we had $1,300.0 million outstanding and $250.0 million of available borrowing capacity under our Receivables Facility, which combined with available cash of $282.1 million, provided liquidity of approximately $1.6 billion. Cash included in our determination of liquidity represents cash in certain deposit and interest-bearing investment accounts held in the United States and Canada. We monitor the depository institutions that hold our cash and cash equivalents on a regular basis, and we believe that we have placed our deposits with creditworthy financial institutions.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information regarding amendments to the Receivables Facility and Revolving Credit Facility as well as disclosure of our debt instruments, including our outstanding indebtedness as of December 31, 2025, see Note 9, “Debt” of our Notes to Consolidated Financial Statements.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described in Note 9, “Debt” of our Notes to Consolidated Financial Statements, on March 6, 2025, Wesco Distribution issued $800 million aggregate principal amount of 2033 Notes. We used the net proceeds from the issuance of the 2033 Notes to redeem all of the Company’s outstanding Series A Preferred Stock and all of the related depositary shares representing fractional interests in the Series A Preferred Stock in June 2025, and to repay a portion of the amounts outstanding under the Revolving Credit Facility.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regularly review our mix of fixed versus variable rate debt, and we may, from time to time, issue or retire borrowings and/or refinance existing debt in an effort to mitigate the impact of interest rate and foreign exchange rate fluctuations, and to maintain a cost-effective capital structure consistent with our anticipated capital requirements. Interest rates remained stable in the first half of 2025 before the Federal Reserve reacted to economic conditions and reduced its benchmark interest rate at the end of the third quarter and twice more in the fourth quarter by 25 basis points, respectively, for a total reduction of 75 basis points in the second half of 2025. Future interest rate changes would raise or lower the rates we pay on our variable rate debt and would contribute to fluctuations in interest expense versus prior periods.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December 31, 2025, approximately 66% of our debt portfolio consisted of fixed rate debt. We believe our capital structure has an appropriate mix of fixed versus variable rate debt and secured versus unsecured instruments.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Over the next several quarters, we expect that our excess liquidity will be directed primarily at debt reduction, the payment of dividends, share repurchases, digital transformation initiatives, and potential acquisitions and related integration activities. We expect to maintain sufficient liquidity through our credit facilities and cash balances. We continue to monitor the sufficiency of our liquidity given the potential impact of current economic conditions and uncertainty, including tariffs, interest rates, and inflation. While we did not face significant challenges with our sources or uses of cash in 2025, future market disruptions could occur which could potentially affect our liquidity. We believe cash provided by operations and financing activities will be adequate to cover our operational and business needs for at least the next twelve months.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communicate on a regular basis with our lenders regarding our financial and working capital performance, and liquidity position. We were in compliance with all financial covenants and restrictions contained in our debt agreements as of December 31, 2025.</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also measure our ability to meet our debt obligations based on our financial leverage ratio, which was 3.4x as of December 31, 2025 and 2.9x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financial leverage ratio, which is a non-GAAP financial measure, for the periods presented:</w:t>
      </w:r>
    </w:p>
    <w:tbl>
      <w:tblPr>
        <w:tblW w:w="8247" w:type="dxa"/>
        <w:jc w:val="left"/>
        <w:tblInd w:w="0" w:type="dxa"/>
        <w:tblLayout w:type="fixed"/>
        <w:tblCellMar>
          <w:top w:w="28" w:type="dxa"/>
          <w:left w:w="28" w:type="dxa"/>
          <w:bottom w:w="28" w:type="dxa"/>
          <w:right w:w="28" w:type="dxa"/>
        </w:tblCellMar>
      </w:tblPr>
      <w:tblGrid>
        <w:gridCol w:w="1735"/>
        <w:gridCol w:w="1522"/>
        <w:gridCol w:w="1528"/>
        <w:gridCol w:w="300"/>
        <w:gridCol w:w="1090"/>
        <w:gridCol w:w="155"/>
        <w:gridCol w:w="109"/>
        <w:gridCol w:w="109"/>
        <w:gridCol w:w="109"/>
        <w:gridCol w:w="296"/>
        <w:gridCol w:w="1078"/>
        <w:gridCol w:w="216"/>
      </w:tblGrid>
      <w:tr>
        <w:trPr/>
        <w:tc>
          <w:tcPr>
            <w:tcW w:w="173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of dollars, except ratios)</w:t>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redemption of Series A Preferred Stock</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(2)</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(3)</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abandonment of assets</w:t>
            </w:r>
            <w:r>
              <w:rPr>
                <w:rFonts w:ascii="Times New Roman;serif" w:hAnsi="Times New Roman;serif"/>
                <w:b w:val="false"/>
                <w:color w:val="000000"/>
                <w:sz w:val="13"/>
              </w:rPr>
              <w:t>(4)</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Excise taxes on excess pension plan assets</w:t>
            </w:r>
            <w:r>
              <w:rPr>
                <w:rFonts w:ascii="Times New Roman;serif" w:hAnsi="Times New Roman;serif"/>
                <w:b w:val="false"/>
                <w:color w:val="000000"/>
                <w:sz w:val="13"/>
              </w:rPr>
              <w:t>(5)</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and current portion of long-term debt, net</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discount and debt issuance costs</w:t>
            </w:r>
            <w:r>
              <w:rPr>
                <w:rFonts w:ascii="Times New Roman;serif" w:hAnsi="Times New Roman;serif"/>
                <w:b w:val="false"/>
                <w:color w:val="000000"/>
                <w:sz w:val="13"/>
              </w:rPr>
              <w:t>(6)</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adjustments to the Anixter Senior Notes</w:t>
            </w:r>
            <w:r>
              <w:rPr>
                <w:rFonts w:ascii="Times New Roman;serif" w:hAnsi="Times New Roman;serif"/>
                <w:b w:val="false"/>
                <w:color w:val="000000"/>
                <w:sz w:val="13"/>
              </w:rPr>
              <w:t>(6)</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cash</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leverage ratio</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283"/>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p>
      <w:pPr>
        <w:pStyle w:val="TextBody"/>
        <w:bidi w:val="0"/>
        <w:spacing w:lineRule="auto" w:line="288" w:before="60" w:after="283"/>
        <w:ind w:left="0" w:right="0" w:hanging="270"/>
        <w:jc w:val="both"/>
        <w:rPr/>
      </w:pPr>
      <w:r>
        <w:rPr>
          <w:rFonts w:ascii="Times New Roman;serif" w:hAnsi="Times New Roman;serif"/>
          <w:b w:val="false"/>
          <w:color w:val="000000"/>
          <w:sz w:val="12"/>
        </w:rPr>
        <w:t>(3)    </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60" w:after="283"/>
        <w:ind w:left="0" w:right="0" w:hanging="270"/>
        <w:jc w:val="both"/>
        <w:rPr/>
      </w:pPr>
      <w:r>
        <w:rPr>
          <w:rFonts w:ascii="Times New Roman;serif" w:hAnsi="Times New Roman;serif"/>
          <w:b w:val="false"/>
          <w:color w:val="000000"/>
          <w:sz w:val="12"/>
        </w:rPr>
        <w:t>(4)    </w:t>
      </w:r>
      <w:r>
        <w:rPr>
          <w:rFonts w:ascii="Times New Roman;serif" w:hAnsi="Times New Roman;serif"/>
          <w:b w:val="false"/>
          <w:color w:val="000000"/>
          <w:sz w:val="18"/>
        </w:rPr>
        <w:t xml:space="preserve">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 </w:t>
      </w:r>
    </w:p>
    <w:p>
      <w:pPr>
        <w:pStyle w:val="TextBody"/>
        <w:bidi w:val="0"/>
        <w:spacing w:lineRule="auto" w:line="288" w:before="60" w:after="283"/>
        <w:ind w:left="0" w:right="0" w:hanging="270"/>
        <w:jc w:val="both"/>
        <w:rPr/>
      </w:pPr>
      <w:r>
        <w:rPr>
          <w:rFonts w:ascii="Times New Roman;serif" w:hAnsi="Times New Roman;serif"/>
          <w:b w:val="false"/>
          <w:color w:val="000000"/>
          <w:sz w:val="12"/>
        </w:rPr>
        <w:t>(5)    </w:t>
      </w:r>
      <w:r>
        <w:rPr>
          <w:rFonts w:ascii="Times New Roman;serif" w:hAnsi="Times New Roman;serif"/>
          <w:b w:val="false"/>
          <w:color w:val="000000"/>
          <w:sz w:val="18"/>
        </w:rPr>
        <w:t>Excise taxes on excess pension plan assets represent the excise taxes applicable to the excess pension plan assets following the final settlement of the Company’s U.S. pension plan.</w:t>
      </w:r>
    </w:p>
    <w:p>
      <w:pPr>
        <w:pStyle w:val="TextBody"/>
        <w:bidi w:val="0"/>
        <w:spacing w:lineRule="auto" w:line="288" w:before="60" w:after="283"/>
        <w:ind w:left="0" w:right="0" w:hanging="270"/>
        <w:jc w:val="both"/>
        <w:rPr/>
      </w:pPr>
      <w:r>
        <w:rPr>
          <w:rFonts w:ascii="Times New Roman;serif" w:hAnsi="Times New Roman;serif"/>
          <w:b w:val="false"/>
          <w:color w:val="000000"/>
          <w:sz w:val="12"/>
        </w:rPr>
        <w:t>(6)    </w:t>
      </w:r>
      <w:r>
        <w:rPr>
          <w:rFonts w:ascii="Times New Roman;serif" w:hAnsi="Times New Roman;serif"/>
          <w:b w:val="false"/>
          <w:color w:val="000000"/>
          <w:sz w:val="18"/>
        </w:rPr>
        <w:t>Debt is presented in the Consolidated Balance Sheets net of debt issuance costs and debt discount, and includes adjustments to record the long-term debt assumed in the merger with Anixter at its acquisition date fair value.</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Note: Financial leverage ratio is a non-GAAP measure of the use of debt. Financial leverage ratio is calculated by dividing total debt, excluding debt issuance costs, debt discount and fair value adjustments, net of cash, by adjusted EBITDA. EBITDA is defined as the trailing twelve months earnings before interest, taxes, depreciation and amortization.</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 analysis of cash flows for 2025 and 2024 follows: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2025 totaled $125.0 million, compared to $1,101.2 million in 2024. The $976.2 million decrease is primarily driven by a $507.3 million impact from changes in trade accounts receivable and a $428.1 million impact from changes in inventories. The impact from trade accounts receivable was primarily due to sales growth in the CSS and EES segments, as well as the timing of receipts from customers as compared to the prior year. The impact from inventories was primarily due to an increase in volume related to growth in large projects as compared to the prior year. These decreases were partially offset by an increase in net income as adjusted for certain non-cash items.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in 2025 was $140.7 million compared to $40.4 million provided by investing activities in 2024. Included in 2025 were capital expenditures of $99.8 million compared to $94.7 million in 2024. Capital expenditures in 2025 and 2024 primarily comprised equipment and leasehold improvements to support our global network of locations, and internal-use computer software and information technology hardware to support our digital transformation initiatives.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 2025 also included $36.3 million paid to acquire Industrial Software Solutions, net of cash acquired. Included in net cash provided by investing activities in 2024 were $354.9 million in proceeds from the divestiture of the WIS business, net of cash transferred, partially offset by $221.3 million paid to acquire Ascent, entroCIM and Independent Electric Supply, net of cash acquired.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 2025 was $92.7 million, compared to $928.3 million in 2024. During 2025, financing activities primarily comprised proceeds of $800 million related to the issuance of the 2033 Notes, net borrowings of $54.8 million related to our Revolving Credit Facility, net repayments of $150.0 million related to our Receivables Facility, and payment of total debt issuance costs of $14.0 million related to the issuance of the 2033 Notes and amendments to the Revolving Credit Facility and Receivables Facility. Financing activities for 2025 also included $540.3 million paid to redeem our Series A Preferred Stock, $75.0 million of common stock repurchases, $88.4 million and $27.3 million of dividends paid to holders of our common stock and Series A Preferred Stock, respectively, and $37.2 million of payments for taxes related to the exercise and vesting of stock-based awards.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2024, financing activities primarily comprised proceeds of $900.0 million and $850.0 million related to the issuance of the 6.375% senior notes due 2029 and 6.625% senior notes due 2032 (the “2029 and 2032 Notes”), respectively, the redemption of our $1,500.0 million aggregate principal amount of 7.125% Senior Notes due 2025, net repayments of $428.0 million related to our Revolving Credit Facility, net repayments of $100.0 million related to our Receivables Facility, and payment of total debt issuance costs of $26.6 million related to the issuance of the 2029 and 2032 Notes and amendments to the Revolving Credit Facility and Receivables Facility. Financing activities for 2024 also included $425.0 million of common stock repurchases, $81.5 million and $57.4 million of dividends paid to holders of our common stock and Series A Preferred Stock, respectively, and $30.9 million of payments for taxes related to the exercise and vesting of stock-based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material cash requirements from known contractual and other obligations at December 31, 2025, including interest, and the expected effect on our liquidity and cash flow in future periods:</w:t>
      </w:r>
    </w:p>
    <w:tbl>
      <w:tblPr>
        <w:tblW w:w="10205" w:type="dxa"/>
        <w:jc w:val="left"/>
        <w:tblInd w:w="0" w:type="dxa"/>
        <w:tblLayout w:type="fixed"/>
        <w:tblCellMar>
          <w:top w:w="28" w:type="dxa"/>
          <w:left w:w="28" w:type="dxa"/>
          <w:bottom w:w="28" w:type="dxa"/>
          <w:right w:w="28" w:type="dxa"/>
        </w:tblCellMar>
      </w:tblPr>
      <w:tblGrid>
        <w:gridCol w:w="1453"/>
        <w:gridCol w:w="1210"/>
        <w:gridCol w:w="1214"/>
        <w:gridCol w:w="196"/>
        <w:gridCol w:w="556"/>
        <w:gridCol w:w="109"/>
        <w:gridCol w:w="109"/>
        <w:gridCol w:w="109"/>
        <w:gridCol w:w="109"/>
        <w:gridCol w:w="207"/>
        <w:gridCol w:w="733"/>
        <w:gridCol w:w="115"/>
        <w:gridCol w:w="109"/>
        <w:gridCol w:w="109"/>
        <w:gridCol w:w="109"/>
        <w:gridCol w:w="207"/>
        <w:gridCol w:w="733"/>
        <w:gridCol w:w="115"/>
        <w:gridCol w:w="109"/>
        <w:gridCol w:w="109"/>
        <w:gridCol w:w="109"/>
        <w:gridCol w:w="196"/>
        <w:gridCol w:w="696"/>
        <w:gridCol w:w="109"/>
        <w:gridCol w:w="109"/>
        <w:gridCol w:w="109"/>
        <w:gridCol w:w="109"/>
        <w:gridCol w:w="196"/>
        <w:gridCol w:w="691"/>
        <w:gridCol w:w="161"/>
      </w:tblGrid>
      <w:tr>
        <w:trPr/>
        <w:tc>
          <w:tcPr>
            <w:tcW w:w="145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 to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 to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2031 - 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Debt, excluding debt discount and debt issuance costs</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Interest on indebtedness</w:t>
            </w:r>
            <w:r>
              <w:rPr>
                <w:rFonts w:ascii="Times New Roman;serif" w:hAnsi="Times New Roman;serif"/>
                <w:b w:val="false"/>
                <w:color w:val="000000"/>
                <w:sz w:val="12"/>
              </w:rPr>
              <w:t>(1)(2)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Non-cancelable operating leases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 tax installments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8,406.0 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Debt payments include both principal and interest payments on debt and finance lease obligations.</w:t>
      </w:r>
    </w:p>
    <w:p>
      <w:pPr>
        <w:pStyle w:val="TextBody"/>
        <w:bidi w:val="0"/>
        <w:spacing w:lineRule="auto" w:line="288" w:before="120" w:after="12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Interest on variable rate debt was calculated using the rates and balances outstanding at December 31, 2025.</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the cash requirements disclosed in the table above, we expect future uses of cash to include working capital requirements, capital expenditures, investments in our digital capabilities, dividend payments to holders of our common stock, and other organic opportunities. Future uses of cash could also include acquisitions of businesses and the repurchase of common stock. We expect to spend approximately $100 million in 2026 on capital expenditures for information technology investments and to support our global network of distribution centers, fulfillment centers and sales offices.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expect to fund future uses of cash with a combination of existing cash balances, cash generated from operating activities, borrowings under our revolving credit and accounts receivable securitization facilities, or new issuances of debt.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Purchase orders for inventory requirements and service contracts are not included in the table above. Generally, our purchase orders and contracts contain clauses allowing for cancellation. We do not have agreements to purchase material or goods that would specify significant minimum order quantities.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Liabilities related to unrecognized tax benefits, including interest and penalties, of $164.7 million were excluded from the table above as we cannot reasonably estimate the timing of these potential cash settlements with taxing authorities. See Note 11, “Income Taxes” of our Notes to Consolidated Financial Statements for further information related to unrecognized tax benefits.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undistributed earnings of our foreign subsidiaries amounted to approximately $2,109.2 million at December 31, 2025. Most of these earnings have been taxed in the U.S. under either the one-time tax on the deemed repatriation of undistributed foreign earnings (the “transition tax”), or the global intangible low-taxed income (“GILTI”) tax regime imposed by the Tax Cuts and Jobs Act of 2017 (the “TCJA”). We have elected to pay the transition tax in installments over an eight year period ending in 2026. As of December 31, 2025, our remaining liability for the transition tax was $13.7 million. We continue to assert that the remaining undistributed earnings of our foreign subsidiaries are indefinitely reinvested. The distribution of earnings by our foreign subsidiaries in the form of dividends, or otherwise, may be subject to additional taxation. We estimate that additional taxes of approximately $116.6 million would be payable upon the remittance of all previously undistributed foreign earnings as of December 31, 2025, based upon the laws in effect on that date. We believe that we are able to maintain sufficient liquidity for our domestic operations and commitments without repatriating cash from our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operating results are not significantly affected by seasonal factors. Sales during the first and fourth quarters have historically been affected by a reduced level of activity primarily due to the impact of weather on projects. Sales typically increase beginning in March, with slight fluctuations per month through October. During periods of economic expansion or contraction, our sales by quarter have varied significantly from this pattern.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Accounting Standards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See Note 2, “Accounting Policies” of our Notes to Consolidated Financial Statements for a description of recently adopted and 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Foreign Currency Risks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2025, approximately 26% of our sales were from our foreign subsidiaries and are denominated in foreign currencies. Our exposure to currency rate fluctuations primarily relate to Canada (Canadian dollar), certain countries in the European Union (euro), the United Kingdom (British pound), Mexico (Mexican peso), and Australia (Australian dollar). We also have exposure to currency rate fluctuations related to more volatile markets including Argentina (Argentine peso), Brazil (Brazilian real), Chile (Chilean peso), Colombia (Colombian peso), Japan (Japanese yen), and New Zealand (New Zealand dollar). We may establish additional foreign subsidiaries in the future. Accordingly, we may derive a larger portion of our sales from international operations, and a portion of these sales may be denominated in foreign currencies. As a result, our future operating results could be subject to further fluctuations in foreign exchange rates relative to the U.S. dollar. Furthermore, to the extent that we engage in international sales denominated in U.S. dollars, an increase in the value of the U.S. dollar relative to foreign currencies could make our products less competitive in international markets.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purchase foreign currency forward contracts to reduce the effect of fluctuating foreign currency-denominated accounts on our reported earnings. The foreign currency forward contracts are not designated as hedges for accounting purposes. At December 31, 2025 and 2024, the gross and net notional amounts of foreign currency forward contracts outstanding were approximately $286.3 million and $345.7 million, respectively. We prepared a sensitivity analysis of our foreign currency forward contracts assuming a 10% adverse change in the value of foreign currency contracts outstanding. The hypothetical adverse changes would have resulted in recording a $28.6 million and $33.0 million loss in 2025 and 2024, respectively. However, since these forward contracts are intended to be effective economic hedges, we would record offsetting gains as a result of the remeasurement of the underlying foreign currency denominated monetary amounts being hedged.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120"/>
        <w:ind w:left="0" w:right="0" w:firstLine="270"/>
        <w:jc w:val="both"/>
        <w:rPr/>
      </w:pPr>
      <w:r>
        <w:rPr>
          <w:rFonts w:ascii="Times New Roman;serif" w:hAnsi="Times New Roman;serif"/>
          <w:b w:val="false"/>
          <w:i/>
          <w:color w:val="000000"/>
          <w:sz w:val="20"/>
        </w:rPr>
        <w:t>Fixed Rate Borrowings</w:t>
      </w:r>
      <w:r>
        <w:rPr>
          <w:rFonts w:ascii="Times New Roman;serif" w:hAnsi="Times New Roman;serif"/>
          <w:b w:val="false"/>
          <w:color w:val="000000"/>
          <w:sz w:val="20"/>
        </w:rPr>
        <w:t>: As of December 31, 2025, approximately 66% of our debt portfolio comprises fixed rate debt. As our 7.250% Senior Notes due 2028, 6.375% Senior Notes due 2029, 6.625% Senior Notes due 2032, and 6.375% Senior Notes due 2033 were issued at fixed rates, interest expense would not be impacted by interest rate fluctuations. However, the fair value of our fixed rate debt will generally fluctuate with movements of interest rates, increasing in periods of declining rates of interest and declining in periods of increasing rates of interest. The fair value of our debt instruments with fixed interest rates is disclosed in Note 4, “Fair Value of Financial Instruments” of our Notes to Consolidated Financial Statements.</w:t>
      </w:r>
    </w:p>
    <w:p>
      <w:pPr>
        <w:pStyle w:val="TextBody"/>
        <w:bidi w:val="0"/>
        <w:spacing w:lineRule="auto" w:line="288" w:before="120" w:after="120"/>
        <w:ind w:left="0" w:right="0" w:firstLine="270"/>
        <w:jc w:val="both"/>
        <w:rPr/>
      </w:pPr>
      <w:r>
        <w:rPr>
          <w:rFonts w:ascii="Times New Roman;serif" w:hAnsi="Times New Roman;serif"/>
          <w:b w:val="false"/>
          <w:i/>
          <w:color w:val="000000"/>
          <w:sz w:val="20"/>
        </w:rPr>
        <w:t>Floating Rate Borrowings</w:t>
      </w:r>
      <w:r>
        <w:rPr>
          <w:rFonts w:ascii="Times New Roman;serif" w:hAnsi="Times New Roman;serif"/>
          <w:b w:val="false"/>
          <w:color w:val="000000"/>
          <w:sz w:val="20"/>
        </w:rPr>
        <w:t>: Our variable rate borrowings comprise the Revolving Credit Facility, the Receivables Facility, and international lines of credit. The fair value of these debt instruments at December 31, 2025 approximated carrying value. We borrow under our Revolving Credit Facility and Receivables Facility for general corporate purposes, including working capital requirements and capital expenditures. Borrowings under the Receivables Facility funded by certain lenders through such lenders’ issuance of commercial paper bear interest at the applicable commercial paper rate. Otherwise, at the option of the borrower, borrowings under these facilities bear interest at either the 30-day Secured Overnight Financing Rate-based (“SOFR”) rate or the daily resetting SOFR rate. A 100 basis point rise or decline in interest rates would result in an increase or decrease to interest expense of $19.5 million under our current capital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20" w:after="283"/>
        <w:ind w:left="0" w:right="0" w:firstLine="31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required by this item is set forth in our Consolidated Financial Statements contained in this Annual Report on Form 10-K. Specific financial statements can be found at the pages listed below:</w:t>
      </w:r>
    </w:p>
    <w:tbl>
      <w:tblPr>
        <w:tblW w:w="9196" w:type="dxa"/>
        <w:jc w:val="left"/>
        <w:tblInd w:w="0" w:type="dxa"/>
        <w:tblLayout w:type="fixed"/>
        <w:tblCellMar>
          <w:top w:w="28" w:type="dxa"/>
          <w:left w:w="28" w:type="dxa"/>
          <w:bottom w:w="28" w:type="dxa"/>
          <w:right w:w="28" w:type="dxa"/>
        </w:tblCellMar>
      </w:tblPr>
      <w:tblGrid>
        <w:gridCol w:w="3142"/>
        <w:gridCol w:w="2764"/>
        <w:gridCol w:w="2779"/>
        <w:gridCol w:w="149"/>
        <w:gridCol w:w="149"/>
        <w:gridCol w:w="213"/>
      </w:tblGrid>
      <w:tr>
        <w:trPr/>
        <w:tc>
          <w:tcPr>
            <w:tcW w:w="3142"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61">
              <w:r>
                <w:rPr>
                  <w:rStyle w:val="InternetLink"/>
                  <w:rFonts w:ascii="Times New Roman;serif" w:hAnsi="Times New Roman;serif"/>
                  <w:b w:val="false"/>
                  <w:color w:val="000080"/>
                  <w:sz w:val="20"/>
                  <w:u w:val="single"/>
                </w:rPr>
                <w:t>Report of Independent Registered Public Accounting Firm</w:t>
              </w:r>
            </w:hyperlink>
            <w:r>
              <w:rPr>
                <w:rFonts w:ascii="Times New Roman;serif" w:hAnsi="Times New Roman;serif"/>
                <w:b w:val="false"/>
                <w:color w:val="0000FF"/>
                <w:sz w:val="20"/>
                <w:u w:val="single"/>
              </w:rPr>
              <w:t xml:space="preserve"> (PCAOB ID 238)</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470e0c5eac544749808d0a156f25252d_61">
              <w:r>
                <w:rPr>
                  <w:rStyle w:val="InternetLink"/>
                  <w:rFonts w:ascii="Times New Roman;serif" w:hAnsi="Times New Roman;serif"/>
                  <w:b w:val="false"/>
                  <w:color w:val="0000FF"/>
                  <w:sz w:val="20"/>
                  <w:u w:val="single"/>
                </w:rPr>
                <w:t>44</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64">
              <w:r>
                <w:rPr>
                  <w:rStyle w:val="InternetLink"/>
                  <w:rFonts w:ascii="Times New Roman;serif" w:hAnsi="Times New Roman;serif"/>
                  <w:b w:val="false"/>
                  <w:color w:val="0000FF"/>
                  <w:sz w:val="20"/>
                  <w:u w:val="single"/>
                </w:rPr>
                <w:t>Consolidated Balance Sheets as of December 31,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64">
              <w:r>
                <w:rPr>
                  <w:rStyle w:val="InternetLink"/>
                  <w:rFonts w:ascii="Times New Roman;serif" w:hAnsi="Times New Roman;serif"/>
                  <w:b w:val="false"/>
                  <w:color w:val="0000FF"/>
                  <w:sz w:val="20"/>
                  <w:u w:val="single"/>
                </w:rPr>
                <w:t>46</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67">
              <w:r>
                <w:rPr>
                  <w:rStyle w:val="InternetLink"/>
                  <w:rFonts w:ascii="Times New Roman;serif" w:hAnsi="Times New Roman;serif"/>
                  <w:b w:val="false"/>
                  <w:color w:val="0000FF"/>
                  <w:sz w:val="20"/>
                  <w:u w:val="single"/>
                </w:rPr>
                <w:t>Consolidated Statements of Income and Comprehensive Income for the years 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470e0c5eac544749808d0a156f25252d_67">
              <w:r>
                <w:rPr>
                  <w:rStyle w:val="InternetLink"/>
                  <w:rFonts w:ascii="Times New Roman;serif" w:hAnsi="Times New Roman;serif"/>
                  <w:b w:val="false"/>
                  <w:color w:val="0000FF"/>
                  <w:sz w:val="20"/>
                  <w:u w:val="single"/>
                </w:rPr>
                <w:t>December 31, 2025, 2024 and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67">
              <w:r>
                <w:rPr>
                  <w:rStyle w:val="InternetLink"/>
                  <w:rFonts w:ascii="Times New Roman;serif" w:hAnsi="Times New Roman;serif"/>
                  <w:b w:val="false"/>
                  <w:color w:val="0000FF"/>
                  <w:sz w:val="20"/>
                  <w:u w:val="single"/>
                </w:rPr>
                <w:t>47</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70">
              <w:r>
                <w:rPr>
                  <w:rStyle w:val="InternetLink"/>
                  <w:rFonts w:ascii="Times New Roman;serif" w:hAnsi="Times New Roman;serif"/>
                  <w:b w:val="false"/>
                  <w:color w:val="0000FF"/>
                  <w:sz w:val="20"/>
                  <w:u w:val="single"/>
                </w:rPr>
                <w:t xml:space="preserve">Consolidated Statements of Stockholders’ Equity for the years ended December 31, 2025, 2024 and 2023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70">
              <w:r>
                <w:rPr>
                  <w:rStyle w:val="InternetLink"/>
                  <w:rFonts w:ascii="Times New Roman;serif" w:hAnsi="Times New Roman;serif"/>
                  <w:b w:val="false"/>
                  <w:color w:val="0000FF"/>
                  <w:sz w:val="20"/>
                  <w:u w:val="single"/>
                </w:rPr>
                <w:t>48</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73">
              <w:r>
                <w:rPr>
                  <w:rStyle w:val="InternetLink"/>
                  <w:rFonts w:ascii="Times New Roman;serif" w:hAnsi="Times New Roman;serif"/>
                  <w:b w:val="false"/>
                  <w:color w:val="0000FF"/>
                  <w:sz w:val="20"/>
                  <w:u w:val="single"/>
                </w:rPr>
                <w:t xml:space="preserve">Consolidated Statements of Cash Flows for the years ended December 31, 2025, 2024 and 2023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73">
              <w:r>
                <w:rPr>
                  <w:rStyle w:val="InternetLink"/>
                  <w:rFonts w:ascii="Times New Roman;serif" w:hAnsi="Times New Roman;serif"/>
                  <w:b w:val="false"/>
                  <w:color w:val="0000FF"/>
                  <w:sz w:val="20"/>
                  <w:u w:val="single"/>
                </w:rPr>
                <w:t>50</w:t>
              </w:r>
            </w:hyperlink>
          </w:p>
        </w:tc>
      </w:tr>
      <w:tr>
        <w:trPr/>
        <w:tc>
          <w:tcPr>
            <w:tcW w:w="86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0e0c5eac544749808d0a156f25252d_76">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70e0c5eac544749808d0a156f25252d_76">
              <w:r>
                <w:rPr>
                  <w:rStyle w:val="InternetLink"/>
                  <w:rFonts w:ascii="Times New Roman;serif" w:hAnsi="Times New Roman;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WESCO International, Inc.</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120" w:after="283"/>
        <w:jc w:val="both"/>
        <w:rPr/>
      </w:pPr>
      <w:r>
        <w:rPr>
          <w:rFonts w:ascii="Times New Roman;serif" w:hAnsi="Times New Roman;serif"/>
          <w:b w:val="false"/>
          <w:color w:val="000000"/>
          <w:sz w:val="20"/>
        </w:rPr>
        <w:t xml:space="preserve">We have audited the accompanying consolidated balance sheets of WESCO International, Inc. and its subsidiaries (the “Company”) as of December 31, 2025 and 2024, and the related consolidated statements of income and comprehensive income, of stockholders’ equity and of cash flows for each of the three years in the period ended December 31, 2025, including the related notes and schedule of valuation and qualifying accounts for each of the three years in the period ended December 31, 2025 appearing under Item 15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lineRule="auto" w:line="288" w:before="120" w:after="283"/>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 - Product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Notes 2 and 3 to the consolidated financial statements, the Company’s net sales were $23,510.9 million for the year ended December 31, 2025, of which the majority relates to product revenue. The Company’s revenue arrangements generally consist of single performance obligations to transfer a promised good or service, or a combination of goods and services. Revenue is measured as the amount of consideration the Company expects to receive in exchange for transferring goods or providing services. Revenue is recognized when control has transferred to the customer, which is generally when the product has shipped from a Company facility or directly from a supplier.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 for our determination that performing procedures relating to revenue recognition for product revenue is a critical audit matter is a high degree of auditor effort in performing procedures related to the Company’s revenue recognition for product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product revenue. These procedures also included, among others (i) evaluating certain product revenue transactions by testing the issuance and settlement of invoices and credit memos, tracing transactions not settled to a detailed listing of accounts receivable, and testing the completeness and accuracy of data provided by management; (ii) evaluating certain product revenue transactions, on a sample basis, by obtaining and inspecting source documents, such as purchase orders, invoices, proof of shipment, and cash receipts or detailed listing of accounts receivable; and (iii) confirming, on a sample basis, outstanding customer invoice balances and, for confirmations not returned, obtaining and inspecting source documents, such as purchase orders, invoices, proof of shipment, and subsequent cash receipts.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Pittsburgh, Pennsylvania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13,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tbl>
      <w:tblPr>
        <w:tblW w:w="10205" w:type="dxa"/>
        <w:jc w:val="center"/>
        <w:tblInd w:w="0" w:type="dxa"/>
        <w:tblLayout w:type="fixed"/>
        <w:tblCellMar>
          <w:top w:w="28" w:type="dxa"/>
          <w:left w:w="28" w:type="dxa"/>
          <w:bottom w:w="28" w:type="dxa"/>
          <w:right w:w="28" w:type="dxa"/>
        </w:tblCellMar>
      </w:tblPr>
      <w:tblGrid>
        <w:gridCol w:w="2809"/>
        <w:gridCol w:w="2242"/>
        <w:gridCol w:w="2238"/>
        <w:gridCol w:w="223"/>
        <w:gridCol w:w="921"/>
        <w:gridCol w:w="115"/>
        <w:gridCol w:w="115"/>
        <w:gridCol w:w="115"/>
        <w:gridCol w:w="115"/>
        <w:gridCol w:w="223"/>
        <w:gridCol w:w="921"/>
        <w:gridCol w:w="168"/>
      </w:tblGrid>
      <w:tr>
        <w:trPr/>
        <w:tc>
          <w:tcPr>
            <w:tcW w:w="2809"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 of allowance for expected credit losses of $63.6 and $55.0 in 2025 and 2024, respectively</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accounts receivable</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8,351.4 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buildings and equipment, net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5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 costs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and current portion of long-term debt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Long-term debt, net of debt discount and debt issuance costs of $48.0 and $47.2</w:t>
            </w:r>
            <w:r>
              <w:rPr>
                <w:color w:val="000000"/>
              </w:rPr>
              <w:t xml:space="preserve"> </w:t>
            </w:r>
            <w:r>
              <w:rPr>
                <w:rFonts w:ascii="Times New Roman;serif" w:hAnsi="Times New Roman;serif"/>
                <w:b w:val="false"/>
                <w:color w:val="000000"/>
                <w:sz w:val="20"/>
              </w:rPr>
              <w:t>in 2025 and 2024, respectively</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20,000,000 shares authorized, no shares issued or outstanding</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Series A, $.01 par value; 25,000 shares authorized, no shares issued or outstanding in 2025, 21,612 shares issued and outstanding in 2024</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$.01 par value; 210,000,000 shares authorized, 70,004,866 and 69,627,398 shares issued and 48,658,333 and 48,790,595 shares outstanding in 2025 and 2024, respectively</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nonvoting convertible common stock, $.01 par value; 20,000,000 shares authorized, 4,339,431 issued and no shares outstanding in 2025 and 2024, respectively</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Treasury stock, at cost; 25,685,964 and 25,176,234 shares in 2025 and 2024, respectively</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WESCO International, Inc. stockholders’ equity</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stockholders’ equity</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and stockholders’ equity</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tbl>
      <w:tblPr>
        <w:tblW w:w="10205" w:type="dxa"/>
        <w:jc w:val="center"/>
        <w:tblInd w:w="0" w:type="dxa"/>
        <w:tblLayout w:type="fixed"/>
        <w:tblCellMar>
          <w:top w:w="28" w:type="dxa"/>
          <w:left w:w="28" w:type="dxa"/>
          <w:bottom w:w="28" w:type="dxa"/>
          <w:right w:w="28" w:type="dxa"/>
        </w:tblCellMar>
      </w:tblPr>
      <w:tblGrid>
        <w:gridCol w:w="1687"/>
        <w:gridCol w:w="1411"/>
        <w:gridCol w:w="1155"/>
        <w:gridCol w:w="294"/>
        <w:gridCol w:w="1213"/>
        <w:gridCol w:w="151"/>
        <w:gridCol w:w="151"/>
        <w:gridCol w:w="151"/>
        <w:gridCol w:w="151"/>
        <w:gridCol w:w="294"/>
        <w:gridCol w:w="1213"/>
        <w:gridCol w:w="151"/>
        <w:gridCol w:w="151"/>
        <w:gridCol w:w="151"/>
        <w:gridCol w:w="151"/>
        <w:gridCol w:w="294"/>
        <w:gridCol w:w="1213"/>
        <w:gridCol w:w="223"/>
      </w:tblGrid>
      <w:tr>
        <w:trPr/>
        <w:tc>
          <w:tcPr>
            <w:tcW w:w="168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INCOME AND COMPREHENSIVE INCOME</w:t>
            </w:r>
          </w:p>
        </w:tc>
      </w:tr>
      <w:tr>
        <w:trPr/>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2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22,385.2 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WESCO International, Inc.</w:t>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Plus: Gain on redemption of Series A Preferred Stock</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w:t>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and other</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 plan adjustments, net of tax</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Plus: Gain on redemption of Series A Preferred Stock</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stockholders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pStyle w:val="TextBody"/>
        <w:bidi w:val="0"/>
        <w:spacing w:before="360" w:after="283"/>
        <w:ind w:left="0" w:right="0" w:hanging="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tbl>
      <w:tblPr>
        <w:tblW w:w="18249"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198"/>
        <w:gridCol w:w="381"/>
        <w:gridCol w:w="112"/>
        <w:gridCol w:w="109"/>
        <w:gridCol w:w="109"/>
        <w:gridCol w:w="109"/>
        <w:gridCol w:w="480"/>
        <w:gridCol w:w="481"/>
        <w:gridCol w:w="196"/>
        <w:gridCol w:w="109"/>
        <w:gridCol w:w="109"/>
        <w:gridCol w:w="109"/>
        <w:gridCol w:w="196"/>
        <w:gridCol w:w="406"/>
        <w:gridCol w:w="109"/>
        <w:gridCol w:w="109"/>
        <w:gridCol w:w="109"/>
        <w:gridCol w:w="109"/>
        <w:gridCol w:w="435"/>
        <w:gridCol w:w="436"/>
        <w:gridCol w:w="196"/>
        <w:gridCol w:w="109"/>
        <w:gridCol w:w="109"/>
        <w:gridCol w:w="109"/>
        <w:gridCol w:w="196"/>
        <w:gridCol w:w="406"/>
        <w:gridCol w:w="109"/>
        <w:gridCol w:w="109"/>
        <w:gridCol w:w="109"/>
        <w:gridCol w:w="109"/>
        <w:gridCol w:w="323"/>
        <w:gridCol w:w="323"/>
        <w:gridCol w:w="196"/>
        <w:gridCol w:w="109"/>
        <w:gridCol w:w="109"/>
        <w:gridCol w:w="109"/>
        <w:gridCol w:w="196"/>
        <w:gridCol w:w="691"/>
        <w:gridCol w:w="109"/>
        <w:gridCol w:w="109"/>
        <w:gridCol w:w="109"/>
        <w:gridCol w:w="109"/>
        <w:gridCol w:w="196"/>
        <w:gridCol w:w="691"/>
        <w:gridCol w:w="109"/>
        <w:gridCol w:w="109"/>
        <w:gridCol w:w="109"/>
        <w:gridCol w:w="109"/>
        <w:gridCol w:w="196"/>
        <w:gridCol w:w="706"/>
        <w:gridCol w:w="109"/>
        <w:gridCol w:w="109"/>
        <w:gridCol w:w="109"/>
        <w:gridCol w:w="109"/>
        <w:gridCol w:w="488"/>
        <w:gridCol w:w="488"/>
        <w:gridCol w:w="196"/>
        <w:gridCol w:w="327"/>
        <w:gridCol w:w="338"/>
        <w:gridCol w:w="674"/>
        <w:gridCol w:w="189"/>
        <w:gridCol w:w="327"/>
        <w:gridCol w:w="342"/>
        <w:gridCol w:w="743"/>
        <w:gridCol w:w="131"/>
        <w:gridCol w:w="327"/>
        <w:gridCol w:w="196"/>
        <w:gridCol w:w="69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68,535,704 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(22,115,653)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1,054,608 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(504,335)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(311,635)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WESCO International,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Benefit plan adjustments, net of tax effect of $7.4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69,278,677 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(22,720,986)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509,140 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 of $3.8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(2,424,488)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WESCO International,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Benefit plan adjustments, net of tax effect of $5.7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69,627,398 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(25,176,234)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(547.2)</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 consolidated financial statements.</w:t>
      </w:r>
    </w:p>
    <w:p>
      <w:pPr>
        <w:pStyle w:val="TextBody"/>
        <w:bidi w:val="0"/>
        <w:spacing w:before="60" w:after="283"/>
        <w:ind w:left="0" w:right="0" w:hanging="180"/>
        <w:jc w:val="center"/>
        <w:rPr/>
      </w:pPr>
      <w:r>
        <w:rPr/>
      </w:r>
    </w:p>
    <w:p>
      <w:pPr>
        <w:pStyle w:val="TextBody"/>
        <w:bidi w:val="0"/>
        <w:spacing w:before="60" w:after="283"/>
        <w:ind w:left="0" w:right="0" w:hanging="180"/>
        <w:jc w:val="center"/>
        <w:rPr/>
      </w:pPr>
      <w:r>
        <w:rPr/>
      </w:r>
    </w:p>
    <w:p>
      <w:pPr>
        <w:pStyle w:val="TextBody"/>
        <w:bidi w:val="0"/>
        <w:spacing w:before="60" w:after="283"/>
        <w:ind w:left="0" w:right="0" w:hanging="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00" w:after="283"/>
        <w:ind w:left="0" w:right="0" w:hanging="18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tbl>
      <w:tblPr>
        <w:tblW w:w="18264"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198"/>
        <w:gridCol w:w="381"/>
        <w:gridCol w:w="112"/>
        <w:gridCol w:w="109"/>
        <w:gridCol w:w="109"/>
        <w:gridCol w:w="109"/>
        <w:gridCol w:w="480"/>
        <w:gridCol w:w="481"/>
        <w:gridCol w:w="196"/>
        <w:gridCol w:w="109"/>
        <w:gridCol w:w="109"/>
        <w:gridCol w:w="109"/>
        <w:gridCol w:w="196"/>
        <w:gridCol w:w="406"/>
        <w:gridCol w:w="109"/>
        <w:gridCol w:w="109"/>
        <w:gridCol w:w="109"/>
        <w:gridCol w:w="109"/>
        <w:gridCol w:w="435"/>
        <w:gridCol w:w="436"/>
        <w:gridCol w:w="196"/>
        <w:gridCol w:w="109"/>
        <w:gridCol w:w="109"/>
        <w:gridCol w:w="109"/>
        <w:gridCol w:w="196"/>
        <w:gridCol w:w="406"/>
        <w:gridCol w:w="109"/>
        <w:gridCol w:w="109"/>
        <w:gridCol w:w="109"/>
        <w:gridCol w:w="109"/>
        <w:gridCol w:w="330"/>
        <w:gridCol w:w="331"/>
        <w:gridCol w:w="196"/>
        <w:gridCol w:w="109"/>
        <w:gridCol w:w="109"/>
        <w:gridCol w:w="109"/>
        <w:gridCol w:w="196"/>
        <w:gridCol w:w="691"/>
        <w:gridCol w:w="109"/>
        <w:gridCol w:w="109"/>
        <w:gridCol w:w="109"/>
        <w:gridCol w:w="109"/>
        <w:gridCol w:w="196"/>
        <w:gridCol w:w="691"/>
        <w:gridCol w:w="109"/>
        <w:gridCol w:w="109"/>
        <w:gridCol w:w="109"/>
        <w:gridCol w:w="109"/>
        <w:gridCol w:w="196"/>
        <w:gridCol w:w="706"/>
        <w:gridCol w:w="109"/>
        <w:gridCol w:w="109"/>
        <w:gridCol w:w="109"/>
        <w:gridCol w:w="109"/>
        <w:gridCol w:w="488"/>
        <w:gridCol w:w="488"/>
        <w:gridCol w:w="196"/>
        <w:gridCol w:w="327"/>
        <w:gridCol w:w="338"/>
        <w:gridCol w:w="674"/>
        <w:gridCol w:w="189"/>
        <w:gridCol w:w="327"/>
        <w:gridCol w:w="342"/>
        <w:gridCol w:w="743"/>
        <w:gridCol w:w="131"/>
        <w:gridCol w:w="327"/>
        <w:gridCol w:w="196"/>
        <w:gridCol w:w="69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69,627,398 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(25,176,234)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 of $0.2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WESCO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redemption of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Benefit plan adjustments, net of tax effect of $2.7 million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70,004,866 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(25,685,964)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9111" w:type="dxa"/>
        <w:jc w:val="center"/>
        <w:tblInd w:w="0" w:type="dxa"/>
        <w:tblLayout w:type="fixed"/>
        <w:tblCellMar>
          <w:top w:w="28" w:type="dxa"/>
          <w:left w:w="28" w:type="dxa"/>
          <w:bottom w:w="28" w:type="dxa"/>
          <w:right w:w="28" w:type="dxa"/>
        </w:tblCellMar>
      </w:tblPr>
      <w:tblGrid>
        <w:gridCol w:w="2096"/>
        <w:gridCol w:w="1845"/>
        <w:gridCol w:w="1849"/>
        <w:gridCol w:w="199"/>
        <w:gridCol w:w="566"/>
        <w:gridCol w:w="109"/>
        <w:gridCol w:w="109"/>
        <w:gridCol w:w="109"/>
        <w:gridCol w:w="109"/>
        <w:gridCol w:w="199"/>
        <w:gridCol w:w="566"/>
        <w:gridCol w:w="109"/>
        <w:gridCol w:w="109"/>
        <w:gridCol w:w="109"/>
        <w:gridCol w:w="109"/>
        <w:gridCol w:w="199"/>
        <w:gridCol w:w="566"/>
        <w:gridCol w:w="154"/>
      </w:tblGrid>
      <w:tr>
        <w:trPr/>
        <w:tc>
          <w:tcPr>
            <w:tcW w:w="2096"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Cloud computing arrangement amortization</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debt discount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divestiture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abandonment of assets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accounts receivable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noncurrent assets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 costs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noncurrent liabilities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payments, net of cash acquired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divestiture, net of cash transferred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short-term debt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short-term debt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net-share settlement of equity awards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Redemption of preferred stock</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common stock dividends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dividends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 net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the beginning of period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the end of period</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w:t>
            </w:r>
          </w:p>
        </w:tc>
        <w:tc>
          <w:tcPr>
            <w:tcW w:w="87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International, Inc. (“Wesco International”) and its subsidiaries (collectively, “Wesco” or the “Company”), headquartered in Pittsburgh, Pennsylvania, is a leading provider of business-to-business distribution, logistics services and supply chain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operating segments comprising three strategic business units consisting of Electrical &amp; Electronic Solutions (“EES”), Communications &amp; Security Solutions (“CSS”) and Utility &amp; Broadband Solutions (“UBS”). The Company’s operating segments are described further in Note 16, “Business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ACCOUNTING POLICIES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Wesco International and all of its subsidiaries. All intercompany accounts and transactions have been eliminated in consolidation. Certain amounts as of December 31, 2025 and 2024 and for the years ended December 31, 2025, 2024 and 2023 in the consolidated financial statements and associated notes may not foot or recalculate due to rounding.</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Consolidated Statements of Cash Flows for the years ended December 31, 2024 and 2023 include certain reclassifications to previously reported amounts to conform to the current period’s presentation. Such reclassifications had no impact on the totals of operating, investing and financing cash flow activities for those years.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2025, a portion of the EES reportable segment was moved to the CSS reportable segment as a result of operational realignment. The reportable segment financial information for the years ended December 31, 2024 and 2023 has been recast to conform to the current year presentation. The recast does not impact previously reported consolidated results. Refer to Note 16, “Business Segments” for the recasted segment disclosures.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in the United States of America requires management to make estimates and assumptions that affect the amounts reported in the consolidated financial statements and accompanying notes. Although these estimates are based on management’s best knowledge of current events and actions Wesco may undertake in the future, actual results may ultimately differ from the estimates.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Wesco’s revenue arrangements generally consist of single performance obligations to transfer a promised good or service, or a combination of goods and services. Revenue is measured as the amount of consideration Wesco expects to receive in exchange for transferring goods or providing services. Revenue is recognized when control has transferred to the customer, which is generally when the product has shipped from a Wesco facility or directly from a supplier. However, transfer may occur at a later date depending on the agreed upon terms, such as delivery at the customer’s designated location, or based on consignment terms. In some instances, revenue is recognized under bill-and-hold arrangements requested by certain customers. Under these arrangements we retain physical possession of the product and revenue is recognized at the time that control of the product transfers to the customer. The product is subsequently shipped on a mutually agreed-upon date. For products that ship directly from suppliers to customers, Wesco generally acts as the principal in the transaction and recognizes revenue on a gross basis. When providing services, sales are generally recognized over time as control transfers to the customer, which occurs as services are rendered. Wesco generally satisfies its performance obligations within a year or less.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generally does not have significant financing terms associated with its contractual arrangements; payments are normally received within 60 days. There are generally no significant costs associated with obtaining customer contracts. Wesco typically passes through warranties offered by manufacturers or suppliers to its customers. Sales taxes (and value added taxes in foreign jurisdictions) collected from customers and remitted to governmental authorities are excluded from net sales.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Supplier Volume Rebates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Wesco receives volume rebates from certain suppliers based on contractual arrangements with such suppliers. Volume rebates that have been earned are included within other accounts receivable in the Consolidated Balance Sheets, and represent the estimated amounts due to Wesco based on forecasted purchases during the rebate period and the rebate provisions of the various supplier contracts. The Company’s volume rebate arrangements with suppliers are generally for the period of January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 December 31. The corresponding rebate income is recorded as a reduction to cost of goods sold. Receivables under the supplier rebate program were $264.0 million at December 31, 2025 and $210.0 million at December 31, 2024. Supplier volume rebate income as a percentage of net sales was 1.4% in 2025, 1.3% in 2024 and 1.4% in 2023.</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Cash equivalents are defined as highly liquid investments with original maturities of 90 days or less when purchased. Cash and cash equivalents in the Consolidated Balance Sheets include $16.6 million and $19.7 million as of December 31, 2025 and 2024, respectively, that is restricted from use to fund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Allowance for Expected Credit Losses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Wesco recognizes expected credit losses resulting from the inability of its customers to make required payments through an allowance account that is measured each reporting period. Wesco estimates credit losses over the life of its trade accounts receivable using a combination of historical loss data, current credit conditions, specific customer circumstances, and reasonable and supportable forecasts of future economic conditions. The allowance for expected credit losses was $63.6 million and $55.0 million at December 31, 2025 and 2024, respectively. The total amount recorded as selling, general and administrative expense related to credit losses was $25.1 million, $18.7 million and $18.6 million for 2025, 2024 and 2023, respectively.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Inventories primarily consist of merchandise purchased for resale and are stated at the lower of cost or net realizable value. Cost is determined under the average cost method. Wesco reduces the carrying value of its inventories at the earlier of identifying an item that is considered to be obsolete or in excess of supply relative to demand, or no movement in a prescribed number of months. The carrying value of inventories reflect reductions for excess and obsolescence of $149.3 million and $131.3 million at December 31, 2025 and 2024, respectively. The total expense related to excess and obsolete inventories, which is included in cost of goods sold, was $74.0 million, $66.0 million and $63.1 million for 2025, 2024 and 2023,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Property, Buildings and Equipment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Property, buildings and equipment are recorded at cost. Depreciation expense is determined using the straight-line method over the estimated useful lives of the assets. Leasehold improvements are amortized over either their respective lease terms or their estimated lives, whichever is shorter. Estimated useful lives typically range from five to forty years for buildings and leasehold improvements and three to eight years for furniture, fixtures and equipment.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Costs incurred during the application development stage of internally developed software are capitalized and are reported at the lower of unamortized cost or net realizable value. Costs incurred during the preliminary project and post-implementation stages are expensed as incurred. Capitalized costs include external direct costs of materials and services consumed in developing internal-use computer software, payroll and payroll-related costs for employees who are directly associated with and who devote time to the internal-use computer software project, as well as interest costs. Internal-use computer software is amortized using the straight-line method over its estimated useful life, typically three to seven years.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Expenditures for new facilities and improvements that extend the useful life of an asset are capitalized. Ordinary repairs and maintenance are expensed as incurred. When property or other long-lived assets are retired, abandoned, or otherwise disposed, the cost and the related accumulated depreciation are removed from the accounts and any resulting gains or losses are recorded and reported as selling, general and administrative expenses.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Of Wesco’s $466.8 million net book value of property, buildings and equipment as of December 31, 2025, $189.7 million consists of land, buildings and leasehold improvements that are geographically dispersed among Wesco’s more than 700 sites, including distribution centers, fulfillment centers and sales offices, mitigating the risk of impairment. Wesco assesses its long-lived assets for impairment whenever events or changes in circumstances indicate that the carrying amount of any such assets may not be fully recoverable. Changes in circumstances include, among others, technological advances, changes in the business model, capital structure, economic conditions or operating performance. The evaluation is based upon, among other things, utilization, serviceability and assumptions developed by management, which are categorized as Level 3 of the fair value hierarchy, related to the estimated future undiscounted cash flows that these assets are expected to generate. When the sum of the undiscounted cash flows is less than the carrying value of the asset (asset group), an impairment loss is recognized to the extent that carrying value exceeds fair value. Management applies its best judgment when performing these evaluations.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an arrangement is, or contains, a lease, and its classification as operating or finance, is performed at the inception of the arrangement. Initial measurement of the right-of-use asset and lease liability is determined at the lease commencement date. The Company has elected the short-term lease measurement and recognition exemption; therefore, leases with an initial term of twelve months or less are not recorded on the balance sheet. Operating lease expense is recognized on a straight-line basis over the lease term. Finance lease cost consists of amortization, recognized on a straight-line basis over the estimated useful life of the leased asset, and interest expense, which is measured using the effective interest rate method.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Operating and finance lease assets and liabilities are recognized at the commencement date based on the present value of the future minimum lease payments. Certain leases contain rent escalation clauses that are either fixed or adjusted periodically for inflation or market rates and such clauses are factored into the Company’s determination of lease payments. Wesco also has variable lease payments that do not depend on a rate or index, primarily for items such as common area maintenance and real estate taxes, which are recorded as variable expense when incurred. The operating and finance lease asset includes advance payments and excludes incentives and initial direct costs incurred.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arrangements include certain non-lease components such as common area and other maintenance for leased real estate, as well as mileage, fuel and maintenance costs related to leased automobiles and trucks. Wesco accounts for these non-lease components separately from the associated lease components. The Company does not guarantee any residual value in its lease agreements, and there are no material restrictions or covenants imposed by lease arrangements. Real estate leases typically include one or more options to extend the lease, or terminate early. The Company regularly evaluates the renewal options, and when they are reasonably certain of exercise, the Company includes the renewal period in its lease term. For most of Wesco’s leases, the discount rate implicit in the lease is not readily determinable. Accordingly, the Company uses its incremental borrowing rate on a secured basis based on the information available at the lease commencement date to discount lease payments to the present value.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Goodwill and Indefinite-Lived Intangible Assets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tested for impairment annually as of October 1, or more frequently if triggering events occur, indicating that their carrying value may not be recoverable. Wesco tests for goodwill impairment on a reporting unit level. We have the option to first assess qualitative factors to determine whether it is more likely than not that the fair value of a reporting unit or indefinite-lived intangible asset is less than its carrying value as a basis for determining whether it is necessary to perform quantitative impairment tests. If performing a qualitative assessment, the Company assesses factors, including macroeconomic conditions, industry and market considerations, cost factors, overall financial performance, other relevant events such as changes in key personnel, changes in the composition or carrying amount of the net assets of a reporting unit, and changes in share price, among others, to determine whether it is more likely than not that the fair value of Wesco’s reporting units are less than their carrying values.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If the qualitative assessment indicates that the fair values of the Company’s reporting units or indefinite-lived intangible assets may not exceed their respective carrying values, or if the Company elects to bypass the optional qualitative assessments, then Wesco performs quantitative tests for impairment by comparing the fair value of each reporting unit or indefinite-lived intangible asset to its carrying value. At December 31, 2025 and 2024, goodwill and indefinite-lived intangible assets totaled $4.1 billion.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Definite-Lived Intangible Assets</w:t>
      </w:r>
    </w:p>
    <w:p>
      <w:pPr>
        <w:pStyle w:val="TextBody"/>
        <w:bidi w:val="0"/>
        <w:spacing w:lineRule="auto" w:line="288" w:before="12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Definite-lived intangible assets are amortized over five to twenty years using a straight-line method, which reflects the pattern in which the economic benefits of the respective assets are consumed or otherwise used. Wesco continually evaluates whether events or circumstances have occurred that would indicate the remaining estimated useful lives of definite-lived intangible assets require revision or that the remaining respective carrying value of such assets may not be recoverable.</w:t>
      </w:r>
    </w:p>
    <w:p>
      <w:pPr>
        <w:pStyle w:val="TextBody"/>
        <w:bidi w:val="0"/>
        <w:spacing w:lineRule="auto" w:line="288" w:before="120" w:after="60"/>
        <w:jc w:val="both"/>
        <w:rPr>
          <w:rFonts w:ascii="Times New Roman;serif" w:hAnsi="Times New Roman;serif"/>
          <w:b w:val="false"/>
          <w:i/>
          <w:color w:val="000000"/>
          <w:sz w:val="20"/>
        </w:rPr>
      </w:pPr>
      <w:r>
        <w:rPr>
          <w:rFonts w:ascii="Times New Roman;serif" w:hAnsi="Times New Roman;serif"/>
          <w:b w:val="false"/>
          <w:i/>
          <w:color w:val="000000"/>
          <w:sz w:val="20"/>
        </w:rPr>
        <w:t>Cloud Computing Arrangements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capitalizes costs associated with implementing its various cloud computing arrangements, which are amortized using the straight-line method over the estimated useful life of the arrangement, typically one to seven years. Capitalized implementation costs, which are recorded as a component of other assets in the Consolidated Balance Sheets, were $343.4 million and $257.8 million as of December 31, 2025 and 2024, respectively, and the related accumulated amortization was $59.8 million and $29.6 million, respectively. Amortization expense related to cloud computing arrangements is recorded as a component of selling, general and administrative expenses and totaled $30.2 million, $14.1 million and $9.2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2024, management determined that a third-party developed operations management software product would be abandoned in favor of an application that better suits the Company’s operations and the Company recognized a $17.8 million loss on abandonment of assets, which was recorded as a component of selling, general and administrative expenses in the Consolidated Statement of Income and Comprehensive Income for the year ended December 31, 2024.</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Insurance Programs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uses commercial insurance for auto, workers’ compensation, casualty and health claims, and information technology as a risk-reduction strategy to minimize catastrophic losses. The Company’s strategy involves large deductible policies where Wesco must pay all costs up to the deductible amount. Wesco estimates the reserve for these programs based on historical incident rates and costs. The assumptions included in developing this accrual include the period of time between the incurrence and payment of a claim. The total liability related to insurance programs was $37.2 million and $33.4 million at December 31, 2025 and 2024,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accounts for income taxes under the asset and liability method, which requires the recognition of deferred income taxes for events that have future tax consequences. Under this method, deferred income taxes are recognized (using enacted tax laws and rates) based on the future income tax effects of differences in the carrying amounts of assets and liabilities for financial reporting and tax purposes. The effect of a tax rate change on deferred tax assets and liabilities is recognized in income in the period of change.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recognizes deferred tax assets consistent with amounts expected to be realized. To make such determination, management evaluates all positive and negative evidence, including but not limited to, prior, current and future taxable income, tax planning strategies and future reversals of existing taxable temporary differences. A valuation allowance is recognized if it is “more-likely-than-not” that some or all of a deferred tax asset will not be realized. Wesco regularly assesses the realizability of deferred tax assets.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accounts for uncertainty in income taxes using a “more-likely-than-not” recognition threshold. Due to the subjectivity inherent in the evaluation of uncertain tax positions, the tax benefit ultimately recognized may materially differ from the estimate recognized in the consolidated financial statements. Wesco recognizes interest and penalties related to uncertain tax benefits as part of interest expense and income tax expense,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2017 Tax Cuts and Jobs Act (“TCJA”) imposed the transition tax. Except for a portion of foreign earnings previously taxed in the U.S. that can effectively be distributed without further material U.S. or foreign taxation, the Company continues to assert that the undistributed earnings of its foreign subsidiaries are indefinitely reinvested. To the extent the earnings of the Company’s foreign subsidiaries are distributed in the form of dividends, such earnings may be subject to additional taxes. The Company believes that it is able to maintain a sufficient level of liquidity for its domestic operations and commitments without incurring any material tax cost to repatriate cash held by its foreign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provisions of the TCJA also introduced the global intangible low-taxed income (“GILTI”) tax regime. Wesco has elected to account for the GILTI tax as a component of income tax expense in the period incurred.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functional currency for most of the Company’s operations outside the U.S. is generally the applicable local currency. Assets and liabilities of these operations are translated to U.S. dollars at the exchange rate in effect at the end of each period. Income statement accounts are translated at an exchange rate that approximates the average for the period. Translation adjustments arising from the use of differing exchange rates from period to period are included as a component of accumulated other comprehensive income (loss) within stockholders’ equity. Gains and losses from foreign currency transactions are included in net income for the period. The Company may re-evaluate the functional currencies of certain operations outside the U.S. if there are significant changes to operations that indicate that a change in functional currency may be necessary.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Defined Benefit Pension Plans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Liabilities and expenses for defined benefit pension plans are determined using actuarial methodologies and incorporate significant assumptions, including the interest rate used to discount the future estimated cash flows, the expected long-term rate of return on plan assets, and several assumptions relating to the employee workforce (salary increases, retirement age, and mortality). Unrealized gains and losses related to the Company’s defined benefit pension obligations are recognized as a component of accumulated other comprehensive income (loss) within stockholders’ equity. Gains or losses resulting from plan amendments, curtailments, and settlements are recognized as a component of other non-operating income and expenses (“other (income) expense, net”) in the period of the remeasurement.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three levels of the fair value hierarchy are as follows: Level 1 inputs are quoted prices (unadjusted) in active markets for identical assets or liabilities that are accessible at the measurement date; Level 2 inputs include inputs other than Level 1 that are observable, either directly or indirectly, and Level 3 inputs are unobservable inputs for which little or no market data exists, therefore requiring an entity to develop its own assumptions. The hierarchy gives the highest priority to unadjusted quoted prices in active markets for identical assets or liabilities (Level 1) and the lowest priority to measurements involving significant unobservable inputs (Level 3).</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measures the fair values of goodwill, intangible assets and property, buildings and equipment on a nonrecurring basis if required by impairment tests applicable to these assets, as described above.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Other non-operating income and expenses (“other (income) expense, net”) primarily includes the non-service cost components of net periodic pension cost (benefit), foreign exchange gains and losses, and gains and losses associated with periodic, non-operating transactions. For the year ended December 31, 2024, these periodic, non-operating transactions included the divestiture of the Wesco Integrated Supply (“WIS”) business, which resulted in a gain from the sale of $122.2 million, described further in Note 5, “Acquisitions and Divestitures”.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Recently Adopted and Recently Issued Accounting Standards</w:t>
      </w:r>
    </w:p>
    <w:p>
      <w:pPr>
        <w:pStyle w:val="TextBody"/>
        <w:bidi w:val="0"/>
        <w:spacing w:lineRule="auto" w:line="288" w:before="120" w:after="283"/>
        <w:ind w:left="0" w:right="0" w:firstLine="270"/>
        <w:jc w:val="both"/>
        <w:rPr/>
      </w:pPr>
      <w:r>
        <w:rPr>
          <w:rFonts w:ascii="Times New Roman;serif" w:hAnsi="Times New Roman;serif"/>
          <w:b w:val="false"/>
          <w:color w:val="000000"/>
          <w:sz w:val="20"/>
        </w:rPr>
        <w:t>In November 2023, the FASB issued ASU 2023-07,</w:t>
      </w:r>
      <w:r>
        <w:rPr>
          <w:color w:val="000000"/>
        </w:rPr>
        <w:t xml:space="preserve"> </w:t>
      </w:r>
      <w:r>
        <w:rPr>
          <w:rFonts w:ascii="Times New Roman;serif" w:hAnsi="Times New Roman;serif"/>
          <w:b w:val="false"/>
          <w:i/>
          <w:color w:val="000000"/>
          <w:sz w:val="20"/>
        </w:rPr>
        <w:t xml:space="preserve">Segment Reporting (Topic 280): Improvements to Reportable Segment Disclosures, </w:t>
      </w:r>
      <w:r>
        <w:rPr>
          <w:rFonts w:ascii="Times New Roman;serif" w:hAnsi="Times New Roman;serif"/>
          <w:b w:val="false"/>
          <w:color w:val="000000"/>
          <w:sz w:val="20"/>
        </w:rPr>
        <w:t>which enhances prior reportable segment disclosure requirements in part by requiring entities to disclose significant expenses related to their reportable segments. The amendments in this ASU were effective on a retrospective basis for annual periods beginning after December 15, 2023 and interim periods within fiscal years beginning after December 15, 2024. The Company adopted the annual disclosure requirements of this ASU in the fourth quarter of 2024 and the interim disclosure requirements in the first quarter of 2025. The adoption of this ASU resulted in additional required disclosures, including the disclosure of certain expenses at the reportable segment level, described further in Note 16, “Business Segments”.</w:t>
      </w:r>
    </w:p>
    <w:p>
      <w:pPr>
        <w:pStyle w:val="TextBody"/>
        <w:bidi w:val="0"/>
        <w:spacing w:lineRule="auto" w:line="288" w:before="120" w:after="283"/>
        <w:ind w:left="0" w:right="0" w:firstLine="270"/>
        <w:jc w:val="both"/>
        <w:rPr/>
      </w:pPr>
      <w:r>
        <w:rPr>
          <w:rFonts w:ascii="Times New Roman;serif" w:hAnsi="Times New Roman;serif"/>
          <w:b w:val="false"/>
          <w:color w:val="000000"/>
          <w:sz w:val="20"/>
        </w:rPr>
        <w:t>In December 2023, the FASB issued ASU 2023-09,</w:t>
      </w:r>
      <w:r>
        <w:rPr>
          <w:color w:val="000000"/>
        </w:rPr>
        <w:t xml:space="preserve">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i/>
          <w:color w:val="000000"/>
          <w:sz w:val="20"/>
        </w:rPr>
        <w:t xml:space="preserve">(Topic 740): Improvements to Income Tax Disclosures, </w:t>
      </w:r>
      <w:r>
        <w:rPr>
          <w:rFonts w:ascii="Times New Roman;serif" w:hAnsi="Times New Roman;serif"/>
          <w:b w:val="false"/>
          <w:color w:val="000000"/>
          <w:sz w:val="20"/>
        </w:rPr>
        <w:t>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however, retrospective application is permitted. The Company adopted this ASU on a prospective basis in the fourth quarter of 2025. The adoption of this ASU resulted in additional disclosure about the Company's effective tax rate reconciliation as well as income taxes paid.</w:t>
      </w:r>
    </w:p>
    <w:p>
      <w:pPr>
        <w:pStyle w:val="TextBody"/>
        <w:bidi w:val="0"/>
        <w:spacing w:lineRule="auto" w:line="288" w:before="120" w:after="283"/>
        <w:ind w:left="0" w:right="0" w:firstLine="27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is intended to enhance expense disclosures, primarily by requiring disclosure of disaggregated information about certain income statement expense line items on an annual and interim basis. The amendments in this ASU are effective for fiscal years beginning after December 15, 2026 and interim periods within fiscal years beginning after December 15, 2027. The amendments in this ASU should be applied prospectively; however, retrospective application is permitted. Management is currently evaluating the impact that this accounting standard will have on its consolidated financial statements and notes thereto.</w:t>
      </w:r>
    </w:p>
    <w:p>
      <w:pPr>
        <w:pStyle w:val="TextBody"/>
        <w:bidi w:val="0"/>
        <w:spacing w:lineRule="auto" w:line="288" w:before="120" w:after="283"/>
        <w:ind w:left="0" w:right="0" w:firstLine="27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which is intended to modernize and simplify the guidance for capitalizing costs related to internal-use software by removing the stage-based approach and aligning the disclosure requirements with those for other long-lived assets. The amendments in this ASU are effective for annual periods beginning after December 15, 2027 and may be applied prospectively, retrospectively, or using a modified prospective approach. Early adoption is permitted. Management is currently evaluating the impact that this accounting standard will have on its consolidated financial statements and notes thereto.</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Other pronouncements issued by the FASB or other authoritative accounting standards groups with future effective dates are either not applicable or are not expected to be significant to Wesco’s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distributes products and provides services to customers globally in various end markets within its business segments. The segments operate in the United States, Canada and various other countries.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Wesco’s net sales by geography for the periods presented:</w:t>
      </w:r>
    </w:p>
    <w:tbl>
      <w:tblPr>
        <w:tblW w:w="6162" w:type="dxa"/>
        <w:jc w:val="center"/>
        <w:tblInd w:w="0" w:type="dxa"/>
        <w:tblLayout w:type="fixed"/>
        <w:tblCellMar>
          <w:top w:w="28" w:type="dxa"/>
          <w:left w:w="28" w:type="dxa"/>
          <w:bottom w:w="28" w:type="dxa"/>
          <w:right w:w="28" w:type="dxa"/>
        </w:tblCellMar>
      </w:tblPr>
      <w:tblGrid>
        <w:gridCol w:w="750"/>
        <w:gridCol w:w="569"/>
        <w:gridCol w:w="571"/>
        <w:gridCol w:w="211"/>
        <w:gridCol w:w="871"/>
        <w:gridCol w:w="109"/>
        <w:gridCol w:w="109"/>
        <w:gridCol w:w="109"/>
        <w:gridCol w:w="109"/>
        <w:gridCol w:w="211"/>
        <w:gridCol w:w="871"/>
        <w:gridCol w:w="109"/>
        <w:gridCol w:w="109"/>
        <w:gridCol w:w="109"/>
        <w:gridCol w:w="109"/>
        <w:gridCol w:w="211"/>
        <w:gridCol w:w="871"/>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Canada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International</w:t>
            </w:r>
            <w:r>
              <w:rPr>
                <w:rFonts w:ascii="Times New Roman;serif" w:hAnsi="Times New Roman;serif"/>
                <w:b w:val="false"/>
                <w:color w:val="000000"/>
                <w:sz w:val="13"/>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by geography</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270"/>
        <w:jc w:val="left"/>
        <w:rPr/>
      </w:pPr>
      <w:r>
        <w:rPr>
          <w:rFonts w:ascii="Times New Roman;serif" w:hAnsi="Times New Roman;serif"/>
          <w:b w:val="false"/>
          <w:color w:val="000000"/>
          <w:sz w:val="12"/>
        </w:rPr>
        <w:t>(1)    </w:t>
      </w:r>
      <w:r>
        <w:rPr>
          <w:rFonts w:ascii="Times New Roman;serif" w:hAnsi="Times New Roman;serif"/>
          <w:b w:val="false"/>
          <w:color w:val="000000"/>
          <w:sz w:val="18"/>
        </w:rPr>
        <w:t>No individual country’s net sales are greater than 10% of total net sales.</w:t>
      </w:r>
    </w:p>
    <w:p>
      <w:pPr>
        <w:pStyle w:val="TextBody"/>
        <w:bidi w:val="0"/>
        <w:spacing w:lineRule="auto" w:line="288" w:before="0" w:after="60"/>
        <w:ind w:left="0" w:right="0" w:hanging="270"/>
        <w:jc w:val="left"/>
        <w:rPr/>
      </w:pPr>
      <w:r>
        <w:rPr>
          <w:rFonts w:ascii="Times New Roman;serif" w:hAnsi="Times New Roman;serif"/>
          <w:b w:val="false"/>
          <w:color w:val="000000"/>
          <w:sz w:val="12"/>
        </w:rPr>
        <w:t>(2)    </w:t>
      </w:r>
      <w:r>
        <w:rPr>
          <w:rFonts w:ascii="Times New Roman;serif" w:hAnsi="Times New Roman;serif"/>
          <w:b w:val="false"/>
          <w:color w:val="000000"/>
          <w:sz w:val="18"/>
        </w:rPr>
        <w:t>Wesco attributes revenues from external customers to individual countries on the basis of point of sale.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Due to the terms of certain contractual arrangements, Wesco bills or receives payment from its customers in advance of satisfying the respective performance obligation. Such advance billings or payments are recorded as deferred revenue and recognized as revenue when the performance obligation has been satisfied and control has transferred to the customer, which is generally upon shipment. Revenue associated with these arrangements is generally recognized within a year or less from the date of the advance billing or payment receipt. At December 31, 2025 and 2024, $151.4 million and $141.8 million, respectively, of deferred revenue was recorded as a component of other current liabilities in the Consolidated Balance Sheets. The Company recognized $102.0 million, $76.9 million and $74.0 million of revenue during the years ended December 31, 2025, 2024 and 2023 respectively, that was included in the deferred revenue balances of $141.8 million, $111.9 million and $99.6 million as of December 31, 2024, 2023 and 2022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as necessary. Variable consideration reduced revenue for the years ended December 31, 2025, 2024 and 2023 by approximately $452.4 million, $436.2 million and $427.8 million, respectively. As of December 31, 2025 and 2024, the Company’s estimated product return obligation was $33.7 million and $41.0 million,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Billings to customers for shipping and handling are recognized in net sales. Wesco has elected to recognize shipping and handling costs as a fulfillment cost. Shipping and handling costs recorded as a component of selling, general and administrative expenses totaled $335.4 million, $303.3 million and $306.8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FAIR VALUE OF FINANCIAL INSTRUMENTS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primarily consist of cash and cash equivalents, accounts receivable, accounts payable, bank overdrafts, outstanding indebtedness, foreign currency forward contracts, and benefit plan assets. The fair value of the Company’s benefit plan assets is disclosed in Note 13, “Employee Benefit Plans” and except for outstanding indebtedness and foreign currency forward contracts, the carrying value of the Company’s other financial instruments approximates fair value.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carrying value of Wesco’s debt instruments with fixed interest rates was $3,871.9 million and $3,074.9 million as of December 31, 2025 and 2024, respectively. The estimated fair value of this debt was $4,004.2 million and $3,127.3 million as of December 31, 2025 and 2024, respectively. The reported carrying values of Wesco’s other debt instruments, including those with variable interest rates, approximated their fair values as of December 31, 2025 and 2024.</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purchases foreign currency forward contracts to reduce the effect of fluctuations in foreign currency-denominated accounts on its earnings. The foreign currency forward contracts are not designated as hedges for accounting purposes. The Company’s strategy is to negotiate terms for its derivatives and other financial instruments to be highly effective, such that the change in the value of the derivative offsets the impact of the underlying hedge. Its counterparties to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currency forward contracts have investment-grade credit ratings. The Company regularly monitors the creditworthiness of its counterparties as a risk mitigation effort to protect the value of its derivatives.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does not hedge 100% of its foreign currency-denominated accounts. In addition, the results of hedging can vary significantly based on various factors, such as the timing of executing foreign currency forward contracts versus the movement of currencies, as well as fluctuations in the account balances throughout each reporting period. The fair value of foreign currency forward contracts is based on the difference between the contract rate and the current price of a forward contract with an equivalent remaining term. The fair value of foreign currency forward contracts is measured using observable market information. These inputs are considered Level 2 in the fair value hierarchy. At December 31, 2025 and 2024, foreign currency forward contracts were revalued at then-current foreign exchange rates with the changes in valuation reflected directly in other non-operating expense (income) in the Consolidated Statements of Income and Comprehensive Income offsetting the transaction gain (loss) recorded on foreign currency-denominated accounts. At December 31, 2025 and 2024, the gross and net notional amounts of foreign currency forward contracts outstanding were approximately $286.3 million and $345.7 million, respectively. While all of the Company’s foreign currency forward contracts are subject to master netting arrangements with its counterparties, assets and liabilities related to these contracts are presented on a gross basis within the Consolidated Balance Sheets. The gross fair value of assets and liabilities related to foreign currency forward contracts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ACQUISITIONS AND DIVESTITURES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Industrial Software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January 2, 2025, the Company acquired 100% of the equity securities of Industrial Software Solutions I, Inc. and Industrial Software Solutions ULC (collectively, “ISS”), an industrial automation consulting company, software distributor, and AVEVA Select Partner, for total cash consideration of $36.3 million, net of cash acquired. The assets acquired primarily included distribution agreement and customer relationship intangible assets, with fair values of $10.6 million and $5.0 million, respectively, with the excess of $20.1 million primarily allocated to goodwill in the Company’s EES reportable segment.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Ascent, LLC</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December 5, 2024, through its wholly-owned subsidiary Anixter Inc., the Company acquired 100% of the equity securities of Ascent, LLC (“Ascent”). Headquartered in St. Louis, Missouri, Ascent is a provider of data center facility management services with more than 300 employees in the U.S. and Canada. Ascent’s expertise in engineering and design-build consultation services, in addition to daily site operations and critical facility intelligence software, extends the Company’s suite of capabilities and solutions that serve the entire lifecycle of the data center. The Company funded the purchase price paid at closing with cash on hand as well as borrowings under its revolving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total fair value of consideration transferred for the acquisition of Ascent consisted of the following:</w:t>
      </w:r>
    </w:p>
    <w:tbl>
      <w:tblPr>
        <w:tblW w:w="5850" w:type="dxa"/>
        <w:jc w:val="center"/>
        <w:tblInd w:w="0" w:type="dxa"/>
        <w:tblLayout w:type="fixed"/>
        <w:tblCellMar>
          <w:top w:w="28" w:type="dxa"/>
          <w:left w:w="28" w:type="dxa"/>
          <w:bottom w:w="28" w:type="dxa"/>
          <w:right w:w="28" w:type="dxa"/>
        </w:tblCellMar>
      </w:tblPr>
      <w:tblGrid>
        <w:gridCol w:w="1746"/>
        <w:gridCol w:w="1540"/>
        <w:gridCol w:w="1544"/>
        <w:gridCol w:w="219"/>
        <w:gridCol w:w="641"/>
        <w:gridCol w:w="160"/>
      </w:tblGrid>
      <w:tr>
        <w:trPr/>
        <w:tc>
          <w:tcPr>
            <w:tcW w:w="174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purchase price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consideration</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expenses paid by Wesco</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disclosure related to acquisitions:</w:t>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acquired</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 net of cash acquired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purchase consideration was allocated to the identified assets acquired and liabilities assumed based on their respective acquisition date fair value, with the excess allocated to goodwill. The Company identified a customer relationship intangible asset and estimated its fair value using an income valuation method, and a technology know-how intangible asset and estimated its fair value using a cost valuation method. The excess purchase consideration recorded as goodwill is not deductible for income tax purposes, and has been assigned to the Company’s CSS reportable segment. The resulting goodwill is primarily attributable to Ascent’s workforce and expertise in engineering and design-build consultation services.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assets acquired and liabilities assumed are based on preliminary calculations and valuations using estimates and assumptions at the time of acquisition. During the fourth quarter of 2025, the Company finalized its allocation of the purchase consideration to the respective fair values of assets acquired and liabilities assumed in the acquisition of Ascent. Since the initial measurement of the identified assets acquired and liabilities assumed, the Company has not recorded any material fair value adjustments.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allocation of the purchase consideration to the respective fair values of assets acquired and liabilities assumed for the acquisition of Ascent:</w:t>
      </w:r>
    </w:p>
    <w:tbl>
      <w:tblPr>
        <w:tblW w:w="7485" w:type="dxa"/>
        <w:jc w:val="center"/>
        <w:tblInd w:w="0" w:type="dxa"/>
        <w:tblLayout w:type="fixed"/>
        <w:tblCellMar>
          <w:top w:w="28" w:type="dxa"/>
          <w:left w:w="28" w:type="dxa"/>
          <w:bottom w:w="28" w:type="dxa"/>
          <w:right w:w="28" w:type="dxa"/>
        </w:tblCellMar>
      </w:tblPr>
      <w:tblGrid>
        <w:gridCol w:w="2179"/>
        <w:gridCol w:w="1917"/>
        <w:gridCol w:w="1933"/>
        <w:gridCol w:w="220"/>
        <w:gridCol w:w="642"/>
        <w:gridCol w:w="113"/>
        <w:gridCol w:w="109"/>
        <w:gridCol w:w="109"/>
        <w:gridCol w:w="109"/>
        <w:gridCol w:w="154"/>
      </w:tblGrid>
      <w:tr>
        <w:trPr/>
        <w:tc>
          <w:tcPr>
            <w:tcW w:w="217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Intangible assets</w:t>
            </w:r>
            <w:r>
              <w:rPr>
                <w:rFonts w:ascii="Times New Roman;serif" w:hAnsi="Times New Roman;serif"/>
                <w:b w:val="false"/>
                <w:color w:val="000000"/>
                <w:sz w:val="13"/>
              </w:rPr>
              <w:t>(1)</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 costs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net assets acquired, including goodwill and intangible asset</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Consists of a customer relationship intangible asset and a technology know-how intangible asset with estimated useful lives of 15 years and 5 years, respectively.</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Independent Electric Supply Inc.</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1, 2024, the Company acquired 100% of the equity securities of Independent Electric Supply Inc. (“IES”), a full-line electrical distributor headquartered in Ontario, Canada for $13.2 million, net of cash acquired.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entroCIM</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3, 2024, the Company acquired the assets and liabilities held by Warez, LLC and Hepta Systems, LLC, which owned and operated the entroCIM business (collectively, “entroCIM”). entroCIM is an innovator in data center and building intelligence software. The total fair value of consideration for the acquisition of entroCIM of $36.5 million includes total cash consideration of $30.1 million, net of cash acquired, and contingent consideration not to exceed $8.0 million. The purchase consideration was allocated to a developed software intangible asset, with the excess of $29.0 million allocated to goodwill in the Company’s CSS reportable segment.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Wesco Integrated Supply Divestiture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April 1, 2024, the Company completed the sale of its WIS business for total consideration of $354.9 million, which was adjusted for net working capital, closing cash, and closing indebtedness. The WIS business, located primarily in the U.S. and Canada, was part of the UBS reportable segment and provided products and services to large industrial and commercial end-users to support their maintenance, repair, and operating spend. The Company recognized a gain from the sale of $122.2 million, which was recorded as a component of other (income) expense, net in the Consolidated Statement of Income and Comprehensive Income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carrying value of goodwill by reportable segment for the periods presented:</w:t>
      </w:r>
    </w:p>
    <w:tbl>
      <w:tblPr>
        <w:tblW w:w="8654" w:type="dxa"/>
        <w:jc w:val="center"/>
        <w:tblInd w:w="0" w:type="dxa"/>
        <w:tblLayout w:type="fixed"/>
        <w:tblCellMar>
          <w:top w:w="28" w:type="dxa"/>
          <w:left w:w="28" w:type="dxa"/>
          <w:bottom w:w="28" w:type="dxa"/>
          <w:right w:w="28" w:type="dxa"/>
        </w:tblCellMar>
      </w:tblPr>
      <w:tblGrid>
        <w:gridCol w:w="1245"/>
        <w:gridCol w:w="1093"/>
        <w:gridCol w:w="1096"/>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goodwill for 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goodwill for divestiture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goodwill for acquisitions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intangible assets are as follows:</w:t>
      </w:r>
    </w:p>
    <w:tbl>
      <w:tblPr>
        <w:tblW w:w="10585" w:type="dxa"/>
        <w:jc w:val="center"/>
        <w:tblInd w:w="0" w:type="dxa"/>
        <w:tblLayout w:type="fixed"/>
        <w:tblCellMar>
          <w:top w:w="28" w:type="dxa"/>
          <w:left w:w="28" w:type="dxa"/>
          <w:bottom w:w="28" w:type="dxa"/>
          <w:right w:w="28" w:type="dxa"/>
        </w:tblCellMar>
      </w:tblPr>
      <w:tblGrid>
        <w:gridCol w:w="539"/>
        <w:gridCol w:w="315"/>
        <w:gridCol w:w="317"/>
        <w:gridCol w:w="374"/>
        <w:gridCol w:w="361"/>
        <w:gridCol w:w="166"/>
        <w:gridCol w:w="109"/>
        <w:gridCol w:w="109"/>
        <w:gridCol w:w="109"/>
        <w:gridCol w:w="211"/>
        <w:gridCol w:w="766"/>
        <w:gridCol w:w="109"/>
        <w:gridCol w:w="109"/>
        <w:gridCol w:w="109"/>
        <w:gridCol w:w="109"/>
        <w:gridCol w:w="239"/>
        <w:gridCol w:w="717"/>
        <w:gridCol w:w="125"/>
        <w:gridCol w:w="109"/>
        <w:gridCol w:w="109"/>
        <w:gridCol w:w="109"/>
        <w:gridCol w:w="211"/>
        <w:gridCol w:w="766"/>
        <w:gridCol w:w="109"/>
        <w:gridCol w:w="109"/>
        <w:gridCol w:w="109"/>
        <w:gridCol w:w="109"/>
        <w:gridCol w:w="211"/>
        <w:gridCol w:w="766"/>
        <w:gridCol w:w="109"/>
        <w:gridCol w:w="109"/>
        <w:gridCol w:w="109"/>
        <w:gridCol w:w="109"/>
        <w:gridCol w:w="239"/>
        <w:gridCol w:w="717"/>
        <w:gridCol w:w="125"/>
        <w:gridCol w:w="109"/>
        <w:gridCol w:w="109"/>
        <w:gridCol w:w="109"/>
        <w:gridCol w:w="211"/>
        <w:gridCol w:w="76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40" w:before="60" w:after="283"/>
              <w:jc w:val="center"/>
              <w:rPr/>
            </w:pPr>
            <w:r>
              <w:rPr>
                <w:rFonts w:ascii="Times New Roman;serif" w:hAnsi="Times New Roman;serif"/>
                <w:b/>
                <w:color w:val="000000"/>
                <w:sz w:val="16"/>
              </w:rPr>
              <w:t xml:space="preserve">Amount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60" w:after="283"/>
              <w:jc w:val="center"/>
              <w:rPr/>
            </w:pPr>
            <w:r>
              <w:rPr>
                <w:rFonts w:ascii="Times New Roman;serif" w:hAnsi="Times New Roman;serif"/>
                <w:b/>
                <w:color w:val="000000"/>
                <w:sz w:val="16"/>
              </w:rPr>
              <w:t xml:space="preserve">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40" w:before="60" w:after="283"/>
              <w:jc w:val="center"/>
              <w:rPr/>
            </w:pPr>
            <w:r>
              <w:rPr>
                <w:rFonts w:ascii="Times New Roman;serif" w:hAnsi="Times New Roman;serif"/>
                <w:b/>
                <w:color w:val="000000"/>
                <w:sz w:val="16"/>
              </w:rPr>
              <w:t xml:space="preserve">Amount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60" w:after="283"/>
              <w:jc w:val="center"/>
              <w:rPr/>
            </w:pPr>
            <w:r>
              <w:rPr>
                <w:rFonts w:ascii="Times New Roman;serif" w:hAnsi="Times New Roman;serif"/>
                <w:b/>
                <w:color w:val="000000"/>
                <w:sz w:val="16"/>
              </w:rPr>
              <w:t xml:space="preserve">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agreements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and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know-how</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Excludes the original cost and related accumulated amortization of fully-amortized intangible assets.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totaled $89.1 million, $86.1 million and $88.6 million for the years ended December 31, 2025, 2024 and 2023,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remaining estimated amortization expense for intangible assets for the next five years and thereafter:</w:t>
      </w:r>
    </w:p>
    <w:tbl>
      <w:tblPr>
        <w:tblW w:w="3719" w:type="dxa"/>
        <w:jc w:val="center"/>
        <w:tblInd w:w="0" w:type="dxa"/>
        <w:tblLayout w:type="fixed"/>
        <w:tblCellMar>
          <w:top w:w="28" w:type="dxa"/>
          <w:left w:w="28" w:type="dxa"/>
          <w:bottom w:w="28" w:type="dxa"/>
          <w:right w:w="28" w:type="dxa"/>
        </w:tblCellMar>
      </w:tblPr>
      <w:tblGrid>
        <w:gridCol w:w="978"/>
        <w:gridCol w:w="859"/>
        <w:gridCol w:w="862"/>
        <w:gridCol w:w="219"/>
        <w:gridCol w:w="641"/>
        <w:gridCol w:w="160"/>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year ending December 31,</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performed its annual impairment tests of goodwill and indefinite-lived intangible assets during the fourth quarter of 2025 by assessing qualitative factors to determine whether it was more likely than not that the fair values of its reporting units and indefinite-lived intangible assets were less than their respective carrying amounts. As a result of this assessment, the Company determined that it was more likely than not that the fair values of its reporting units and indefinite-lived intangible assets continued to exceed their respective carrying amounts and, therefore, a quantitative impairment test was not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PROPERTY, BUILDINGS AND EQUIPMENT</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property, buildings and equipment:</w:t>
      </w:r>
    </w:p>
    <w:tbl>
      <w:tblPr>
        <w:tblW w:w="5934" w:type="dxa"/>
        <w:jc w:val="center"/>
        <w:tblInd w:w="0" w:type="dxa"/>
        <w:tblLayout w:type="fixed"/>
        <w:tblCellMar>
          <w:top w:w="28" w:type="dxa"/>
          <w:left w:w="28" w:type="dxa"/>
          <w:bottom w:w="28" w:type="dxa"/>
          <w:right w:w="28" w:type="dxa"/>
        </w:tblCellMar>
      </w:tblPr>
      <w:tblGrid>
        <w:gridCol w:w="1336"/>
        <w:gridCol w:w="1174"/>
        <w:gridCol w:w="1180"/>
        <w:gridCol w:w="211"/>
        <w:gridCol w:w="616"/>
        <w:gridCol w:w="109"/>
        <w:gridCol w:w="109"/>
        <w:gridCol w:w="109"/>
        <w:gridCol w:w="109"/>
        <w:gridCol w:w="211"/>
        <w:gridCol w:w="61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buildings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Depreciation expense was $83.9 million, $66.8 million and $56.3 million, and capitalized software amortization was $24.6 million, $30.3 million and $36.4 million, in 2025, 2024 and 2023, respectively. As of December 31, 2025 and 2024, unamortized software costs were $71.0 million and $88.9 million, respectively. Furniture, fixtures and equipment include finance leases of $111.8 million and $85.4 million and related accumulated depreciation of $43.4 million and $27.6 million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leases substantially all of its real estate, as well as automobiles, trucks, information technology hardware, and other equipment under lease arrangements classified as operating and finance.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supplemental balance sheet information related to leases for the periods presented:</w:t>
      </w:r>
    </w:p>
    <w:tbl>
      <w:tblPr>
        <w:tblW w:w="5378" w:type="dxa"/>
        <w:jc w:val="center"/>
        <w:tblInd w:w="0" w:type="dxa"/>
        <w:tblLayout w:type="fixed"/>
        <w:tblCellMar>
          <w:top w:w="28" w:type="dxa"/>
          <w:left w:w="28" w:type="dxa"/>
          <w:bottom w:w="28" w:type="dxa"/>
          <w:right w:w="28" w:type="dxa"/>
        </w:tblCellMar>
      </w:tblPr>
      <w:tblGrid>
        <w:gridCol w:w="1135"/>
        <w:gridCol w:w="997"/>
        <w:gridCol w:w="1002"/>
        <w:gridCol w:w="211"/>
        <w:gridCol w:w="616"/>
        <w:gridCol w:w="109"/>
        <w:gridCol w:w="109"/>
        <w:gridCol w:w="109"/>
        <w:gridCol w:w="109"/>
        <w:gridCol w:w="211"/>
        <w:gridCol w:w="616"/>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Leases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operating lease liabilities</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assets, net</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finance lease liabilities</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finance lease liabilities</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Current operating lease liabilities, finance lease assets, net, current finance lease liabilities and noncurrent finance lease liabilities are recorded as components of other current liabilities, property, buildings and equipment, net, short-term debt and current portion of long-term debt, and long-term debt, respectively,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total lease cost for the periods presented:</w:t>
      </w:r>
    </w:p>
    <w:tbl>
      <w:tblPr>
        <w:tblW w:w="6522" w:type="dxa"/>
        <w:jc w:val="center"/>
        <w:tblInd w:w="0" w:type="dxa"/>
        <w:tblLayout w:type="fixed"/>
        <w:tblCellMar>
          <w:top w:w="28" w:type="dxa"/>
          <w:left w:w="28" w:type="dxa"/>
          <w:bottom w:w="28" w:type="dxa"/>
          <w:right w:w="28" w:type="dxa"/>
        </w:tblCellMar>
      </w:tblPr>
      <w:tblGrid>
        <w:gridCol w:w="1094"/>
        <w:gridCol w:w="958"/>
        <w:gridCol w:w="963"/>
        <w:gridCol w:w="211"/>
        <w:gridCol w:w="616"/>
        <w:gridCol w:w="109"/>
        <w:gridCol w:w="109"/>
        <w:gridCol w:w="109"/>
        <w:gridCol w:w="109"/>
        <w:gridCol w:w="211"/>
        <w:gridCol w:w="616"/>
        <w:gridCol w:w="109"/>
        <w:gridCol w:w="109"/>
        <w:gridCol w:w="109"/>
        <w:gridCol w:w="109"/>
        <w:gridCol w:w="211"/>
        <w:gridCol w:w="616"/>
        <w:gridCol w:w="154"/>
      </w:tblGrid>
      <w:tr>
        <w:trPr/>
        <w:tc>
          <w:tcPr>
            <w:tcW w:w="109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finance lease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Operating lease cost, variable lease cost, and short-term lease cost are recorded as a component of selling, general and administrative expenses. Amortization of finance lease assets is recorded as a component of depreciation and amortization. For the years ended December 31, 2025, 2024 and 2023, interest on finance lease assets was not material. Variable lease cost consists of the non-lease components described in Note 2, “Accounting Policies”, as well as taxes and insurance for Wesco’s leased real estate.</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supplemental cash flow information related to leases for the periods presented:</w:t>
      </w:r>
    </w:p>
    <w:tbl>
      <w:tblPr>
        <w:tblW w:w="8487" w:type="dxa"/>
        <w:jc w:val="center"/>
        <w:tblInd w:w="0" w:type="dxa"/>
        <w:tblLayout w:type="fixed"/>
        <w:tblCellMar>
          <w:top w:w="28" w:type="dxa"/>
          <w:left w:w="28" w:type="dxa"/>
          <w:bottom w:w="28" w:type="dxa"/>
          <w:right w:w="28" w:type="dxa"/>
        </w:tblCellMar>
      </w:tblPr>
      <w:tblGrid>
        <w:gridCol w:w="1806"/>
        <w:gridCol w:w="1585"/>
        <w:gridCol w:w="1589"/>
        <w:gridCol w:w="211"/>
        <w:gridCol w:w="616"/>
        <w:gridCol w:w="109"/>
        <w:gridCol w:w="109"/>
        <w:gridCol w:w="109"/>
        <w:gridCol w:w="109"/>
        <w:gridCol w:w="211"/>
        <w:gridCol w:w="616"/>
        <w:gridCol w:w="109"/>
        <w:gridCol w:w="109"/>
        <w:gridCol w:w="109"/>
        <w:gridCol w:w="109"/>
        <w:gridCol w:w="211"/>
        <w:gridCol w:w="616"/>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lease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operating cash flows from finance leases were not material.</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weighted-average information associated with the measurement of our remaining lease liabilities for the periods presented:</w:t>
      </w:r>
    </w:p>
    <w:tbl>
      <w:tblPr>
        <w:tblW w:w="5999" w:type="dxa"/>
        <w:jc w:val="center"/>
        <w:tblInd w:w="0" w:type="dxa"/>
        <w:tblLayout w:type="fixed"/>
        <w:tblCellMar>
          <w:top w:w="28" w:type="dxa"/>
          <w:left w:w="28" w:type="dxa"/>
          <w:bottom w:w="28" w:type="dxa"/>
          <w:right w:w="28" w:type="dxa"/>
        </w:tblCellMar>
      </w:tblPr>
      <w:tblGrid>
        <w:gridCol w:w="1581"/>
        <w:gridCol w:w="1389"/>
        <w:gridCol w:w="1394"/>
        <w:gridCol w:w="175"/>
        <w:gridCol w:w="175"/>
        <w:gridCol w:w="175"/>
        <w:gridCol w:w="173"/>
        <w:gridCol w:w="173"/>
        <w:gridCol w:w="173"/>
        <w:gridCol w:w="173"/>
        <w:gridCol w:w="173"/>
        <w:gridCol w:w="245"/>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Weighted-average discount rate</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maturities of the Company’s lease liabilities and reconciles the respective undiscounted payments to the lease liabilities in the Consolidated Balance Sheet as of December 31, 2025:</w:t>
      </w:r>
    </w:p>
    <w:tbl>
      <w:tblPr>
        <w:tblW w:w="6055" w:type="dxa"/>
        <w:jc w:val="center"/>
        <w:tblInd w:w="0" w:type="dxa"/>
        <w:tblLayout w:type="fixed"/>
        <w:tblCellMar>
          <w:top w:w="28" w:type="dxa"/>
          <w:left w:w="28" w:type="dxa"/>
          <w:bottom w:w="28" w:type="dxa"/>
          <w:right w:w="28" w:type="dxa"/>
        </w:tblCellMar>
      </w:tblPr>
      <w:tblGrid>
        <w:gridCol w:w="1079"/>
        <w:gridCol w:w="946"/>
        <w:gridCol w:w="960"/>
        <w:gridCol w:w="324"/>
        <w:gridCol w:w="948"/>
        <w:gridCol w:w="167"/>
        <w:gridCol w:w="109"/>
        <w:gridCol w:w="109"/>
        <w:gridCol w:w="109"/>
        <w:gridCol w:w="314"/>
        <w:gridCol w:w="761"/>
        <w:gridCol w:w="229"/>
      </w:tblGrid>
      <w:tr>
        <w:trPr/>
        <w:tc>
          <w:tcPr>
            <w:tcW w:w="107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Operating lease payments include $25.9 million related to options to extend real estate lease terms that are reasonably certain of being exercised. As of December 31, 2025, the Company has additional leases related to facilities that have not yet commenced totaling $35.4 million. These operating leases, which are not recorded in the Consolidated Balance Sheet as of December 31, 2025, will commence in 2026 with lease terms of 2 to 10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Wesco’s outstanding indebtedness:</w:t>
      </w:r>
    </w:p>
    <w:tbl>
      <w:tblPr>
        <w:tblW w:w="10205" w:type="dxa"/>
        <w:jc w:val="left"/>
        <w:tblInd w:w="0" w:type="dxa"/>
        <w:tblLayout w:type="fixed"/>
        <w:tblCellMar>
          <w:top w:w="28" w:type="dxa"/>
          <w:left w:w="28" w:type="dxa"/>
          <w:bottom w:w="28" w:type="dxa"/>
          <w:right w:w="28" w:type="dxa"/>
        </w:tblCellMar>
      </w:tblPr>
      <w:tblGrid>
        <w:gridCol w:w="2778"/>
        <w:gridCol w:w="2437"/>
        <w:gridCol w:w="2444"/>
        <w:gridCol w:w="211"/>
        <w:gridCol w:w="766"/>
        <w:gridCol w:w="109"/>
        <w:gridCol w:w="109"/>
        <w:gridCol w:w="109"/>
        <w:gridCol w:w="109"/>
        <w:gridCol w:w="211"/>
        <w:gridCol w:w="766"/>
        <w:gridCol w:w="156"/>
      </w:tblGrid>
      <w:tr>
        <w:trPr/>
        <w:tc>
          <w:tcPr>
            <w:tcW w:w="2778"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lines of credit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Securitization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6.000% Anixter Senior Notes due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7.250% Senior Notes due 2028, less debt discount of $3.1 and $4.4 in 2025 and 2024,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Notes due 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6.625% Senior Notes due 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6.375% Senior Notes due 2033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Fair value adjustments to the Anixter Senior Notes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debt and current portion of 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 Lines of Credit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foreign subsidiaries of Wesco have entered into uncommitted lines of credit, some of which are overdraft facilities, to support local operations. The maximum borrowing limit varies by facility and ranges between $1.0 million and $12.0 million. The international lines of credit generally are renewable on an annual basis and certain facilities are fully and unconditionally guaranteed by Wesco Distribution, Inc. (“Wesco Distribution”). Accordingly, certain borrowings under these lines directly reduce availability under the Company’s revolving credit facility. The applicable interest rate for borrowings under these lines of credit varies by country and is governed by the applicable loan agreement. The weighted average interest rate for borrowings on these facilities was 4.19% and 1.75% at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Accounts Receivable Securitization Facility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Distribution has an accounts receivable securitization facility (the “Receivables Facility”) pursuant to the terms and conditions of a Fifth Amended and Restated Receivables Purchase Agreement (the “Receivables Purchase Agreement”), by and among WESCO Receivables Corp. (“Wesco Receivables”), Wesco Distribution, the various purchaser groups from time to time party thereto and PNC Bank, National Association, as Administrator, dated as of June 22, 2020. The Receivables Purchase Agreement amended and restated the receivables purchase agreement entered into on September 24, 2015 (the “Prior Receivables Purchase Agreement”). Borrowings under the Receivables Facility funded by certain lenders through such lenders’ issuance of commercial paper bear interest at the applicable commercial paper rate. Otherwise, borrowings bear interest at the option of the borrower, either at the 30-day Secured Overnight Financing Rate-based (“SOFR”) rate or the daily resetting SOFR rate, plus applicable spreads.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Receivables Facility has a purchase limit of $1,550 million, with the opportunity to exercise an accordion feature that permits increases in the purchase limit up to an aggregate commitment of $1,850 million, subject to customary conditions, and a maturity date of February 28, 2028. The Receivables Facility has a weighted average interest rate spread of 1.05% and a commitment fee of 0.45%.</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accounts receivable eligible for securitization totaled $2,310.1 million and $1,976.3 million, respectively. The Consolidated Balance Sheets as of December 31, 2025 and 2024 include $1,300.0 million and $1,450.0 million, respectively, of senior undivided interests in accounts receivable balances sold to third parties, as well as borrowings for equal amounts. At December 31, 2025, the interest rate for this facility was approximately 4.98%.</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Receivables Facility, Wesco Distribution sells, on a continuous basis, an undivided interest in all domestic accounts receivable to Wesco Receivables, a wholly-owned special purpose entity (the “SPE”). The SPE sells, without recourse, a senior undivided interest in the receivables to financial institutions for cash while maintaining a subordinated undivided interest in the receivables, in the form of overcollateralization. Since Wesco maintains control of the transferred receivables, the transfers do not qualify for “sale” treatment. As a result, the transferred receivables remain on the Company’s balance sheet, and Wesco recognizes the related secured borrowing. Wesco has agreed to continue servicing the receivables for the third-party conduits and financial institutions at market rates; accordingly, no servicing asset or liability has been recorded.</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28, 2025, Wesco Distribution amended its Receivables Facility pursuant to the terms and conditions of a Ninth Amendment to Fifth Amended and Restated Receivables Purchase Agreement (the “Ninth Receivables Amendment”), by and among WESCO Receivables Corp., Wesco Distribution, the various purchasers and purchaser agents party thereto and PNC Bank, National Association, as administrator. The Ninth Receivables Amendment modified the receivables purchase agreement originally entered into on June 22, 2020. The Ninth Receivables Amendment, among other things, extended the scheduled termination date of the Receivables Facility to February 28, 2028, and removed the credit spread adjustment applicable to term SOFR investments. No other material terms were changed.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Wesco Distribution and certain other subsidiaries of Wesco entered into a revolving credit facility (the “Revolving Credit Facility”) as a replacement of Wesco Distribution’s revolving credit facility entered into on September 26, 2019, pursuant to the terms and conditions of a Fourth Amended and Restated Credit Agreement, dated as of June 22, 2020 (the “Revolving Credit Agreement”), among Wesco Distribution, the other U.S. borrowers party thereto (collectively, the “U.S. Borrowers”), WESCO Distribution Canada LP (“Wesco Canada”), the other Canadian borrowers party thereto (collectively, the “Canadian Borrowers”), Wesco, the lenders party thereto and Barclays Bank PLC, as the administrative agent.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Revolving Credit Facility has revolving commitments of $1,725 million, a letter of credit sub-facility of up to $200 million, an accordion feature allowing Wesco Distribution to request increases to the borrowing commitments under the Revolving Credit Facility of up to $500 million in the aggregate, subject to customary conditions, and a sub-facility for loans denominated in Canadian dollars of $625 million. The Revolving Credit Facility has a maturity date of February 28, 2030, and permits the Company to declare and pay an aggregate amount of common stock dividends of up to $125 million per year or higher under certain conditions. The applicable interest rate for borrowings under the Revolving Credit Facility, as amended, includes interest rate spreads based on available borrowing capacity that range from 1.25% to 1.50% for SOFR-based borrowings and from 0.25% to 0.50% for prime rate-based borrowings. At December 31, 2025, the weighted average interest rate for this facility was approximately 4.36%.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During 2025, Wesco borrowed $5,103.7 million under the Revolving Credit Facility and made repayments in the aggregate amount of $5,048.9 million. During 2024, aggregate borrowings and repayments under the Revolving Credit Facility were $3,411.0 million and $3,839.0 million, respectively. Wesco had $1,107.9 million available under the Revolving Credit Facility at December 31, 2025, after giving effect to outstanding letters of credit and certain borrowings under the Company’s international lines of credit, as compared to $1,170.4 million available under the Revolving Credit Facility at December 31, 2024, after giving effect to outstanding letters of credit and certain borrowings under the Company’s international lines of credit.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28, 2025, Wesco Distribution amended its Revolving Credit Facility pursuant to the terms and conditions of the Seventh Amendment to Fourth Amended and Restated Credit Agreement (the “Seventh Revolver Amendment”), by and among Wesco Distribution, the other U.S. borrowers party thereto, WESCO Distribution Canada LP, the other Canadian borrowers party thereto, Wesco, the lenders party thereto and Barclays Bank PLC, as administrative agent. The Seventh Revolver Amendment amended the revolving credit agreement originally entered into on June 22, 2020, to, among other things, (i) extend the maturity date of the Revolving Credit Facility to February 28, 2030, (ii) increase the capacity to request increases in the revolving commitments under the Revolving Credit Facility from $450 million to $500 million, (iii) increase certain negative covenant baskets, and (iv) remove the credit spread adjustment applicable to term SOFR and daily simple SOFR loans. No other material terms were changed.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of Wesco Distribution and the other U.S. Borrowers under the Revolving Credit Facility have been guaranteed by Wesco and certain of Wesco Distribution’s subsidiaries (including certain subsidiaries of Anixter). The obligations of Wesco Canada and the other Canadian Borrowers under the Revolving Credit Facility (including certain subsidiaries of Anixter) have been guaranteed by certain subsidiaries of Wesco Canada and the other Canadian Borrowers. The Revolving Credit Facility is secured by (i) substantially all assets of Wesco Distribution, the other U.S. Borrowers and certain of Wesco Distribution’s subsidiaries (including certain subsidiaries of Anixter), other than, among other things, real property and accounts receivable sold or intended to be sold pursuant to the Receivables Facility, and (ii) substantially all assets of Wesco Canada, the other Canadian Borrowers and certain of Wesco Canada’s subsidiaries, other than, among other things, real property, in each case, subject to customary exceptions and limitations.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Revolving Credit Agreement requires compliance with conditions that must be satisfied prior to any borrowing as well as ongoing compliance with certain customary affirmative and negative covenants. The Revolving Credit Agreement contains customary events of default. Upon the occurrence and during the continuance of an event of default, the commitments of the lenders may be terminated, and all outstanding obligations of the loan parties under the Revolving Credit Facility may be declared immediately due and payable.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5.500% Senior Notes due 2023</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6.000% Senior Notes due 2025</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April 30, 2020, in connection with the merger with Anixter, Wesco Distribution commenced offers to purchase for cash (each, a “Wesco Tender Offer” and, together the “Wesco Tender Offers”) any and all of Anixter Inc.’s outstanding (i) $350.0 million aggregate principal amount of 5.500% Senior Notes due 2023 (the “Anixter 2023 Senior Notes”) and (ii) $250.0 million aggregate principal amount of 6.000% Senior Notes due 2025 (the “Anixter 2025 Senior Notes” and, together with the Anixter 2023 Senior Notes, the “Anixter Senior Notes”). The Anixter 2023 Senior Notes matured on March 1, 2023, on which date Wesco Distribution repaid the $58.6 million aggregate principal amount of its Anixter 2023 Senior Notes plus accrued interest up to, but not including, the maturity date. The repayment was funded with borrowings under the Company’s Revolving Credit Facility and had no impact on the Company’s results of operations. The Anixter 2025 Senior Notes matured on December 1, 2025, on which date Wesco Distribution repaid the $4.2 million aggregate principle amount of its Anixter 2025 Senior Notes plus accrued interest up to, but not including, the maturity date. The repayment was funded with available cash and had no impact on the Company's results of operations.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7.125% Senior Notes due 2025</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7.250% Senior Notes due 2028</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12, 2020, Wesco Distribution issued $1,500 million aggregate principal amount of 7.125% Senior Notes due 2025 (the “2025 Notes”) and $1,325 million aggregate principal amount of 7.250% Senior Notes due 2028 (the “2028 Notes” and, together with the 2025 Notes, the “2025 and 2028 Notes”). The 2025 Notes were issued at a price of 100% of the aggregate principal amount. The 2028 Notes were issued at a price of 99.244% of the aggregate principal amount. Wesco incurred costs related to the issuance of the 2025 Notes and 2028 Notes totaling $33.1 million and $29.3 million, respectively, which were recorded as a reduction to the carrying value of the debt and are being amortized over the respective lives of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2025 and 2028 Notes were issued pursuant to, and are governed by, an indenture (the “2025 and 2028 Notes Indenture”), dated as of June 12, 2020, between the Company, Wesco Distribution and U.S. Bank National Association, as trustee (the “Trustee”). The 2025 and 2028 Notes and related guarantees were issued in a private transaction exempt from the Securities Act of 1933, as amended (the “Securities Act”) and have not been, and will not be, registered under the Securities Act and may not be offered or sold in the U.S. absent registration or an applicable exemption from, or in a transaction not subject to the registration requirements of the Securities Act and other applicable securities laws.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used the net proceeds from the issuance of the 2025 and 2028 Notes, together with borrowings under its Revolving Credit Facility and Receivables Facility and existing cash on hand, to finance the merger with Anixter and the other transactions contemplated by the Agreement and Plan of Merger dated January 10, 2020 (the “Merger Agreement”). The use of proceeds included (i) paying the cash portion of the consideration to stockholders of Anixter, (ii) refinancing certain existing indebtedness of Anixter contemplated by the Merger Agreement, including financing the satisfaction and discharge, defeasance, redemption or other repayment in full of the 5.125% Senior Notes due 2021 of Anixter Inc., a wholly-owned subsidiary of Anixter, and financing payments in connection with the Anixter Consent Solicitations and Wesco Tender Offers, as described above, (iii) refinancing other indebtedness of the Company, and (iv) paying fees, costs and expenses in connection with the foregoing.</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2025 Notes were unsecured and unsubordinated obligations of Wesco Distribution and were guaranteed on an unsecured, unsubordinated basis by the Company and Anixter Inc. The 2025 Notes had a stated interest rate of 7.125% per annum, payable semi-annually in arrears on June 15 and December 15 of each year. The 2025 Notes had a maturity date of June 15, 2025 and were redeemable in whole or in part at a redemption price equal to 101.781% of the principal amount between June 15, 2023 and June 14, 2024 or 100% of the principal amount on and after June 15, 2024.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2028 Notes are unsecured and unsubordinated obligations of Wesco Distribution and are guaranteed on an unsecured, unsubordinated basis by the Company and Anixter Inc. The 2028 Notes accrue interest at a rate of 7.250% per annum, payable semi-annually in arrears on June 15 and December 15 of each year. The 2028 Notes will mature on June 15, 2028. Between June 15, 2025 and June 14, 2026, Wesco Distribution may redeem all or a part of the 2028 Notes at a redemption price equal to 101.208% of the principal amount. On and after June 15, 2026, Wesco Distribution may redeem all or a part of the 2028 Notes at a redemption price equal to 100% of the principal amount.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17, 2024, Wesco Distribution redeemed the $1,500 million aggregate principal amount of the 2025 Notes at a redemption price equal to 100% of the principal amount plus accrued interest up to, but not including, June 15, 2024. The redemption of the 2025 Notes was funded through the issuance of the 6.375% Senior Notes due 2029 (the “2029 Notes”) and the 6.625% Senior Notes due 2032 (the “2032 Notes” and, together with the 2029 Notes, the “2029 and 2032 Notes”) as described below. The Company recognized a non-cash loss of $6.8 million from the redemption of the 2025 Notes resulting from the write-off of unamortized debt issuance costs, which is recorded as a component of interest expense, net in the Consolidated Statement of Income and Comprehensive Income for the year ended December 31, 2024.</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6.375% Senior Notes due 2029</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6.625% Senior Notes due 2032</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March 7, 2024, Wesco Distribution issued $900 million aggregate principal amount of 6.375% Senior Notes due 2029 and $850 million aggregate principal amount of 6.625% Senior Notes due 2032. The 2029 and 2032 Notes were issued at a price of 100% of the aggregate principal amount. Wesco incurred costs related to the issuance of the 2029 Notes and 2032 Notes totaling $11.3 million and $10.6 million, respectively, which were recorded as a reduction to the carrying value of the debt and are being amortized over the respective lives of the notes.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2029 and 2032 Notes were issued pursuant to, and are governed by, an indenture (the “2029 and 2032 Notes Indenture”), dated as of March 7, 2024, among Wesco Distribution, the Company, Anixter Inc., and U.S. Bank Trust Company, National Association, as trustee (the “Trustee”). The 2029 and 2032 Notes and related guarantees were issued in a private transaction exempt from the Securities Act. The Company used the net proceeds from the issuance of the 2029 and 2032 Notes to redeem the 2025 Notes on June 17, 2024 and for other corporate purposes.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2029 and 2032 Notes are unsecured and unsubordinated obligations of Wesco Distribution and are guaranteed on an unsecured, unsubordinated basis by the Company and Anixter Inc. The 2029 Notes accrue interest at a rate of 6.375% per annum, payable semi-annually in arrears on March 15 and September 15 of each year. The 2029 Notes will mature on March 15, 2029. The 2032 Notes accrue interest at a rate of 6.625% per annum, payable semi-annually in arrears on March 15 and September 15 of each year. The 2032 Notes will mature on March 15, 2032.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Distribution may redeem all or a part of the 2029 Notes at any time prior to March 15, 2026 by paying a “make-whole” premium plus accrued and unpaid interest, if any, to but excluding the redemption date. In addition, at any time prior to March 15, 2026, Wesco Distribution may redeem up to 35% of the original aggregate principal amount of the 2029 Notes with the net cash proceeds from certain equity offerings. At any time between March 15, 2026 and March 14, 2027, Wesco Distribution may redeem all or a part of the 2029 Notes at a redemption price equal to 103.188% of the principal amount. Between March 15, 2027 and March 14, 2028, Wesco Distribution may redeem all or a part of the 2029 Notes at a redemption price equal to 101.594% of the principal amount. On and after March 15, 2028, Wesco Distribution may redeem all or a part of the 2029 Notes at a redemption price equal to 100% of the principal amount.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Distribution may redeem all or a part of the 2032 Notes at any time prior to March 15, 2027 by paying a “make-whole” premium plus accrued and unpaid interest, if any, to but excluding the redemption date. In addition, at any time prior to March 15, 2027, Wesco Distribution may redeem up to 35% of the original aggregate principal amount of the 2032 Notes with the net cash proceeds from certain equity offerings. At any time between March 15, 2027 and March 14, 2028, Wesco Distribution may redeem all or a part of the 2032 Notes at a redemption price equal to 103.313% of the principal amount. Between March 15, 2028 and March 14, 2029, Wesco Distribution may redeem all or a part of the 2032 Notes at a redemption price equal to 101.657% of the principal amount. On and after March 15, 2029, Wesco Distribution may redeem all or a part of the 2032 Notes at a redemption price equal to 100% of the principal amount.</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6.375% Senior Notes due 2033</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March 6, 2025, Wesco Distribution issued $800 million aggregate principal amount of 6.375% Senior Notes due 2033 (the “2033 Notes”). The 2033 Notes were issued at a price of 100% of the aggregate principal amount thereof. Wesco incurred costs related to the issuance of the 2033 Notes totaling $10.3 million, which were recorded as a reduction to the carrying value of the debt and are amortized over the life of the notes.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2033 Notes were issued pursuant to, and are governed by, an indenture (the “2033 Notes Indenture”), dated as of March 6, 2025, among Wesco Distribution, the Company, Anixter Inc., and U.S. Bank Trust Company, National Association, as trustee (the “Trustee”). The 2033 Notes and related guarantees were issued in a private transaction exempt from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used the net proceeds from the issuance of the 2033 Notes to redeem all of the Company’s outstanding 10.625% Series A Fixed-Rate Reset Cumulative Perpetual Preferred Stock (the “Series A Preferred Stock”) and all of the related depositary shares representing fractional interests in the Series A Preferred Stock in June 2025 and to repay a portion of the amounts outstanding under the Revolving Credit Facility.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2033 Notes are unsecured and unsubordinated obligations of Wesco Distribution and are guaranteed on an unsecured, unsubordinated basis by the Company and Anixter Inc. The 2033 Notes accrue interest at a rate of 6.375% per annum, payable semi-annually in arrears on March 15 and September 15 of each year. The 2033 Notes will mature on March 15, 2033.</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Distribution may redeem all or a part of the 2033 Notes at any time prior to March 15, 2028 by paying a “make-whole” premium plus accrued and unpaid interest, if any, to but excluding the redemption date. In addition, any time prior to March 15, 2028, Wesco Distribution may redeem up to 35% of the original aggregate principal amount of the 2033 Notes with the net cash proceeds from certain equity offerings. At any time between March 15, 2028 and March 14, 2029, Wesco Distribution may redeem all or a part of the 2033 Notes at a redemption price equal to 103.188% of the principal amount. Between March 15, 2029 and March 14, 2030, Wesco Distribution may redeem all or a part of the 2033 Notes at a redemption price equal to 101.594% of the principal amount. On and after March 15, 2030, Wesco Distribution may redeem all or a part of the 2033 Notes at a redemption price equal to 100% of the principal amount.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Debt Issuance Costs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capitalizes certain costs associated with the issuance of debt and such costs are amortized over the term of the respective debt instrument on a straight-line basis. Debt issuance costs are presented in the Consolidated Balance Sheets as a direct reduction to the carrying amount of the related debt liability. Upon prepayment of debt, the Company accelerates the recognition of an appropriate amount of the costs as refinancing or extinguishment of debt. As of December 31, 2025 and 2024, unamortized debt issuance costs of $44.9 million and $42.8 million were recorded in the Consolidated Balance Sheets,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Covenant Compliance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Wesco’s credit agreements contain various restrictive covenants that, among other things, impose limitations on: (i) dividend payments or certain other restricted payments or investments; (ii) the incurrence of additional indebtedness and guarantees; (iii) creation of liens; (iv) mergers, consolidation or sales of substantially all of Wesco’s assets; (v) certain transactions among affiliates; (vi) payments by certain subsidiaries to Wesco, and (vii) capital expenditures. In addition, the Revolving Credit Facility and the Receivables Facility require Wesco to meet certain fixed charge coverage tests depending on availability or liquidity,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2025 and 2028 Notes Indenture, the 2029 and 2032 Notes Indenture and the 2033 Notes Indenture (collectively, the “Indentures”) contain certain covenants that, among other things, limit the Company’s and its restricted subsidiaries’ ability to incur liens on assets, make certain restricted payments, engage in certain sale and leaseback transactions or sell certain assets or merge or consolidate with or into other companies, subject to certain qualifications and exceptions, including the termination of certain of these covenants upon the 2028 Notes, the 2029 and 2032 Notes, or the 2033 Notes receiving investment grade credit ratings.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Indentures contain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Indentures will allow either the Trustee or the holders of at least 25% in aggregate principal amount of the applicable series of the then-outstanding Notes to accelerate or, in certain cases, will automatically cause the acceleration of the amounts due under the applicable series of Notes.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was in compliance with all financial covenants contained in its debt agreements as of December 31, 2025.</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aggregate principal repayment requirements for all indebtedness for the next five years and thereafter, as of December 31, 2025:</w:t>
      </w:r>
    </w:p>
    <w:tbl>
      <w:tblPr>
        <w:tblW w:w="3170" w:type="dxa"/>
        <w:jc w:val="center"/>
        <w:tblInd w:w="0" w:type="dxa"/>
        <w:tblLayout w:type="fixed"/>
        <w:tblCellMar>
          <w:top w:w="28" w:type="dxa"/>
          <w:left w:w="28" w:type="dxa"/>
          <w:bottom w:w="28" w:type="dxa"/>
          <w:right w:w="28" w:type="dxa"/>
        </w:tblCellMar>
      </w:tblPr>
      <w:tblGrid>
        <w:gridCol w:w="737"/>
        <w:gridCol w:w="647"/>
        <w:gridCol w:w="655"/>
        <w:gridCol w:w="211"/>
        <w:gridCol w:w="766"/>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 on debt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discount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are 20 million shares of preferred stock authorized at a par value of $0.01 per share; there are no shares issued or outstanding. The Company’s Board of Directors has the authority, without further action by the stockholders, to issue all authorized preferred shares in one or more series and to fix the number of shares, designations, voting powers, preferences, optional and other special rights and the restrictions or qualifications thereof. The rights, preferences, privileges and powers of each series of preferred stock may differ with respect to dividend rates, liquidation values, voting rights, conversion rights, redemption provisions and other matters.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Series A Preferred Stock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authorized 25,000 shares of Series A Preferred Stock, with a liquidation preference of $25,000 per whole preferred share and a par value of $0.01 per share. Depositary shares, each representing a 1/1,000th interest in a share of Series A Preferred Stock, were registered under the Securities Act. The Company had issued 21,611,534 depositary shares, representing an interest in approximately 21,612 shares of Series A Preferred Stock.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shares of the Series A Preferred Stock were entitled to receive, when, as and if declared by the Company’s Board of Directors, cumulative cash dividends at an initial rate of 10.625% per annum of the $25,000 liquidation preference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Holders of the Series A Preferred Stock had limited voting rights, including the right to elect two directors to the Board of Directors of the Company in the event dividends on the Series A Preferred Stock remain unpaid for the equivalent of six or more full quarterly dividend periods.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Holders of the Series A Preferred Stock were not entitled to convert or exchange their shares of Series A Preferred stock into shares of any of Wesco’s other classes or series of stock or into any other security of Wesco (other than upon a change of control involving the issuance of additional shares of common stock or other change of control transaction, in each case, approved by holders of common stock).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had no stated maturity and was not subject to any sinking fund, retirement fund or purchase fund or any other obligation of Wesco to redeem, repurchase or retire the Series A Preferred Stock. As of June 22, 2025, Wesco redeemed all outstanding shares of its Series A Preferred Stock, as described further below under “Series A Preferred Stock Redemption.” There are no shares outstanding as of December 31,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are 210 million shares of common stock and 20 million shares of Class B common stock authorized at a par value of $0.01 per share. The Class B common stock is identical to the common stock, except for voting and conversion rights. The holders of Class B common stock have no voting rights. With certain exceptions, Class B common stock may be converted, at the option of the holder, into the same number of shares of common stock.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of the Company’s credit agreements place limits on the Company’s ability to declare or pay dividends and repurchase common stock. These restrictions are based on availability, as defined in the respective credit agreements, as well as Wesco’s compliance with certain fixed charge coverage tests. At December 31, 2025 and 2024, no dividends had been declared that remained unpaid and, therefore, no retained earnings were reserved for dividend payments.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Common stock purchased for treasury is recorded at cost. At the date of subsequent reissue, the treasury stock account is reduced by the cost of such stock, with cost determined on a weighted-average basis.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31, 2022, the Company’s Board of Directors adopted a resolution authorizing the repurchase of up to $1 billion of the Company’s common stock and Series A Preferred Stock. The share repurchase authorization has no expiration date and may be modified, suspended, or terminated at any time without prior notice.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entered into spot repurchase transactions through brokers to purchase 419,570 shares of its common stock in the open market for cash totaling $75.2 million, including excise taxes. Wesco funded the repurchases with available cash and borrowings under its accounts receivable securitization and revolving credit facilities. During the year ended December 31, 2024, the Company entered into spot repurchase transactions through a broker to purchase 2,424,488 shares of its common stock totaling $428.8 million. Wesco funded the repurchases with available cash and borrowings under its accounts receivable securitization and revolving credit facilities. During the year ended December 31, 2023, the Company entered into spot repurchase transactions through a broker to purchase 504,335 shares of its common stock in the open market for cash totaling $75.0 million. Wesco funded the repurchases with available cash and borrowings under its revolving credit facility. These repurchases were made within the limits described above.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Series A Preferred Stock Redemption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13, 2025, the Company's Board of Directors adopted a resolution authorizing the redemption of all outstanding shares of the Company's Series A Preferred Stock. As this authorization was separate from the May 31, 2022 share purchase authorization noted above, the redemption of Series A Preferred Stock did not impact the approximate dollar value of shares that may be repurchased under the earlier 2022 authorization.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22, 2025, the Company redeemed all 21,612 outstanding shares of its Series A Preferred Stock, and the related depositary shares, each representing 1/1,000th of one share of Series A Preferred Stock, at a redemption price of $25,000 per share, for a total payment of $540.3 million. The Company recognized a $32.9 million gain from the redemption as income attributable to common stockholders. As described in Note 9, “Debt”, Wesco funded the redemption with the net proceeds from the March 2025 issuance of the 2033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dividends on common stock are declared at the discretion of the Board of Directors. During the years ended December 31, 2025, 2024 and 2023, the Board of Directors declared and the Company paid quarterly cash dividends totaling $88.4 million, $81.5 million and $76.6 million, respectively, to common stockholders.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cash dividends declared and paid on the Company’s common stock for the year ended December 31, 2025: </w:t>
      </w:r>
    </w:p>
    <w:tbl>
      <w:tblPr>
        <w:tblW w:w="9481" w:type="dxa"/>
        <w:jc w:val="center"/>
        <w:tblInd w:w="0" w:type="dxa"/>
        <w:tblLayout w:type="fixed"/>
        <w:tblCellMar>
          <w:top w:w="28" w:type="dxa"/>
          <w:left w:w="28" w:type="dxa"/>
          <w:bottom w:w="28" w:type="dxa"/>
          <w:right w:w="28" w:type="dxa"/>
        </w:tblCellMar>
      </w:tblPr>
      <w:tblGrid>
        <w:gridCol w:w="581"/>
        <w:gridCol w:w="510"/>
        <w:gridCol w:w="514"/>
        <w:gridCol w:w="109"/>
        <w:gridCol w:w="109"/>
        <w:gridCol w:w="109"/>
        <w:gridCol w:w="574"/>
        <w:gridCol w:w="574"/>
        <w:gridCol w:w="577"/>
        <w:gridCol w:w="109"/>
        <w:gridCol w:w="109"/>
        <w:gridCol w:w="109"/>
        <w:gridCol w:w="574"/>
        <w:gridCol w:w="574"/>
        <w:gridCol w:w="576"/>
        <w:gridCol w:w="109"/>
        <w:gridCol w:w="109"/>
        <w:gridCol w:w="109"/>
        <w:gridCol w:w="348"/>
        <w:gridCol w:w="1017"/>
        <w:gridCol w:w="180"/>
        <w:gridCol w:w="109"/>
        <w:gridCol w:w="109"/>
        <w:gridCol w:w="109"/>
        <w:gridCol w:w="225"/>
        <w:gridCol w:w="546"/>
        <w:gridCol w:w="80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Payment</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14,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cash dividends declared and paid on the Company’s common stock for the year ended December 31, 2024: </w:t>
      </w:r>
    </w:p>
    <w:tbl>
      <w:tblPr>
        <w:tblW w:w="9481" w:type="dxa"/>
        <w:jc w:val="center"/>
        <w:tblInd w:w="0" w:type="dxa"/>
        <w:tblLayout w:type="fixed"/>
        <w:tblCellMar>
          <w:top w:w="28" w:type="dxa"/>
          <w:left w:w="28" w:type="dxa"/>
          <w:bottom w:w="28" w:type="dxa"/>
          <w:right w:w="28" w:type="dxa"/>
        </w:tblCellMar>
      </w:tblPr>
      <w:tblGrid>
        <w:gridCol w:w="581"/>
        <w:gridCol w:w="510"/>
        <w:gridCol w:w="514"/>
        <w:gridCol w:w="109"/>
        <w:gridCol w:w="109"/>
        <w:gridCol w:w="109"/>
        <w:gridCol w:w="574"/>
        <w:gridCol w:w="574"/>
        <w:gridCol w:w="577"/>
        <w:gridCol w:w="109"/>
        <w:gridCol w:w="109"/>
        <w:gridCol w:w="109"/>
        <w:gridCol w:w="574"/>
        <w:gridCol w:w="574"/>
        <w:gridCol w:w="576"/>
        <w:gridCol w:w="109"/>
        <w:gridCol w:w="109"/>
        <w:gridCol w:w="109"/>
        <w:gridCol w:w="348"/>
        <w:gridCol w:w="1017"/>
        <w:gridCol w:w="180"/>
        <w:gridCol w:w="109"/>
        <w:gridCol w:w="109"/>
        <w:gridCol w:w="109"/>
        <w:gridCol w:w="225"/>
        <w:gridCol w:w="546"/>
        <w:gridCol w:w="80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Payment</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29,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29,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cash dividends declared and paid on the Company’s common stock for the year ended December 31, 2023: </w:t>
      </w:r>
    </w:p>
    <w:tbl>
      <w:tblPr>
        <w:tblW w:w="9601" w:type="dxa"/>
        <w:jc w:val="center"/>
        <w:tblInd w:w="0" w:type="dxa"/>
        <w:tblLayout w:type="fixed"/>
        <w:tblCellMar>
          <w:top w:w="28" w:type="dxa"/>
          <w:left w:w="28" w:type="dxa"/>
          <w:bottom w:w="28" w:type="dxa"/>
          <w:right w:w="28" w:type="dxa"/>
        </w:tblCellMar>
      </w:tblPr>
      <w:tblGrid>
        <w:gridCol w:w="624"/>
        <w:gridCol w:w="548"/>
        <w:gridCol w:w="553"/>
        <w:gridCol w:w="109"/>
        <w:gridCol w:w="109"/>
        <w:gridCol w:w="109"/>
        <w:gridCol w:w="574"/>
        <w:gridCol w:w="574"/>
        <w:gridCol w:w="577"/>
        <w:gridCol w:w="109"/>
        <w:gridCol w:w="109"/>
        <w:gridCol w:w="109"/>
        <w:gridCol w:w="574"/>
        <w:gridCol w:w="574"/>
        <w:gridCol w:w="576"/>
        <w:gridCol w:w="109"/>
        <w:gridCol w:w="109"/>
        <w:gridCol w:w="109"/>
        <w:gridCol w:w="348"/>
        <w:gridCol w:w="1017"/>
        <w:gridCol w:w="180"/>
        <w:gridCol w:w="109"/>
        <w:gridCol w:w="109"/>
        <w:gridCol w:w="109"/>
        <w:gridCol w:w="225"/>
        <w:gridCol w:w="546"/>
        <w:gridCol w:w="803"/>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Payment</w:t>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Company's Board of Directors declared and the Company paid cash dividends relating to its Series A Preferred Stock totaling $27.3 million. As a result of the redemption, for the second quarter of 2025, the dividend rate per depositary share was prorated to $0.598, compared to the dividend rate of $0.664 for the first quarter of 2025. During the years ended December 31, 2024 and 2023, the Company’s Board of Directors declared and the Company paid quarterly cash dividends of $0.664 per depositary share relating to its Series A Preferred Stock totaling $57.4 million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income before income taxes by jurisdiction:</w:t>
      </w:r>
    </w:p>
    <w:tbl>
      <w:tblPr>
        <w:tblW w:w="6051" w:type="dxa"/>
        <w:jc w:val="left"/>
        <w:tblInd w:w="0" w:type="dxa"/>
        <w:tblLayout w:type="fixed"/>
        <w:tblCellMar>
          <w:top w:w="28" w:type="dxa"/>
          <w:left w:w="28" w:type="dxa"/>
          <w:bottom w:w="28" w:type="dxa"/>
          <w:right w:w="28" w:type="dxa"/>
        </w:tblCellMar>
      </w:tblPr>
      <w:tblGrid>
        <w:gridCol w:w="909"/>
        <w:gridCol w:w="796"/>
        <w:gridCol w:w="800"/>
        <w:gridCol w:w="211"/>
        <w:gridCol w:w="616"/>
        <w:gridCol w:w="109"/>
        <w:gridCol w:w="109"/>
        <w:gridCol w:w="109"/>
        <w:gridCol w:w="109"/>
        <w:gridCol w:w="220"/>
        <w:gridCol w:w="642"/>
        <w:gridCol w:w="113"/>
        <w:gridCol w:w="109"/>
        <w:gridCol w:w="109"/>
        <w:gridCol w:w="109"/>
        <w:gridCol w:w="211"/>
        <w:gridCol w:w="616"/>
        <w:gridCol w:w="154"/>
      </w:tblGrid>
      <w:tr>
        <w:trPr/>
        <w:tc>
          <w:tcPr>
            <w:tcW w:w="9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provision for income taxes:</w:t>
      </w:r>
    </w:p>
    <w:tbl>
      <w:tblPr>
        <w:tblW w:w="5916" w:type="dxa"/>
        <w:jc w:val="left"/>
        <w:tblInd w:w="0" w:type="dxa"/>
        <w:tblLayout w:type="fixed"/>
        <w:tblCellMar>
          <w:top w:w="28" w:type="dxa"/>
          <w:left w:w="28" w:type="dxa"/>
          <w:bottom w:w="28" w:type="dxa"/>
          <w:right w:w="28" w:type="dxa"/>
        </w:tblCellMar>
      </w:tblPr>
      <w:tblGrid>
        <w:gridCol w:w="857"/>
        <w:gridCol w:w="753"/>
        <w:gridCol w:w="760"/>
        <w:gridCol w:w="211"/>
        <w:gridCol w:w="616"/>
        <w:gridCol w:w="109"/>
        <w:gridCol w:w="109"/>
        <w:gridCol w:w="109"/>
        <w:gridCol w:w="109"/>
        <w:gridCol w:w="220"/>
        <w:gridCol w:w="642"/>
        <w:gridCol w:w="113"/>
        <w:gridCol w:w="109"/>
        <w:gridCol w:w="109"/>
        <w:gridCol w:w="109"/>
        <w:gridCol w:w="211"/>
        <w:gridCol w:w="61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taxes: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 of the tax provision at the U.S. federal statutory income tax rate to income tax expense and the effective tax rate for the year ended December 31, 2025:</w:t>
      </w:r>
    </w:p>
    <w:tbl>
      <w:tblPr>
        <w:tblW w:w="7982" w:type="dxa"/>
        <w:jc w:val="center"/>
        <w:tblInd w:w="0" w:type="dxa"/>
        <w:tblLayout w:type="fixed"/>
        <w:tblCellMar>
          <w:top w:w="28" w:type="dxa"/>
          <w:left w:w="28" w:type="dxa"/>
          <w:bottom w:w="28" w:type="dxa"/>
          <w:right w:w="28" w:type="dxa"/>
        </w:tblCellMar>
      </w:tblPr>
      <w:tblGrid>
        <w:gridCol w:w="1886"/>
        <w:gridCol w:w="1664"/>
        <w:gridCol w:w="1670"/>
        <w:gridCol w:w="301"/>
        <w:gridCol w:w="879"/>
        <w:gridCol w:w="155"/>
        <w:gridCol w:w="155"/>
        <w:gridCol w:w="155"/>
        <w:gridCol w:w="155"/>
        <w:gridCol w:w="255"/>
        <w:gridCol w:w="256"/>
        <w:gridCol w:w="451"/>
      </w:tblGrid>
      <w:tr>
        <w:trPr/>
        <w:tc>
          <w:tcPr>
            <w:tcW w:w="188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income taxes, net of federal income tax effect</w:t>
            </w:r>
            <w:r>
              <w:rPr>
                <w:rFonts w:ascii="Times New Roman;serif" w:hAnsi="Times New Roman;serif"/>
                <w:b w:val="false"/>
                <w:color w:val="000000"/>
                <w:sz w:val="13"/>
              </w:rPr>
              <w:t>(1)</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Provincial income taxes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Canada and United States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Nontaxable or nondeductible items</w:t>
            </w:r>
            <w:r>
              <w:rPr>
                <w:rFonts w:ascii="Times New Roman;serif" w:hAnsi="Times New Roman;serif"/>
                <w:b w:val="false"/>
                <w:color w:val="000000"/>
                <w:sz w:val="13"/>
              </w:rPr>
              <w:t>(2)</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and effective tax rate</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State taxes in California, Pennsylvania, Oregon, Virginia, Florida, New York State, and Georgia made up the majority (greater than 50 percent) of the tax effect in this category.</w:t>
      </w:r>
    </w:p>
    <w:p>
      <w:pPr>
        <w:pStyle w:val="TextBody"/>
        <w:bidi w:val="0"/>
        <w:spacing w:lineRule="auto" w:line="288" w:before="60" w:after="6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The Nontaxable or Nondeductible Items category includes the tax impact of share-based payments under ASC 718, </w:t>
      </w:r>
      <w:r>
        <w:rPr>
          <w:rFonts w:ascii="Times New Roman;serif" w:hAnsi="Times New Roman;serif"/>
          <w:b w:val="false"/>
          <w:i/>
          <w:color w:val="000000"/>
          <w:sz w:val="18"/>
        </w:rPr>
        <w:t>Compensation—Stock Compensation,</w:t>
      </w:r>
      <w:r>
        <w:rPr>
          <w:color w:val="000000"/>
        </w:rPr>
        <w:t xml:space="preserve"> </w:t>
      </w:r>
      <w:r>
        <w:rPr>
          <w:rFonts w:ascii="Times New Roman;serif" w:hAnsi="Times New Roman;serif"/>
          <w:b w:val="false"/>
          <w:color w:val="000000"/>
          <w:sz w:val="18"/>
        </w:rPr>
        <w:t>and non-deductible executive compensation under IRC Section 162(m). The net tax impact of these items for the year ended December 31, 2025 was a $2.6 million reduction in income tax expense (a 0.3% reduction in effective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 between the U.S. federal statutory income tax rate and the effective tax rate for the years ended December 31, 2024 and 2023, prior to the adoption of ASU 2023-09:</w:t>
      </w:r>
    </w:p>
    <w:tbl>
      <w:tblPr>
        <w:tblW w:w="6831" w:type="dxa"/>
        <w:jc w:val="center"/>
        <w:tblInd w:w="0" w:type="dxa"/>
        <w:tblLayout w:type="fixed"/>
        <w:tblCellMar>
          <w:top w:w="28" w:type="dxa"/>
          <w:left w:w="28" w:type="dxa"/>
          <w:bottom w:w="28" w:type="dxa"/>
          <w:right w:w="28" w:type="dxa"/>
        </w:tblCellMar>
      </w:tblPr>
      <w:tblGrid>
        <w:gridCol w:w="1573"/>
        <w:gridCol w:w="1385"/>
        <w:gridCol w:w="1391"/>
        <w:gridCol w:w="255"/>
        <w:gridCol w:w="256"/>
        <w:gridCol w:w="433"/>
        <w:gridCol w:w="174"/>
        <w:gridCol w:w="174"/>
        <w:gridCol w:w="174"/>
        <w:gridCol w:w="255"/>
        <w:gridCol w:w="256"/>
        <w:gridCol w:w="505"/>
      </w:tblGrid>
      <w:tr>
        <w:trPr/>
        <w:tc>
          <w:tcPr>
            <w:tcW w:w="157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statutory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income tax benefit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intercompany financing</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effect of foreign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income taxes paid (net of refunds received) by jurisdiction for the year ended December 31, 2025:</w:t>
      </w:r>
    </w:p>
    <w:tbl>
      <w:tblPr>
        <w:tblW w:w="4619" w:type="dxa"/>
        <w:jc w:val="center"/>
        <w:tblInd w:w="0" w:type="dxa"/>
        <w:tblLayout w:type="fixed"/>
        <w:tblCellMar>
          <w:top w:w="28" w:type="dxa"/>
          <w:left w:w="28" w:type="dxa"/>
          <w:bottom w:w="28" w:type="dxa"/>
          <w:right w:w="28" w:type="dxa"/>
        </w:tblCellMar>
      </w:tblPr>
      <w:tblGrid>
        <w:gridCol w:w="1304"/>
        <w:gridCol w:w="1143"/>
        <w:gridCol w:w="1152"/>
        <w:gridCol w:w="219"/>
        <w:gridCol w:w="641"/>
        <w:gridCol w:w="160"/>
      </w:tblGrid>
      <w:tr>
        <w:trPr/>
        <w:tc>
          <w:tcPr>
            <w:tcW w:w="130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federal</w:t>
            </w:r>
            <w:r>
              <w:rPr>
                <w:rFonts w:ascii="Times New Roman;serif" w:hAnsi="Times New Roman;serif"/>
                <w:b w:val="false"/>
                <w:color w:val="000000"/>
                <w:sz w:val="13"/>
              </w:rPr>
              <w:t>(1)</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state and local - other</w:t>
            </w:r>
            <w:r>
              <w:rPr>
                <w:rFonts w:ascii="Times New Roman;serif" w:hAnsi="Times New Roman;serif"/>
                <w:b w:val="false"/>
                <w:color w:val="000000"/>
                <w:sz w:val="13"/>
              </w:rPr>
              <w:t>(2)</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state and local</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 federal</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 other</w:t>
            </w:r>
            <w:r>
              <w:rPr>
                <w:rFonts w:ascii="Times New Roman;serif" w:hAnsi="Times New Roman;serif"/>
                <w:b w:val="false"/>
                <w:color w:val="000000"/>
                <w:sz w:val="13"/>
              </w:rPr>
              <w:t>(2)</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 received)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U.S. federal income taxes paid (net of refunds received) includes amounts to purchase transferable clean energy tax credits. </w:t>
      </w:r>
    </w:p>
    <w:p>
      <w:pPr>
        <w:pStyle w:val="TextBody"/>
        <w:bidi w:val="0"/>
        <w:spacing w:lineRule="auto" w:line="288" w:before="60" w:after="60"/>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 xml:space="preserve">The amount of income taxes paid (net of refunds received) to respective individual jurisdiction(s) during the year do not meet the 5% disaggregation threshold.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purchased $95.2 million of transferable clean energy tax credits. The Company used $91.1 million of these tax credits to reduce its 2024 U.S. federal income tax liability and $4.1 million to reduce its 2025 U.S. federal income tax liability.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enacted into law on July 4, 2025, introduced significant changes to the U.S. federal income tax laws. The OBBBA made permanent certain expiring provisions of the TCJA and modified other provisions of the TCJA, as well as the Inflation Reduction Act of 2022 (the “IRA”). These changes included the permanent extension of 100% “bonus” depreciation for certain property, the permanent restoration of the tax-basis EBITDA-based limitation on the deductibility of business interest expense subject to certain modifications to the computation of tax-basis EBITDA, and the immediate expensing of qualified domestic research and development expenses. The OBBBA also made permanent, with certain modifications, certain TCJA provisions concerning the current taxation of income from international operations. The OBBBA contained various effective dates with certain provisions becoming effective in 2025 and others in 2026 and beyond. The Company has reflected the estimated impact of the OBBBA on current and deferred income taxes in its Consolidated Balance Sheets.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corporate alternative minimum tax (“CAMT”) was enacted as part of the IRA. The CAMT imposes a minimum tax of 15% on the adjusted financial statement income (“AFSI”) of “applicable corporations” (i.e., those with average annual AFSI over a three-year period in excess of $1 billion). CAMT is effective for tax years beginning after December 31, 2022. The Company currently expects to be treated as an applicable corporation for the year ended December 31, 2025. However, the Company does not expect to incur any CAMT liability in 2025. Consequently, no additional tax provision has been recorded. The Company was not an applicable corporation subject to CAMT for the years ended December 31, 2024 and 2023.</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undistributed earnings of the Company’s foreign subsidiaries amounted to approximately $2,109.2 million as of December 31, 2025. Most of these earnings have been taxed in the U.S. under either the one-time transition tax or the GILTI tax regime imposed by the TCJA. Wesco has elected to pay the transition tax in installments over an eight-year period ending in 2026. As of December 31, 2025, the Company’s remaining liability for the transition tax was $13.7 million, which is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component of other current liabilities in the Consolidated Balance Sheet. The Company continues to assert that the remaining undistributed earnings of its foreign subsidiaries are indefinitely reinvested. The distribution of earnings by Wesco’s foreign subsidiaries in the form of dividends, or otherwise, may be subject to additional taxation. The Company estimates that additional taxes of approximately $116.6 million would be payable upon the remittance of all previously undistributed foreign earnings as of December 31, 2025, based upon the laws in effect on that date. The Company believes that it is able to maintain sufficient liquidity for its domestic operations and commitments without repatriating cash from Wesco’s foreign subsidiaries.</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deferred tax assets and liabilities:</w:t>
      </w:r>
    </w:p>
    <w:tbl>
      <w:tblPr>
        <w:tblW w:w="9015" w:type="dxa"/>
        <w:jc w:val="left"/>
        <w:tblInd w:w="0" w:type="dxa"/>
        <w:tblLayout w:type="fixed"/>
        <w:tblCellMar>
          <w:top w:w="28" w:type="dxa"/>
          <w:left w:w="28" w:type="dxa"/>
          <w:bottom w:w="28" w:type="dxa"/>
          <w:right w:w="28" w:type="dxa"/>
        </w:tblCellMar>
      </w:tblPr>
      <w:tblGrid>
        <w:gridCol w:w="1538"/>
        <w:gridCol w:w="1351"/>
        <w:gridCol w:w="135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buildings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Disallowed business 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carryforwards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 carryforwards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before valuation allowance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Wesco had deferred tax assets of $37.3 million and $31.7 million as of December 31, 2025 and 2024, respectively, related to foreign loss carryforwards. These loss carryforwards expire beginning in 2026 through 2043, while some may be carried forward indefinitely. The Company has determined that certain foreign loss carryforwards will not be realized before they expire. Accordingly, the Company has recorded a valuation allowance of $21.4 million and $19.5 million against deferred tax assets related to certain foreign loss carryforwards as of December 31, 2025 and 2024, respectively. Additionally, these foreign jurisdictions had deferred tax assets of $9.5 million and $6.6 million as of December 31, 2025 and 2024, respectively, related to other future deductible temporary differences. The Company has recorded a full valuation allowance against these amounts as of December 31, 2025 and 2024, respectively.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Wesco had deferred tax assets of $4.1 million and $3.9 million, respectively, related to state net operating loss carryforwards. These net operating loss carryforwards expire beginning in 2026 through 2044, while some may be carried forward indefinitely. The Company has determined that certain state net operating loss carryforwards will not be realized. Accordingly, the Company has recorded a valuation allowance of $4.1 million and $0.9 million against deferred tax assets related to certain state net operating loss carryforwards as of December 31, 2025 and 2024,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Wesco had deferred tax assets of $3.7 million and $4.8 million, respectively, in certain foreign and state jurisdictions related to disallowed business interest expense. The carryforward period for disallowed business interest expense is indefinite. The Company has determined that disallowed business interest expense carryforwards for certain jurisdictions will not be realized. Accordingly, the Company has recorded a valuation allowance of $2.0 million and $0.8 million against deferred tax assets related to disallowed business interest expense carryforwards in these jurisdictions as of December 31, 2025 and 2024, respectively.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Wesco had deferred tax assets of $29.9 million and $41.0 million, respectively, related to foreign tax credit carryforwards. The foreign tax credit carryforwards expire beginning in 2026 through 2035. The Company has determined that certain foreign tax credit carryforwards will not be realized before they expire. Accordingly, the Company has recorded a valuation allowance of $11.0 million and $4.8 million against these deferred tax assets as of December 31, 2025 and 2024, respectively. Wesco’s ability to realize its deferred tax assets related to foreign tax credit carryforwards may be impacted by U.S. tax legislation, our ability to generate sufficient foreign source taxable income, and tax planning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that the Company may implement. The impact of these items, if any, on Wesco’s assessment of the realizability of these deferred tax assets will be recorded as a discrete item in the period in which the Company’s assessment changes.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under examination by tax authorities in various jurisdictions and remains subject to examination until the applicable statutes of limitation expire. The statutes of limitation for the material jurisdictions in which the Company files income tax returns remain open as follows:</w:t>
      </w:r>
    </w:p>
    <w:tbl>
      <w:tblPr>
        <w:tblW w:w="3791" w:type="dxa"/>
        <w:jc w:val="center"/>
        <w:tblInd w:w="0" w:type="dxa"/>
        <w:tblLayout w:type="fixed"/>
        <w:tblCellMar>
          <w:top w:w="28" w:type="dxa"/>
          <w:left w:w="28" w:type="dxa"/>
          <w:bottom w:w="28" w:type="dxa"/>
          <w:right w:w="28" w:type="dxa"/>
        </w:tblCellMar>
      </w:tblPr>
      <w:tblGrid>
        <w:gridCol w:w="685"/>
        <w:gridCol w:w="601"/>
        <w:gridCol w:w="604"/>
        <w:gridCol w:w="109"/>
        <w:gridCol w:w="109"/>
        <w:gridCol w:w="109"/>
        <w:gridCol w:w="460"/>
        <w:gridCol w:w="460"/>
        <w:gridCol w:w="6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 and forward</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 material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 and forward</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2012 and forward</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2020 and forward</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and forward</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 and forward</w:t>
            </w:r>
          </w:p>
        </w:tc>
      </w:tr>
    </w:tbl>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 of gross unrecognized tax benefits:</w:t>
      </w:r>
    </w:p>
    <w:tbl>
      <w:tblPr>
        <w:tblW w:w="6882" w:type="dxa"/>
        <w:jc w:val="left"/>
        <w:tblInd w:w="0" w:type="dxa"/>
        <w:tblLayout w:type="fixed"/>
        <w:tblCellMar>
          <w:top w:w="28" w:type="dxa"/>
          <w:left w:w="28" w:type="dxa"/>
          <w:bottom w:w="28" w:type="dxa"/>
          <w:right w:w="28" w:type="dxa"/>
        </w:tblCellMar>
      </w:tblPr>
      <w:tblGrid>
        <w:gridCol w:w="1223"/>
        <w:gridCol w:w="1073"/>
        <w:gridCol w:w="1079"/>
        <w:gridCol w:w="211"/>
        <w:gridCol w:w="616"/>
        <w:gridCol w:w="109"/>
        <w:gridCol w:w="109"/>
        <w:gridCol w:w="109"/>
        <w:gridCol w:w="109"/>
        <w:gridCol w:w="211"/>
        <w:gridCol w:w="616"/>
        <w:gridCol w:w="109"/>
        <w:gridCol w:w="109"/>
        <w:gridCol w:w="109"/>
        <w:gridCol w:w="109"/>
        <w:gridCol w:w="211"/>
        <w:gridCol w:w="61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current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prior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acquired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prior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 in statute of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amount of unrecognized tax benefits that would affect the effective tax rate if recognized in the consolidated financial statements for the years ended December 31, 2025, 2024 and 2023 were $25.9 million, $36.8 million, and $40.1 million,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classifies interest related to unrecognized tax benefits as a component of interest expense, net in the Consolidated Statements of Income and Comprehensive Income. The Company recognized net interest expense on unrecognized tax benefits of $10.7 million for the year ended December 31, 2025. The Company recognized net interest income on unrecognized tax benefits of $1.6 million and $1.1 million for the years ended December 31, 2024 and 2023, respectively. As of December 31, 2025 and 2024, Wesco had a liability of $23.1 million and $7.7 million, respectively, for interest expense related to unrecognized tax benefits. The Company classifies penalties related to unrecognized tax benefits as part of income tax expense. Penalties recorded in income tax expense for the years ended December 31, 2025, 2024 and 2023 were immaterial. As of December 31, 2025 and 2024, Wesco had a liability of $4.2 million and $3.7 million, respectively, for penalties related to unrecognized tax benefits.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October 2021, one of the Company’s Mexican affiliates received a tax assessment from the Mexican tax authorities in the amount of approximately $26.0 million related to its 2012 income tax return. This amount, updated for adjustments required under Mexican law, was approximately $33.4 million as of December 31, 2025. The Company believes the assessment is without merit and has filed an annulment lawsuit in the Mexican Federal Court of Administrative Justice. The Company expects to prevail in this litigation and, accordingly, has not recognized a liability for this assessment in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July 2022, one of the Company’s Canadian affiliates received tax assessments from the Canada Revenue Agency (“CRA”) totaling approximately $11.0 million, including tax and interest, related to its 2012 through 2014 income tax returns. The Company’s Canadian affiliate subsequently received a related penalty assessment of approximately $2.7 million in May 2023. The assessments totaled approximately $20.3 million in the aggregate, including additional interest updated through December 31, 2025. The Company believes these assessments are without merit and has appealed to the Tax Court of Canada. The Company expects to prevail in the courts and, therefore, has not recognized a liability for these assessments in its consolidated financial statements. The CRA continues to audit the 2015 through 2019 tax years of Wesco’s Canadian affiliates and the Company expects to eventually receive similar assessments for these tax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attributable to common stockholders by the weighted-average number of common shares outstanding during the periods. Diluted earnings per share is computed by dividing net income attributable to common stockholders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basic and diluted earnings per share:</w:t>
      </w:r>
    </w:p>
    <w:tbl>
      <w:tblPr>
        <w:tblW w:w="10205" w:type="dxa"/>
        <w:jc w:val="left"/>
        <w:tblInd w:w="0" w:type="dxa"/>
        <w:tblLayout w:type="fixed"/>
        <w:tblCellMar>
          <w:top w:w="28" w:type="dxa"/>
          <w:left w:w="28" w:type="dxa"/>
          <w:bottom w:w="28" w:type="dxa"/>
          <w:right w:w="28" w:type="dxa"/>
        </w:tblCellMar>
      </w:tblPr>
      <w:tblGrid>
        <w:gridCol w:w="2603"/>
        <w:gridCol w:w="2038"/>
        <w:gridCol w:w="2056"/>
        <w:gridCol w:w="211"/>
        <w:gridCol w:w="616"/>
        <w:gridCol w:w="109"/>
        <w:gridCol w:w="109"/>
        <w:gridCol w:w="109"/>
        <w:gridCol w:w="109"/>
        <w:gridCol w:w="211"/>
        <w:gridCol w:w="616"/>
        <w:gridCol w:w="109"/>
        <w:gridCol w:w="109"/>
        <w:gridCol w:w="109"/>
        <w:gridCol w:w="109"/>
        <w:gridCol w:w="211"/>
        <w:gridCol w:w="616"/>
        <w:gridCol w:w="155"/>
      </w:tblGrid>
      <w:tr>
        <w:trPr/>
        <w:tc>
          <w:tcPr>
            <w:tcW w:w="260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WESCO International,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Gain on redemption of Series A Preferred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in computing basic earnings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issuable upon exercise of dilutive equity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and common share equivalents used in computing diluted earnings per share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computation of diluted earnings per share attributable to common stockholders excludes stock-based awards that would have had an antidilutive effect on earnings per share. For the years ended December 31, 2025, 2024, and 2023, there were approximately 0.1 million, 0.2 million and 0.2 million antidilutive stock-based awards,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13. EMPLOYEE BENEFIT PLANS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Defined Contribution Plans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Distribution sponsors a defined contribution retirement savings plan for the majority of its U.S. employees and all of the non-union and eligible union U.S. employees of Anixter Inc. (the “WESCO Distribution, Inc. Retirement Savings Plan”), which provides employer matching contributions. Contributions are made in cash and employees have the option to transfer balances allocated to their accounts into any of the available investment options. The WESCO Distribution, Inc. Retirement Savings plan provides an employer matching contribution equal to 100% of a participant’s eligible elective deferrals up to 3% of the participant’s eligible compensation and 50% of the next 4% of eligible compensation.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Distribution Canada LP, a wholly-owned subsidiary of the Company, sponsors a defined contribution plan covering eligible unions, full-time employees of WESCO Distribution Canada LP and part-time employees meeting certain eligibility requirements, as well as certain employees of Anixter Canada Inc, Anixter Power Solutions Canada Inc, and EECOL Electric Corp (the “Wesco Canadian Defined Contribution Plan”). The Wesco Canadian Defined Contribution Plan provides a core employer contribution of 3% of a participant’s eligible compensation, plus a matching contribution equal to 50% of a participant’s elective contributions up to 4% of eligible compensation (for a maximum total employer contribution equal to 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incurred charges of $77.3 million, $74.4 million, and $73.4 million for the years ended December 31, 2025, 2024 and 2023, respectively, for all defined contribution plans.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Defined Benefit Plans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Wesco sponsors a contributory defined benefit plan covering substantially all Canadian employees of EECOL Electric Corp., a wholly-owned subsidiary of the Company (the “EECOL Plan”). The EECOL Plan provides retirement benefits based on earnings and credited service, and participants contribute 2% of their earnings to the EECOL Plan. Participants become 100% vested after two years of continuous service or, if earlier, at the participant’s normal retirement age.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also sponsors a Supplemental Executive Retirement Plan for certain executives of EECOL Electric Corp. (the “EECOL SERP”), which provides additional pension benefits based on earnings and credited service. Effective January 1, 2013, the EECOL SERP was closed to new participants and existing participants became 100% vested. Participants of the EECOL SERP now contribute 4% of their earnings to the EECOL Plan.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Anixter Inc. sponsored the Anixter Inc. Pension Plan (the “Domestic Plan”), which was closed to entrants first hired or rehired on or after July 1, 2015, and sponsors various defined benefit pension plans covering employees of foreign subsidiaries in Canada and Europe (together with the EECOL Plan and the EECOL SERP, the “Foreign Plans”). The majority of the Company’s defined benefit pension plans are non-contributory, and with the exception of the U.S. and Canada, cover substantially all full-time employees in their respective countries. Retirement benefits are provided based on compensation as defined in each of the plan agreements.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Anixter Inc. Pension Plan was funded as required by the Employee Retirement Income Security Act of 1974 (“ERISA”) and the Internal Revenue Service. With the exception of the EECOL SERP, which is an unfunded plan, the Foreign Plans are funded as required by applicable foreign laws.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2021, the Company adopted certain plan amendments to: (i) freeze the benefits provided under the Anixter Inc. Pension Plan effective December 31, 2021, (ii) close participation in the EECOL Plan effective December 31, 2021, and (iii) freeze the benefit accruals under the Pension Plan for Employees of Anixter Canada Inc., the EECOL Plan and the EECOL SERP effective December 31, 2023.</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terminated the Anixter Inc. Pension Plan effective December 31, 2022. As the Anixter Inc. Pension Plan had previously been frozen, its termination did not result in any curtailment gain or loss for the years ended December 31, 2023 or 2022. The benefit obligation associated with this plan was partially settled during 2023 by making lump sum cash payments to participants totaling $110.9 million and the Company recognized settlement cost of $4.7 million.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12, 2024, the remaining benefit obligation of the Anixter Inc. Pension Plan was settled through the purchase of single premium annuity contracts for total cash of $138.8 million. The purchase was funded entirely by the assets of the plan.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final settlement of the Anixter Inc. Pension Plan triggered a remeasurement of the related plan benefit obligations and assets as of February 29, 2024. The net effect of the plan remeasurement was a reduction of $33.6 million to the net funded status of the plan, which represented an excess plan asset reversion, and was accounted for as a negative employer contribution. During the year ended December 31, 2024, the Company used $8.9 million of the excess pension plan assets to fund certain of the Company’s matching contributions to the defined contribution plan in the U.S. During the fourth quarter of 2024, the remaining assets of $24.6 million were transferred to the Company in cash, $13.5 million of which was used to fund employer contributions to the defined benefit plan in the U.K. Additionally, the Company incurred excise taxes of $4.9 million resulting from the excess plan asset reversion, which were recorded as a component of selling, general and administrative expenses in the Consolidated Statement of Income and Comprehensive Income during the year ended December 31, 2024 and were included in other current liabilities in the Consolidated Balance Sheet as of December 31, 2024.</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recognized settlement costs of $2.5 million to recognize unrealized losses previously reported as a component of other comprehensive income (loss) related to the benefit obligation of the Anixter Inc. Pension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benefit obligations, plan assets and funded status for the defined benefit plans:</w:t>
      </w:r>
    </w:p>
    <w:tbl>
      <w:tblPr>
        <w:tblW w:w="10205" w:type="dxa"/>
        <w:jc w:val="center"/>
        <w:tblInd w:w="0" w:type="dxa"/>
        <w:tblLayout w:type="fixed"/>
        <w:tblCellMar>
          <w:top w:w="28" w:type="dxa"/>
          <w:left w:w="28" w:type="dxa"/>
          <w:bottom w:w="28" w:type="dxa"/>
          <w:right w:w="28" w:type="dxa"/>
        </w:tblCellMar>
      </w:tblPr>
      <w:tblGrid>
        <w:gridCol w:w="1472"/>
        <w:gridCol w:w="1202"/>
        <w:gridCol w:w="1212"/>
        <w:gridCol w:w="229"/>
        <w:gridCol w:w="172"/>
        <w:gridCol w:w="174"/>
        <w:gridCol w:w="109"/>
        <w:gridCol w:w="109"/>
        <w:gridCol w:w="109"/>
        <w:gridCol w:w="229"/>
        <w:gridCol w:w="284"/>
        <w:gridCol w:w="287"/>
        <w:gridCol w:w="109"/>
        <w:gridCol w:w="109"/>
        <w:gridCol w:w="109"/>
        <w:gridCol w:w="229"/>
        <w:gridCol w:w="177"/>
        <w:gridCol w:w="408"/>
        <w:gridCol w:w="109"/>
        <w:gridCol w:w="109"/>
        <w:gridCol w:w="109"/>
        <w:gridCol w:w="229"/>
        <w:gridCol w:w="177"/>
        <w:gridCol w:w="408"/>
        <w:gridCol w:w="109"/>
        <w:gridCol w:w="109"/>
        <w:gridCol w:w="109"/>
        <w:gridCol w:w="229"/>
        <w:gridCol w:w="177"/>
        <w:gridCol w:w="408"/>
        <w:gridCol w:w="109"/>
        <w:gridCol w:w="109"/>
        <w:gridCol w:w="109"/>
        <w:gridCol w:w="232"/>
        <w:gridCol w:w="174"/>
        <w:gridCol w:w="461"/>
      </w:tblGrid>
      <w:tr>
        <w:trPr/>
        <w:tc>
          <w:tcPr>
            <w:tcW w:w="147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Domestic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Projected Benefit Obligation</w:t>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contributions</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loss, including assumption changes</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 from plan assets</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 from Company assets</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Curtailment</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Plan Assets at Fair Value</w:t>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contributions</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Employer contributions (reversion)</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 and other</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Funded Status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Recognized in the Consolidated Balance Sheets</w:t>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recognized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Assumptions Used to Determine Benefit Obligations</w:t>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measurement date for all plans is December 31st. Accordingly, at the end of each year, the Company determines the discount rate to measure the plan liabilities at their present value. The discount rate reflects the current rate at which the pension liabilities could effectively be settled at the measurement date. This rate was estimated at the end of 2025 and 2024 using a yield curve based on corporate bond data, which the Company concluded was consistent with observable market conditions and industry standards for developing spot rate curves.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had four plans at December 31, 2025 and seven plans at December 31, 2024 for which the projected benefit obligation was in excess of the fair value of plan assets. For these plans, the aggregate projected benefit obligation was $6.5 million and $31.5 million, respectively, and the aggregate fair value of plan assets was $2.3 million and $21.1 million,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an accumulated benefit obligation of $283.7 million for the Foreign Plans. At December 31, 2024 the Company had no remaining accumulated benefit obligation for the Domestic Plan and an accumulated benefit obligation of $268.1 million for the Foreign Plans. The Company had four plans at December 31, 2025 and six plans at December 31, 2024 for which the accumulated benefit obligation was in excess of the fair value of plan assets. For these plans, the aggregate accumulated benefit obligation was $6.1 million and $15.3 million, respectively, and the aggregate fair value of plan assets was $2.3 million and $7.4 million,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components of net periodic pension cost (benefit) for the Company’s defined benefit plans:</w:t>
      </w:r>
    </w:p>
    <w:tbl>
      <w:tblPr>
        <w:tblW w:w="10336" w:type="dxa"/>
        <w:jc w:val="center"/>
        <w:tblInd w:w="0" w:type="dxa"/>
        <w:tblLayout w:type="fixed"/>
        <w:tblCellMar>
          <w:top w:w="28" w:type="dxa"/>
          <w:left w:w="28" w:type="dxa"/>
          <w:bottom w:w="28" w:type="dxa"/>
          <w:right w:w="28" w:type="dxa"/>
        </w:tblCellMar>
      </w:tblPr>
      <w:tblGrid>
        <w:gridCol w:w="464"/>
        <w:gridCol w:w="315"/>
        <w:gridCol w:w="317"/>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09"/>
        <w:gridCol w:w="109"/>
        <w:gridCol w:w="109"/>
        <w:gridCol w:w="109"/>
        <w:gridCol w:w="211"/>
        <w:gridCol w:w="421"/>
        <w:gridCol w:w="109"/>
        <w:gridCol w:w="109"/>
        <w:gridCol w:w="109"/>
        <w:gridCol w:w="109"/>
        <w:gridCol w:w="211"/>
        <w:gridCol w:w="421"/>
        <w:gridCol w:w="109"/>
        <w:gridCol w:w="109"/>
        <w:gridCol w:w="109"/>
        <w:gridCol w:w="109"/>
        <w:gridCol w:w="211"/>
        <w:gridCol w:w="406"/>
        <w:gridCol w:w="109"/>
        <w:gridCol w:w="109"/>
        <w:gridCol w:w="109"/>
        <w:gridCol w:w="109"/>
        <w:gridCol w:w="211"/>
        <w:gridCol w:w="406"/>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Domestic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Components of Net Periodic Pension Cost (Benefit)</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Recognized actuarial loss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periodic pension cost (benefit)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Service cost is reported as a component of selling, general and administrative expenses. The other components of net periodic pension cost (benefit) totaling net benefits of $3.3 million for the year ended December 31, 2025, and net costs of $1.6 million and $0.2 million for the years ended December 31, 2024 and 2023, respectively, are presented as components of other non-operating (income) expense (“other (income) expense, net”).</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weighted-average actuarial assumptions were used to determine net periodic pension cost (benefit):</w:t>
      </w:r>
    </w:p>
    <w:tbl>
      <w:tblPr>
        <w:tblW w:w="10205" w:type="dxa"/>
        <w:jc w:val="left"/>
        <w:tblInd w:w="0" w:type="dxa"/>
        <w:tblLayout w:type="fixed"/>
        <w:tblCellMar>
          <w:top w:w="28" w:type="dxa"/>
          <w:left w:w="28" w:type="dxa"/>
          <w:bottom w:w="28" w:type="dxa"/>
          <w:right w:w="28" w:type="dxa"/>
        </w:tblCellMar>
      </w:tblPr>
      <w:tblGrid>
        <w:gridCol w:w="782"/>
        <w:gridCol w:w="438"/>
        <w:gridCol w:w="441"/>
        <w:gridCol w:w="155"/>
        <w:gridCol w:w="155"/>
        <w:gridCol w:w="156"/>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317"/>
      </w:tblGrid>
      <w:tr>
        <w:trPr/>
        <w:tc>
          <w:tcPr>
            <w:tcW w:w="78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Domestic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expected long-term rate of return on plan assets reflects the average rate of earnings expected on the invested assets and future assets to be invested to provide for the benefits included in the projected benefit obligation. The Company uses historical plan asset returns combined with current market conditions to estimate the rate of return.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a result of the combined effect of valuation changes in both the equity and bond markets, the plan assets produced an actual gain of 2.7% in 2025. The difference between the expected return and actual return on plan assets is amortized into expense over the service lives of the plan participants. These amounts are reflected on the balance sheet through charges to accumulated other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76"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and the end of year components of accumulated other comprehensive (income) loss for the defined benefit plans:</w:t>
      </w:r>
    </w:p>
    <w:tbl>
      <w:tblPr>
        <w:tblW w:w="7509" w:type="dxa"/>
        <w:jc w:val="left"/>
        <w:tblInd w:w="0" w:type="dxa"/>
        <w:tblLayout w:type="fixed"/>
        <w:tblCellMar>
          <w:top w:w="28" w:type="dxa"/>
          <w:left w:w="28" w:type="dxa"/>
          <w:bottom w:w="28" w:type="dxa"/>
          <w:right w:w="28" w:type="dxa"/>
        </w:tblCellMar>
      </w:tblPr>
      <w:tblGrid>
        <w:gridCol w:w="1930"/>
        <w:gridCol w:w="1694"/>
        <w:gridCol w:w="1701"/>
        <w:gridCol w:w="211"/>
        <w:gridCol w:w="586"/>
        <w:gridCol w:w="109"/>
        <w:gridCol w:w="109"/>
        <w:gridCol w:w="109"/>
        <w:gridCol w:w="109"/>
        <w:gridCol w:w="211"/>
        <w:gridCol w:w="586"/>
        <w:gridCol w:w="154"/>
      </w:tblGrid>
      <w:tr>
        <w:trPr/>
        <w:tc>
          <w:tcPr>
            <w:tcW w:w="1930"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to Balance:</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before tax effect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Prior service credit recognized in current year due to curtailment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gain arising in current year</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Recognized actuarial loss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Curtailment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exchange rate changes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before tax effect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Balance:</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credit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gain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before tax effect</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after tax effect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benefit payments, which reflect expected future service, are expected to be paid as follows for the Foreign Plans:</w:t>
      </w:r>
    </w:p>
    <w:tbl>
      <w:tblPr>
        <w:tblW w:w="3718" w:type="dxa"/>
        <w:jc w:val="center"/>
        <w:tblInd w:w="0" w:type="dxa"/>
        <w:tblLayout w:type="fixed"/>
        <w:tblCellMar>
          <w:top w:w="28" w:type="dxa"/>
          <w:left w:w="28" w:type="dxa"/>
          <w:bottom w:w="28" w:type="dxa"/>
          <w:right w:w="28" w:type="dxa"/>
        </w:tblCellMar>
      </w:tblPr>
      <w:tblGrid>
        <w:gridCol w:w="978"/>
        <w:gridCol w:w="859"/>
        <w:gridCol w:w="862"/>
        <w:gridCol w:w="245"/>
        <w:gridCol w:w="595"/>
        <w:gridCol w:w="1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For the year ending December 31,</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to 2035</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expects to contribute approximately $6.6 million to its Foreign Plans in 2026.</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assets of the various defined benefit plans are held in separate independent trusts and managed by independent third-party advisors. The investment objective for the defined benefit plans is to ensure an adequate level of assets is available to fund the benefits owed to employees and their beneficiaries when they become payable. In meeting this objective, the Company seeks to achieve a level of absolute investment return consistent with a prudent level of portfolio risk. The Company’s risk preference is to refrain from exposing the plans to higher volatility in pursuit of potential higher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asset mixes and the asset allocation guidelines for the Foreign Plans are summarized as follows:</w:t>
      </w:r>
    </w:p>
    <w:tbl>
      <w:tblPr>
        <w:tblW w:w="7672" w:type="dxa"/>
        <w:jc w:val="left"/>
        <w:tblInd w:w="0" w:type="dxa"/>
        <w:tblLayout w:type="fixed"/>
        <w:tblCellMar>
          <w:top w:w="28" w:type="dxa"/>
          <w:left w:w="28" w:type="dxa"/>
          <w:bottom w:w="28" w:type="dxa"/>
          <w:right w:w="28" w:type="dxa"/>
        </w:tblCellMar>
      </w:tblPr>
      <w:tblGrid>
        <w:gridCol w:w="1061"/>
        <w:gridCol w:w="931"/>
        <w:gridCol w:w="947"/>
        <w:gridCol w:w="344"/>
        <w:gridCol w:w="344"/>
        <w:gridCol w:w="857"/>
        <w:gridCol w:w="109"/>
        <w:gridCol w:w="109"/>
        <w:gridCol w:w="109"/>
        <w:gridCol w:w="203"/>
        <w:gridCol w:w="203"/>
        <w:gridCol w:w="271"/>
        <w:gridCol w:w="109"/>
        <w:gridCol w:w="109"/>
        <w:gridCol w:w="109"/>
        <w:gridCol w:w="232"/>
        <w:gridCol w:w="234"/>
        <w:gridCol w:w="342"/>
        <w:gridCol w:w="109"/>
        <w:gridCol w:w="109"/>
        <w:gridCol w:w="109"/>
        <w:gridCol w:w="202"/>
        <w:gridCol w:w="204"/>
        <w:gridCol w:w="316"/>
      </w:tblGrid>
      <w:tr>
        <w:trPr/>
        <w:tc>
          <w:tcPr>
            <w:tcW w:w="10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Plans</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Allocation Guidelines</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treasuries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Pooled investment funds and other</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Property/real estate</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products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72" w:type="dxa"/>
        <w:jc w:val="center"/>
        <w:tblInd w:w="0" w:type="dxa"/>
        <w:tblLayout w:type="fixed"/>
        <w:tblCellMar>
          <w:top w:w="28" w:type="dxa"/>
          <w:left w:w="28" w:type="dxa"/>
          <w:bottom w:w="28" w:type="dxa"/>
          <w:right w:w="28" w:type="dxa"/>
        </w:tblCellMar>
      </w:tblPr>
      <w:tblGrid>
        <w:gridCol w:w="1061"/>
        <w:gridCol w:w="931"/>
        <w:gridCol w:w="947"/>
        <w:gridCol w:w="344"/>
        <w:gridCol w:w="344"/>
        <w:gridCol w:w="857"/>
        <w:gridCol w:w="109"/>
        <w:gridCol w:w="109"/>
        <w:gridCol w:w="109"/>
        <w:gridCol w:w="203"/>
        <w:gridCol w:w="203"/>
        <w:gridCol w:w="271"/>
        <w:gridCol w:w="109"/>
        <w:gridCol w:w="109"/>
        <w:gridCol w:w="109"/>
        <w:gridCol w:w="232"/>
        <w:gridCol w:w="234"/>
        <w:gridCol w:w="342"/>
        <w:gridCol w:w="109"/>
        <w:gridCol w:w="109"/>
        <w:gridCol w:w="109"/>
        <w:gridCol w:w="202"/>
        <w:gridCol w:w="204"/>
        <w:gridCol w:w="316"/>
      </w:tblGrid>
      <w:tr>
        <w:trPr/>
        <w:tc>
          <w:tcPr>
            <w:tcW w:w="10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Plans</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Allocation Guidelines</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treasuries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Pooled investment funds and other</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Property/real estate</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products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plans’ pension committees meet regularly to assess investment performance relative to asset allocation guidelines. The Company periodically rebalances its asset portfolios to be in line with its allocation guidelines.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investment policies for the Foreign Plans are the responsibility of the various trustees. Generally, the investment policy guidelines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Make sure that the obligations to the beneficiaries of the plan can be met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 funds at a level to meet the minimum funding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investment managers are expected to provide a return, within certain tracking tolerances, close to that of the relevant market’s indices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fair value of assets by asset category for the Foreign Plans:</w:t>
      </w:r>
    </w:p>
    <w:tbl>
      <w:tblPr>
        <w:tblW w:w="8447" w:type="dxa"/>
        <w:jc w:val="left"/>
        <w:tblInd w:w="0" w:type="dxa"/>
        <w:tblLayout w:type="fixed"/>
        <w:tblCellMar>
          <w:top w:w="28" w:type="dxa"/>
          <w:left w:w="28" w:type="dxa"/>
          <w:bottom w:w="28" w:type="dxa"/>
          <w:right w:w="28" w:type="dxa"/>
        </w:tblCellMar>
      </w:tblPr>
      <w:tblGrid>
        <w:gridCol w:w="1065"/>
        <w:gridCol w:w="935"/>
        <w:gridCol w:w="939"/>
        <w:gridCol w:w="211"/>
        <w:gridCol w:w="406"/>
        <w:gridCol w:w="109"/>
        <w:gridCol w:w="109"/>
        <w:gridCol w:w="109"/>
        <w:gridCol w:w="109"/>
        <w:gridCol w:w="211"/>
        <w:gridCol w:w="511"/>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NAV</w:t>
            </w:r>
            <w:r>
              <w:rPr>
                <w:color w:val="000000"/>
              </w:rPr>
              <w:t xml:space="preser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Plans</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treasuries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Pooled investment funds and 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Property/real estate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products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Foreign Plans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Investments measured at fair value using the net asset value (</w:t>
      </w:r>
      <w:r>
        <w:rPr>
          <w:color w:val="000000"/>
        </w:rPr>
        <w:t>“</w:t>
      </w:r>
      <w:r>
        <w:rPr>
          <w:rFonts w:ascii="Times New Roman;serif" w:hAnsi="Times New Roman;serif"/>
          <w:b w:val="false"/>
          <w:color w:val="000000"/>
          <w:sz w:val="18"/>
        </w:rPr>
        <w:t>NAV</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8"/>
        </w:rPr>
        <w:t>per share practical expedient have not been classified in the fair value hierarchy. The amounts presented in the table above are intended to reconcile the fair value hierarchy to the total fair value of plan assets.</w:t>
      </w:r>
    </w:p>
    <w:tbl>
      <w:tblPr>
        <w:tblW w:w="8447" w:type="dxa"/>
        <w:jc w:val="center"/>
        <w:tblInd w:w="0" w:type="dxa"/>
        <w:tblLayout w:type="fixed"/>
        <w:tblCellMar>
          <w:top w:w="28" w:type="dxa"/>
          <w:left w:w="28" w:type="dxa"/>
          <w:bottom w:w="28" w:type="dxa"/>
          <w:right w:w="28" w:type="dxa"/>
        </w:tblCellMar>
      </w:tblPr>
      <w:tblGrid>
        <w:gridCol w:w="1065"/>
        <w:gridCol w:w="935"/>
        <w:gridCol w:w="939"/>
        <w:gridCol w:w="211"/>
        <w:gridCol w:w="406"/>
        <w:gridCol w:w="109"/>
        <w:gridCol w:w="109"/>
        <w:gridCol w:w="109"/>
        <w:gridCol w:w="109"/>
        <w:gridCol w:w="211"/>
        <w:gridCol w:w="511"/>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NAV</w:t>
            </w:r>
            <w:r>
              <w:rPr>
                <w:color w:val="000000"/>
              </w:rPr>
              <w:t xml:space="preser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Plans</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treasuries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Pooled investment funds and 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Property/real estate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products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Foreign Plans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Investments measured at fair value using the NAV per share practical expedient have not been classified in the fair value hierarchy. The amounts presented in the table above are intended to reconcile the fair value hierarchy to the total fair value of plan assets.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assets of the Foreign Plans are measured at fair value, which is defined as the price that would be received to sell an asset or paid to transfer a liability in an orderly transaction between market participants at the measurement date. Financial assets and liabilities are classified in the fair value hierarchy based on the lowest level of any input that is significant to the measurement of fair value. Investments for which fair value is measured using the net asset value per share practical expedient are not classified in the fair value hierarchy. The majority of pension assets are comprised of common/collective/pool funds (i.e., mutual funds). These funds are valued at the net asset value of shares held in the underlying funds.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fair value methods described above may not be indicative of net realizable value or reflective of future fair values. Additionally, while the Company believes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STOCK-BASED COMPENSATION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sponsors a stock-based compensation plan. On May 27, 2021, the Company’s stockholders approved the WESCO International, Inc. 2021 Omnibus Incentive Plan (the “2021 Plan”). The 2021 Plan is administered by the Compensation Committee of the Company’s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2021 Plan was designed to be the successor plan to all prior stock-based compensation plans. Accordingly, no new awards may be granted under the Company’s 1999 Long-Term Incentive Plan, as amended and restated (the “1999 Plan”) or any other prior plan. Awards outstanding under any such prior plans will remain in full force and effect under such plans according to their respective terms. To the extent that any such award is forfeited, terminates, expires or lapses without being exercised, or is settled for cash, the shares subject to such award not delivered will again be available for awards under the 2021 Plan.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maximum number of shares of the Company’s common stock that may be granted pursuant to awards under the 2021 Plan is 2,150,000, less any shares issued under the 1999 Plan between March 31, 2021 and May 27, 2021. If any award granted under the 2021 Plan is forfeited, terminates, expires or lapses instead of being exercised, or is settled for cash, the shares subject to such award will again be available for grant under the 2021 Plan. Shares delivered by participants or withheld by the Company to pay all or a portion of the exercise price or withholding taxes with respect to stock option or stock appreciation right awards will not again be available for issuance. Shares delivered by participants or withheld by the Company to satisfy applicable tax withholding obligations with respect to restricted shares or restricted stock units will again be available for grant under the 2021 Plan. As of December 31, 2025, 1,330,662 shares of common stock were reserved under the 2021 Plan for future equity award grants.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Stock-based compensation awards outstanding under Wesco’s plans comprise stock options, stock-settled stock appreciation rights, restricted stock units and performance-based awards. Compensation cost for all stock-based awards is measured at fair value on the date of grant and compensation cost is recognized, net of estimated forfeitures, over the service period for awards expected to vest. The fair value of stock options and stock-settled stock appreciation rights is determined using the Black-Scholes model. The fair value of restricted stock units is determined by the grant-date closing price of Wesco’s common stock. The fair value of performance-based awards with performance conditions is determined by a Monte Carlo simulation as well as the grant-date closing price of Wesco’s common stock. The forfeiture assumption is based on Wesco’s historical participant behavior that is reviewed on at least an annual basis. For stock options and stock-settled stock appreciation rights that are exercised, and for restricted stock units and performance-based awards that vest, shares are issued out of Wesco’s outstanding common stock.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Stock options and stock-settled stock appreciation rights vest ratably over a three-year period and terminate on the tenth anniversary of the grant date unless terminated sooner under certain conditions. Restricted stock units awarded under the 2021 Plan typically vest ratably over a three-year period on each of the first, second and third anniversaries of the grant date. Vesting of performance-based awards is based on a three-year performance period, and the number of shares earned, if any, depends on the attainment of certain performance levels, as described below. Outstanding awards would vest upon the consummation of a change in control transaction with performance-based awards vesting at the greater of the target level or actual.</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to the 2025 awards, performance-based awards were typically based on two equally-weighted performance measures: the three-year average growth rate of Wesco’s net income attributable to common stockholders and the three-year cumulative return on net assets. The 2025 performance-based awards are based on two equally-weighted performance measures: the growth rate of Wesco’s earnings per share and return on net assets, both of which are measured on an annual basis as well as on a three-year cumulative basis, with each of the three years and the three-year cumulative measurement equally-weighted. The 2025 performance-based awards also include a relative Total Stockholder Return (“TSR”) modifier that impacts the number of shares earned based on the Company's TSR over the performance period in relation to the TSR of the companies comprising the S&amp;P MidCap 400 Index. These awards are accounted for as awards with performance conditions; compensation cost is recognized over the performance period based upon Wesco’s determination of whether it is probable that the performance targets will be achieved. The fair value of the relative TSR modifier as of the March 1, 2025 grant date was measured using a Monte Carlo simulation.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recognized $40.5 million, $28.9 million and $48.1 million of non-cash stock-based compensation expense for the years ended December 31, 2025, 2024 and 2023, respectively, which is included in selling, general and administrative expenses for all such periods. As of December 31, 2025, there was $62.8 million of total unrecognized compensation expense related to non-vested stock-based compensation arrangements for all awards previously made, which is expected to be recognized as follows:</w:t>
      </w:r>
    </w:p>
    <w:tbl>
      <w:tblPr>
        <w:tblW w:w="3718" w:type="dxa"/>
        <w:jc w:val="center"/>
        <w:tblInd w:w="0" w:type="dxa"/>
        <w:tblLayout w:type="fixed"/>
        <w:tblCellMar>
          <w:top w:w="28" w:type="dxa"/>
          <w:left w:w="28" w:type="dxa"/>
          <w:bottom w:w="28" w:type="dxa"/>
          <w:right w:w="28" w:type="dxa"/>
        </w:tblCellMar>
      </w:tblPr>
      <w:tblGrid>
        <w:gridCol w:w="978"/>
        <w:gridCol w:w="859"/>
        <w:gridCol w:w="862"/>
        <w:gridCol w:w="245"/>
        <w:gridCol w:w="595"/>
        <w:gridCol w:w="1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year ending December 31,</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of awards exercised and vested during the years ended December 31, 2025, 2024, and 2023 was $95.1 million, $80.6 million, and $172.8 million, respectively. The gross income tax benefit associated with the exercise of stock-based awards totaled $22.2 million, $19.1 million, and $40.8 million in 2025, 2024, and 2023,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Wesco granted the following stock options, restricted stock units, and performance-based awards at the following weighted-average fair values:</w:t>
      </w:r>
    </w:p>
    <w:tbl>
      <w:tblPr>
        <w:tblW w:w="6731" w:type="dxa"/>
        <w:jc w:val="center"/>
        <w:tblInd w:w="0" w:type="dxa"/>
        <w:tblLayout w:type="fixed"/>
        <w:tblCellMar>
          <w:top w:w="28" w:type="dxa"/>
          <w:left w:w="28" w:type="dxa"/>
          <w:bottom w:w="28" w:type="dxa"/>
          <w:right w:w="28" w:type="dxa"/>
        </w:tblCellMar>
      </w:tblPr>
      <w:tblGrid>
        <w:gridCol w:w="1052"/>
        <w:gridCol w:w="924"/>
        <w:gridCol w:w="933"/>
        <w:gridCol w:w="211"/>
        <w:gridCol w:w="721"/>
        <w:gridCol w:w="109"/>
        <w:gridCol w:w="109"/>
        <w:gridCol w:w="109"/>
        <w:gridCol w:w="109"/>
        <w:gridCol w:w="211"/>
        <w:gridCol w:w="721"/>
        <w:gridCol w:w="109"/>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granted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awards granted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fair values of stock options, as disclosed in the table above, were estimated using the following weighted-average assumptions in the respective periods:</w:t>
      </w:r>
    </w:p>
    <w:tbl>
      <w:tblPr>
        <w:tblW w:w="4902" w:type="dxa"/>
        <w:jc w:val="center"/>
        <w:tblInd w:w="0" w:type="dxa"/>
        <w:tblLayout w:type="fixed"/>
        <w:tblCellMar>
          <w:top w:w="28" w:type="dxa"/>
          <w:left w:w="28" w:type="dxa"/>
          <w:bottom w:w="28" w:type="dxa"/>
          <w:right w:w="28" w:type="dxa"/>
        </w:tblCellMar>
      </w:tblPr>
      <w:tblGrid>
        <w:gridCol w:w="771"/>
        <w:gridCol w:w="677"/>
        <w:gridCol w:w="682"/>
        <w:gridCol w:w="209"/>
        <w:gridCol w:w="209"/>
        <w:gridCol w:w="211"/>
        <w:gridCol w:w="140"/>
        <w:gridCol w:w="140"/>
        <w:gridCol w:w="140"/>
        <w:gridCol w:w="209"/>
        <w:gridCol w:w="209"/>
        <w:gridCol w:w="211"/>
        <w:gridCol w:w="140"/>
        <w:gridCol w:w="140"/>
        <w:gridCol w:w="140"/>
        <w:gridCol w:w="196"/>
        <w:gridCol w:w="196"/>
        <w:gridCol w:w="282"/>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0.89%</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risk-free interest rate is based on the U.S. Treasury Daily Yield Curve rate as of the grant date. The expected life is based on historical exercise experience, the expected volatility is based on the volatility of the Company’s daily stock price over the expected life preceding the grant date of the award, and the expected dividend yield is based on the calculated yield on the Company’s common stock at date of grant using the current year projected dividend distribution rate.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stock options and related information for the periods presented:</w:t>
      </w:r>
    </w:p>
    <w:tbl>
      <w:tblPr>
        <w:tblW w:w="12791" w:type="dxa"/>
        <w:jc w:val="center"/>
        <w:tblInd w:w="0" w:type="dxa"/>
        <w:tblLayout w:type="fixed"/>
        <w:tblCellMar>
          <w:top w:w="28" w:type="dxa"/>
          <w:left w:w="28" w:type="dxa"/>
          <w:bottom w:w="28" w:type="dxa"/>
          <w:right w:w="28" w:type="dxa"/>
        </w:tblCellMar>
      </w:tblPr>
      <w:tblGrid>
        <w:gridCol w:w="359"/>
        <w:gridCol w:w="315"/>
        <w:gridCol w:w="317"/>
        <w:gridCol w:w="413"/>
        <w:gridCol w:w="413"/>
        <w:gridCol w:w="221"/>
        <w:gridCol w:w="109"/>
        <w:gridCol w:w="109"/>
        <w:gridCol w:w="109"/>
        <w:gridCol w:w="298"/>
        <w:gridCol w:w="1018"/>
        <w:gridCol w:w="155"/>
        <w:gridCol w:w="109"/>
        <w:gridCol w:w="109"/>
        <w:gridCol w:w="109"/>
        <w:gridCol w:w="490"/>
        <w:gridCol w:w="490"/>
        <w:gridCol w:w="491"/>
        <w:gridCol w:w="109"/>
        <w:gridCol w:w="109"/>
        <w:gridCol w:w="109"/>
        <w:gridCol w:w="221"/>
        <w:gridCol w:w="535"/>
        <w:gridCol w:w="115"/>
        <w:gridCol w:w="109"/>
        <w:gridCol w:w="109"/>
        <w:gridCol w:w="109"/>
        <w:gridCol w:w="413"/>
        <w:gridCol w:w="413"/>
        <w:gridCol w:w="221"/>
        <w:gridCol w:w="109"/>
        <w:gridCol w:w="109"/>
        <w:gridCol w:w="109"/>
        <w:gridCol w:w="298"/>
        <w:gridCol w:w="1018"/>
        <w:gridCol w:w="155"/>
        <w:gridCol w:w="109"/>
        <w:gridCol w:w="109"/>
        <w:gridCol w:w="109"/>
        <w:gridCol w:w="412"/>
        <w:gridCol w:w="414"/>
        <w:gridCol w:w="221"/>
        <w:gridCol w:w="109"/>
        <w:gridCol w:w="109"/>
        <w:gridCol w:w="109"/>
        <w:gridCol w:w="211"/>
        <w:gridCol w:w="72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0"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Contractual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year</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234,814 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163,082 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year</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285,935 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234,814 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163,082 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at end of year</w:t>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140,947 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142.88 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78,399 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136.60 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28,411 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aggregate intrinsic value of stock options exercised during such period was $1.4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left"/>
        <w:rPr/>
      </w:pPr>
      <w:r>
        <w:rPr/>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stock-settled stock appreciation rights and related information for the periods presented:</w:t>
      </w:r>
    </w:p>
    <w:tbl>
      <w:tblPr>
        <w:tblW w:w="13221" w:type="dxa"/>
        <w:jc w:val="left"/>
        <w:tblInd w:w="0" w:type="dxa"/>
        <w:tblLayout w:type="fixed"/>
        <w:tblCellMar>
          <w:top w:w="28" w:type="dxa"/>
          <w:left w:w="28" w:type="dxa"/>
          <w:bottom w:w="28" w:type="dxa"/>
          <w:right w:w="28" w:type="dxa"/>
        </w:tblCellMar>
      </w:tblPr>
      <w:tblGrid>
        <w:gridCol w:w="359"/>
        <w:gridCol w:w="315"/>
        <w:gridCol w:w="317"/>
        <w:gridCol w:w="420"/>
        <w:gridCol w:w="421"/>
        <w:gridCol w:w="221"/>
        <w:gridCol w:w="109"/>
        <w:gridCol w:w="109"/>
        <w:gridCol w:w="109"/>
        <w:gridCol w:w="331"/>
        <w:gridCol w:w="968"/>
        <w:gridCol w:w="172"/>
        <w:gridCol w:w="109"/>
        <w:gridCol w:w="109"/>
        <w:gridCol w:w="109"/>
        <w:gridCol w:w="490"/>
        <w:gridCol w:w="490"/>
        <w:gridCol w:w="491"/>
        <w:gridCol w:w="109"/>
        <w:gridCol w:w="109"/>
        <w:gridCol w:w="109"/>
        <w:gridCol w:w="221"/>
        <w:gridCol w:w="535"/>
        <w:gridCol w:w="115"/>
        <w:gridCol w:w="109"/>
        <w:gridCol w:w="109"/>
        <w:gridCol w:w="109"/>
        <w:gridCol w:w="420"/>
        <w:gridCol w:w="421"/>
        <w:gridCol w:w="221"/>
        <w:gridCol w:w="109"/>
        <w:gridCol w:w="109"/>
        <w:gridCol w:w="109"/>
        <w:gridCol w:w="331"/>
        <w:gridCol w:w="968"/>
        <w:gridCol w:w="172"/>
        <w:gridCol w:w="109"/>
        <w:gridCol w:w="109"/>
        <w:gridCol w:w="109"/>
        <w:gridCol w:w="488"/>
        <w:gridCol w:w="488"/>
        <w:gridCol w:w="221"/>
        <w:gridCol w:w="109"/>
        <w:gridCol w:w="109"/>
        <w:gridCol w:w="109"/>
        <w:gridCol w:w="287"/>
        <w:gridCol w:w="838"/>
        <w:gridCol w:w="211"/>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0"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w:t>
              <w:br/>
              <w:t>Contractual</w:t>
              <w:br/>
              <w:t>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Weighted-Average</w:t>
              <w:br/>
              <w:t>Exercise</w:t>
              <w:br/>
              <w:t>Price</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year</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699,044 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818,284 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1,248,115 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(118,513)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(428,500)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year</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411,759 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699,044 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818,284 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at end of year</w:t>
            </w:r>
          </w:p>
        </w:tc>
        <w:tc>
          <w:tcPr>
            <w:tcW w:w="84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411,759 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699,044 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777,479 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aggregate intrinsic value of stock-settled stock appreciation rights exercised during such period was $46.7 million.</w:t>
      </w:r>
    </w:p>
    <w:p>
      <w:pPr>
        <w:pStyle w:val="TextBody"/>
        <w:bidi w:val="0"/>
        <w:spacing w:lineRule="auto" w:line="288" w:before="120" w:after="283"/>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restricted stock units and related information for the periods presented:</w:t>
      </w:r>
    </w:p>
    <w:tbl>
      <w:tblPr>
        <w:tblW w:w="10480" w:type="dxa"/>
        <w:jc w:val="center"/>
        <w:tblInd w:w="0" w:type="dxa"/>
        <w:tblLayout w:type="fixed"/>
        <w:tblCellMar>
          <w:top w:w="28" w:type="dxa"/>
          <w:left w:w="28" w:type="dxa"/>
          <w:bottom w:w="28" w:type="dxa"/>
          <w:right w:w="28" w:type="dxa"/>
        </w:tblCellMar>
      </w:tblPr>
      <w:tblGrid>
        <w:gridCol w:w="348"/>
        <w:gridCol w:w="306"/>
        <w:gridCol w:w="307"/>
        <w:gridCol w:w="420"/>
        <w:gridCol w:w="421"/>
        <w:gridCol w:w="241"/>
        <w:gridCol w:w="109"/>
        <w:gridCol w:w="109"/>
        <w:gridCol w:w="109"/>
        <w:gridCol w:w="310"/>
        <w:gridCol w:w="1060"/>
        <w:gridCol w:w="161"/>
        <w:gridCol w:w="109"/>
        <w:gridCol w:w="109"/>
        <w:gridCol w:w="109"/>
        <w:gridCol w:w="420"/>
        <w:gridCol w:w="421"/>
        <w:gridCol w:w="241"/>
        <w:gridCol w:w="109"/>
        <w:gridCol w:w="109"/>
        <w:gridCol w:w="109"/>
        <w:gridCol w:w="310"/>
        <w:gridCol w:w="1060"/>
        <w:gridCol w:w="161"/>
        <w:gridCol w:w="109"/>
        <w:gridCol w:w="109"/>
        <w:gridCol w:w="109"/>
        <w:gridCol w:w="420"/>
        <w:gridCol w:w="421"/>
        <w:gridCol w:w="241"/>
        <w:gridCol w:w="109"/>
        <w:gridCol w:w="109"/>
        <w:gridCol w:w="109"/>
        <w:gridCol w:w="306"/>
        <w:gridCol w:w="1046"/>
        <w:gridCol w:w="22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Fair</w:t>
              <w:br/>
              <w:t>Value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beginning of year</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(508,173)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end of year</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457,943 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427,570 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407,613 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performance-based awards and related information for the periods presented:</w:t>
      </w:r>
    </w:p>
    <w:tbl>
      <w:tblPr>
        <w:tblW w:w="10465" w:type="dxa"/>
        <w:jc w:val="center"/>
        <w:tblInd w:w="0" w:type="dxa"/>
        <w:tblLayout w:type="fixed"/>
        <w:tblCellMar>
          <w:top w:w="28" w:type="dxa"/>
          <w:left w:w="28" w:type="dxa"/>
          <w:bottom w:w="28" w:type="dxa"/>
          <w:right w:w="28" w:type="dxa"/>
        </w:tblCellMar>
      </w:tblPr>
      <w:tblGrid>
        <w:gridCol w:w="348"/>
        <w:gridCol w:w="306"/>
        <w:gridCol w:w="307"/>
        <w:gridCol w:w="413"/>
        <w:gridCol w:w="413"/>
        <w:gridCol w:w="241"/>
        <w:gridCol w:w="109"/>
        <w:gridCol w:w="109"/>
        <w:gridCol w:w="109"/>
        <w:gridCol w:w="310"/>
        <w:gridCol w:w="1060"/>
        <w:gridCol w:w="161"/>
        <w:gridCol w:w="109"/>
        <w:gridCol w:w="109"/>
        <w:gridCol w:w="109"/>
        <w:gridCol w:w="420"/>
        <w:gridCol w:w="421"/>
        <w:gridCol w:w="241"/>
        <w:gridCol w:w="109"/>
        <w:gridCol w:w="109"/>
        <w:gridCol w:w="109"/>
        <w:gridCol w:w="310"/>
        <w:gridCol w:w="1060"/>
        <w:gridCol w:w="161"/>
        <w:gridCol w:w="109"/>
        <w:gridCol w:w="109"/>
        <w:gridCol w:w="109"/>
        <w:gridCol w:w="420"/>
        <w:gridCol w:w="421"/>
        <w:gridCol w:w="241"/>
        <w:gridCol w:w="109"/>
        <w:gridCol w:w="109"/>
        <w:gridCol w:w="109"/>
        <w:gridCol w:w="306"/>
        <w:gridCol w:w="1046"/>
        <w:gridCol w:w="22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Fair</w:t>
              <w:br/>
              <w:t>Value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beginning of year</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(289,394)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end of year</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194,635 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254,859 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115.15 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From time to time, a number of lawsuits and claims have been or may be asserted against the Company relating to the conduct of its business, including litigation relating to commercial, product and employment matters. The outcome of any litigation cannot be predicted with certainty, and some lawsuits may be determined adversely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$59.9 million in outstanding letters of credit and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BUSINESS SEGMENTS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operating segments comprising three strategic business units: EES, CSS and UBS. These operating segments are equivalent to the Company’s reportable segments.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President and Chief Executive Officer serves as the Company’s Chief Operating Decision Maker (“CODM”). The CODM allocates resources and evaluates the performance of the Company’s reportable segments based on adjusted earnings before interest, taxes, depreciation and amortization (“adjusted EBITDA”), which is the Company’s measure of segment profit or loss. The CODM considers budget-to-actual and year-over-year variances for net sales and adjusted EBITDA when making decisions about allocating resources to the segments.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incurs corporate costs primarily related to treasury, tax, information technology, legal and other centralized functions. The Company also has various corporate assets. Segment assets may not include jointly used assets, but segment results include depreciation expense or other allocations related to those assets. Interest expense and other non-operating items are either not allocated to the segments or reviewed on a segment basis. Corporate expenses and assets not directly identifiable with a reportable segment are reported in the tables below to reconcile the reportable segments to the consolidated financial statements.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previously described in Note 2, “Accounting Policies,” the reportable segment information for the years ended December 31, 2024 and 2023 for the EES and CSS reportable segments has been recast to conform to the current year presentation.</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each of the Company’s reportable segments and their business activities.</w:t>
      </w:r>
    </w:p>
    <w:p>
      <w:pPr>
        <w:pStyle w:val="TextBody"/>
        <w:bidi w:val="0"/>
        <w:spacing w:lineRule="auto" w:line="288" w:before="120" w:after="283"/>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Electrical &amp; Electronic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EES segment serves customers in over 50 countries and supplies a broad range of products and solutions primarily to construction, industrial and original equipment manufacturer (“OEM”) customers. The EES product portfolio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solutions to improve project execution, direct and indirect manufacturing supply chain optimization programs, lighting and renewables advisory services, and digital and automation solutions to improve safety and productivity.</w:t>
      </w:r>
    </w:p>
    <w:p>
      <w:pPr>
        <w:pStyle w:val="TextBody"/>
        <w:bidi w:val="0"/>
        <w:spacing w:lineRule="auto" w:line="288" w:before="120" w:after="283"/>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Communications &amp; Security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CSS segment serves customers in over 50 countries and is a global leader in data center, network infrastructure and security solutions. CSS sells directly to end-users or through an extensive network of channel partners, including data communications contractors, security and network integrators, professional audio/visual integrators, and systems integrators. Beyond its core portfolio, CSS provides a wide range of professional A/V, safety, facilities, and energy management solutions. The full CSS product portfolio is frequently coupled with services designed to enhance efficiency and productivity across all customer segments globally. These services include data center services, advisory, installation enhancement, project deployment, supply chain solutions, and management platforms.</w:t>
      </w:r>
    </w:p>
    <w:p>
      <w:pPr>
        <w:pStyle w:val="TextBody"/>
        <w:bidi w:val="0"/>
        <w:spacing w:lineRule="auto" w:line="288" w:before="12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Utility &amp; Broadband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UBS segment serves customers primarily in the U.S. and Canada and provides products and services to investor owned utilities, electric power cooperatives and municipalities, as well as global service providers, wireless providers, broadband operators and the contractors that service these customers. The products sold include wire and cable, transformers, transmission and distribution hardware, switches, protective devices, connectors, lighting, conduit, fiber and power cable, connectivity products, pole line hardware, racks, cabinets, safety and MRO products, and point-to-point wireless devices. The UBS segment also offers a complete set of service solutions to improve customer supply chain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reportable segments and reconcile adjusted EBITDA by segment, which is the Company’s measure of segment profit or loss, to income before income taxes on a consolidated basis for the periods presented:</w:t>
      </w:r>
    </w:p>
    <w:tbl>
      <w:tblPr>
        <w:tblW w:w="10205" w:type="dxa"/>
        <w:jc w:val="center"/>
        <w:tblInd w:w="0" w:type="dxa"/>
        <w:tblLayout w:type="fixed"/>
        <w:tblCellMar>
          <w:top w:w="28" w:type="dxa"/>
          <w:left w:w="28" w:type="dxa"/>
          <w:bottom w:w="28" w:type="dxa"/>
          <w:right w:w="28" w:type="dxa"/>
        </w:tblCellMar>
      </w:tblPr>
      <w:tblGrid>
        <w:gridCol w:w="1298"/>
        <w:gridCol w:w="1013"/>
        <w:gridCol w:w="1024"/>
        <w:gridCol w:w="262"/>
        <w:gridCol w:w="256"/>
        <w:gridCol w:w="641"/>
        <w:gridCol w:w="135"/>
        <w:gridCol w:w="135"/>
        <w:gridCol w:w="135"/>
        <w:gridCol w:w="262"/>
        <w:gridCol w:w="256"/>
        <w:gridCol w:w="641"/>
        <w:gridCol w:w="135"/>
        <w:gridCol w:w="135"/>
        <w:gridCol w:w="135"/>
        <w:gridCol w:w="321"/>
        <w:gridCol w:w="315"/>
        <w:gridCol w:w="641"/>
        <w:gridCol w:w="135"/>
        <w:gridCol w:w="135"/>
        <w:gridCol w:w="135"/>
        <w:gridCol w:w="798"/>
        <w:gridCol w:w="638"/>
        <w:gridCol w:w="624"/>
      </w:tblGrid>
      <w:tr>
        <w:trPr/>
        <w:tc>
          <w:tcPr>
            <w:tcW w:w="129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3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8,955.5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23,510.9</w:t>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18,538.9</w:t>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w:t>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w:t>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2,079.8</w:t>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6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w:t>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w:t>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855.9</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includes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includes allocated expenses (which includes employee-related allocations), transportation costs, facility costs (including rent and utilities), employee expenses (including travel and entertainment), credit losses, real estate and personal property taxes, professional and consulting fees, supplies, and sales promotion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tbl>
      <w:tblPr>
        <w:tblW w:w="10205" w:type="dxa"/>
        <w:jc w:val="center"/>
        <w:tblInd w:w="0" w:type="dxa"/>
        <w:tblLayout w:type="fixed"/>
        <w:tblCellMar>
          <w:top w:w="28" w:type="dxa"/>
          <w:left w:w="28" w:type="dxa"/>
          <w:bottom w:w="28" w:type="dxa"/>
          <w:right w:w="28" w:type="dxa"/>
        </w:tblCellMar>
      </w:tblPr>
      <w:tblGrid>
        <w:gridCol w:w="1276"/>
        <w:gridCol w:w="986"/>
        <w:gridCol w:w="997"/>
        <w:gridCol w:w="266"/>
        <w:gridCol w:w="260"/>
        <w:gridCol w:w="651"/>
        <w:gridCol w:w="137"/>
        <w:gridCol w:w="137"/>
        <w:gridCol w:w="137"/>
        <w:gridCol w:w="266"/>
        <w:gridCol w:w="260"/>
        <w:gridCol w:w="651"/>
        <w:gridCol w:w="137"/>
        <w:gridCol w:w="137"/>
        <w:gridCol w:w="137"/>
        <w:gridCol w:w="326"/>
        <w:gridCol w:w="319"/>
        <w:gridCol w:w="651"/>
        <w:gridCol w:w="137"/>
        <w:gridCol w:w="137"/>
        <w:gridCol w:w="137"/>
        <w:gridCol w:w="792"/>
        <w:gridCol w:w="648"/>
        <w:gridCol w:w="623"/>
      </w:tblGrid>
      <w:tr>
        <w:trPr/>
        <w:tc>
          <w:tcPr>
            <w:tcW w:w="12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r>
      <w:tr>
        <w:trPr/>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21,818.8</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17,106.2</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1,713.6</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1,017.0</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1,982.0</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951.0</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includes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tbl>
      <w:tblPr>
        <w:tblW w:w="10205" w:type="dxa"/>
        <w:jc w:val="center"/>
        <w:tblInd w:w="0" w:type="dxa"/>
        <w:tblLayout w:type="fixed"/>
        <w:tblCellMar>
          <w:top w:w="28" w:type="dxa"/>
          <w:left w:w="28" w:type="dxa"/>
          <w:bottom w:w="28" w:type="dxa"/>
          <w:right w:w="28" w:type="dxa"/>
        </w:tblCellMar>
      </w:tblPr>
      <w:tblGrid>
        <w:gridCol w:w="1276"/>
        <w:gridCol w:w="986"/>
        <w:gridCol w:w="997"/>
        <w:gridCol w:w="266"/>
        <w:gridCol w:w="260"/>
        <w:gridCol w:w="651"/>
        <w:gridCol w:w="137"/>
        <w:gridCol w:w="137"/>
        <w:gridCol w:w="137"/>
        <w:gridCol w:w="266"/>
        <w:gridCol w:w="260"/>
        <w:gridCol w:w="651"/>
        <w:gridCol w:w="137"/>
        <w:gridCol w:w="137"/>
        <w:gridCol w:w="137"/>
        <w:gridCol w:w="326"/>
        <w:gridCol w:w="319"/>
        <w:gridCol w:w="651"/>
        <w:gridCol w:w="137"/>
        <w:gridCol w:w="137"/>
        <w:gridCol w:w="137"/>
        <w:gridCol w:w="792"/>
        <w:gridCol w:w="648"/>
        <w:gridCol w:w="623"/>
      </w:tblGrid>
      <w:tr>
        <w:trPr/>
        <w:tc>
          <w:tcPr>
            <w:tcW w:w="12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2023</w:t>
            </w:r>
          </w:p>
        </w:tc>
      </w:tr>
      <w:tr>
        <w:trPr/>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22,385.2</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17,541.5</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1,741.7</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includes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depreciation and amortization by reportable segment for the periods presented:</w:t>
      </w:r>
    </w:p>
    <w:tbl>
      <w:tblPr>
        <w:tblW w:w="5388" w:type="dxa"/>
        <w:jc w:val="center"/>
        <w:tblInd w:w="0" w:type="dxa"/>
        <w:tblLayout w:type="fixed"/>
        <w:tblCellMar>
          <w:top w:w="28" w:type="dxa"/>
          <w:left w:w="28" w:type="dxa"/>
          <w:bottom w:w="28" w:type="dxa"/>
          <w:right w:w="28" w:type="dxa"/>
        </w:tblCellMar>
      </w:tblPr>
      <w:tblGrid>
        <w:gridCol w:w="810"/>
        <w:gridCol w:w="709"/>
        <w:gridCol w:w="716"/>
        <w:gridCol w:w="229"/>
        <w:gridCol w:w="284"/>
        <w:gridCol w:w="287"/>
        <w:gridCol w:w="118"/>
        <w:gridCol w:w="118"/>
        <w:gridCol w:w="118"/>
        <w:gridCol w:w="229"/>
        <w:gridCol w:w="284"/>
        <w:gridCol w:w="287"/>
        <w:gridCol w:w="118"/>
        <w:gridCol w:w="118"/>
        <w:gridCol w:w="118"/>
        <w:gridCol w:w="229"/>
        <w:gridCol w:w="256"/>
        <w:gridCol w:w="360"/>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other (income) expense, net by reportable segment for the periods presented, which primarily consists of net foreign currency exchange (gains) losses and the gain on the divestiture of the WIS business for the year ended December 31, 2024:</w:t>
      </w:r>
    </w:p>
    <w:tbl>
      <w:tblPr>
        <w:tblW w:w="5244" w:type="dxa"/>
        <w:jc w:val="center"/>
        <w:tblInd w:w="0" w:type="dxa"/>
        <w:tblLayout w:type="fixed"/>
        <w:tblCellMar>
          <w:top w:w="28" w:type="dxa"/>
          <w:left w:w="28" w:type="dxa"/>
          <w:bottom w:w="28" w:type="dxa"/>
          <w:right w:w="28" w:type="dxa"/>
        </w:tblCellMar>
      </w:tblPr>
      <w:tblGrid>
        <w:gridCol w:w="810"/>
        <w:gridCol w:w="709"/>
        <w:gridCol w:w="716"/>
        <w:gridCol w:w="229"/>
        <w:gridCol w:w="239"/>
        <w:gridCol w:w="241"/>
        <w:gridCol w:w="118"/>
        <w:gridCol w:w="118"/>
        <w:gridCol w:w="118"/>
        <w:gridCol w:w="267"/>
        <w:gridCol w:w="288"/>
        <w:gridCol w:w="297"/>
        <w:gridCol w:w="118"/>
        <w:gridCol w:w="118"/>
        <w:gridCol w:w="118"/>
        <w:gridCol w:w="229"/>
        <w:gridCol w:w="213"/>
        <w:gridCol w:w="298"/>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capital expenditures by reportable segment for the periods presented:</w:t>
      </w:r>
    </w:p>
    <w:tbl>
      <w:tblPr>
        <w:tblW w:w="5073" w:type="dxa"/>
        <w:jc w:val="center"/>
        <w:tblInd w:w="0" w:type="dxa"/>
        <w:tblLayout w:type="fixed"/>
        <w:tblCellMar>
          <w:top w:w="28" w:type="dxa"/>
          <w:left w:w="28" w:type="dxa"/>
          <w:bottom w:w="28" w:type="dxa"/>
          <w:right w:w="28" w:type="dxa"/>
        </w:tblCellMar>
      </w:tblPr>
      <w:tblGrid>
        <w:gridCol w:w="810"/>
        <w:gridCol w:w="709"/>
        <w:gridCol w:w="716"/>
        <w:gridCol w:w="229"/>
        <w:gridCol w:w="231"/>
        <w:gridCol w:w="235"/>
        <w:gridCol w:w="118"/>
        <w:gridCol w:w="118"/>
        <w:gridCol w:w="118"/>
        <w:gridCol w:w="229"/>
        <w:gridCol w:w="231"/>
        <w:gridCol w:w="235"/>
        <w:gridCol w:w="118"/>
        <w:gridCol w:w="118"/>
        <w:gridCol w:w="118"/>
        <w:gridCol w:w="229"/>
        <w:gridCol w:w="213"/>
        <w:gridCol w:w="298"/>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total assets by reportable segment for the periods presented:</w:t>
      </w:r>
    </w:p>
    <w:tbl>
      <w:tblPr>
        <w:tblW w:w="4989" w:type="dxa"/>
        <w:jc w:val="center"/>
        <w:tblInd w:w="0" w:type="dxa"/>
        <w:tblLayout w:type="fixed"/>
        <w:tblCellMar>
          <w:top w:w="28" w:type="dxa"/>
          <w:left w:w="28" w:type="dxa"/>
          <w:bottom w:w="28" w:type="dxa"/>
          <w:right w:w="28" w:type="dxa"/>
        </w:tblCellMar>
      </w:tblPr>
      <w:tblGrid>
        <w:gridCol w:w="810"/>
        <w:gridCol w:w="709"/>
        <w:gridCol w:w="716"/>
        <w:gridCol w:w="211"/>
        <w:gridCol w:w="871"/>
        <w:gridCol w:w="109"/>
        <w:gridCol w:w="109"/>
        <w:gridCol w:w="109"/>
        <w:gridCol w:w="109"/>
        <w:gridCol w:w="211"/>
        <w:gridCol w:w="871"/>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270"/>
        <w:jc w:val="left"/>
        <w:rPr/>
      </w:pPr>
      <w:r>
        <w:rPr>
          <w:rFonts w:ascii="sans-serif" w:hAnsi="sans-serif"/>
          <w:b w:val="false"/>
          <w:color w:val="000000"/>
          <w:sz w:val="12"/>
        </w:rPr>
        <w:t>(1)</w:t>
      </w:r>
      <w:r>
        <w:rPr>
          <w:rFonts w:ascii="Times New Roman;serif" w:hAnsi="Times New Roman;serif"/>
          <w:b w:val="false"/>
          <w:color w:val="000000"/>
          <w:sz w:val="18"/>
        </w:rPr>
        <w:t>Total assets for Corporate primarily consist of cash and cash equivalents, deferred income taxes, property, buildings and equipment, capitalized cloud computing arrangement costs and pension assets.</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tangible long-lived assets, which include property, buildings and equipment, and operating lease assets, by geographic area:</w:t>
      </w:r>
    </w:p>
    <w:tbl>
      <w:tblPr>
        <w:tblW w:w="4531" w:type="dxa"/>
        <w:jc w:val="center"/>
        <w:tblInd w:w="0" w:type="dxa"/>
        <w:tblLayout w:type="fixed"/>
        <w:tblCellMar>
          <w:top w:w="28" w:type="dxa"/>
          <w:left w:w="28" w:type="dxa"/>
          <w:bottom w:w="28" w:type="dxa"/>
          <w:right w:w="28" w:type="dxa"/>
        </w:tblCellMar>
      </w:tblPr>
      <w:tblGrid>
        <w:gridCol w:w="726"/>
        <w:gridCol w:w="551"/>
        <w:gridCol w:w="553"/>
        <w:gridCol w:w="211"/>
        <w:gridCol w:w="766"/>
        <w:gridCol w:w="109"/>
        <w:gridCol w:w="109"/>
        <w:gridCol w:w="109"/>
        <w:gridCol w:w="109"/>
        <w:gridCol w:w="211"/>
        <w:gridCol w:w="766"/>
        <w:gridCol w:w="311"/>
      </w:tblGrid>
      <w:tr>
        <w:trPr/>
        <w:tc>
          <w:tcPr>
            <w:tcW w:w="7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International</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No individual other international country’s tangible long-lived assets are material.</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Item 9.</w:t>
      </w:r>
      <w:r>
        <w:rPr>
          <w:color w:val="000000"/>
        </w:rPr>
        <w:t xml:space="preserve"> </w:t>
      </w:r>
      <w:r>
        <w:rPr>
          <w:rFonts w:ascii="Times New Roman;serif" w:hAnsi="Times New Roman;serif"/>
          <w:b/>
          <w:color w:val="000000"/>
          <w:sz w:val="20"/>
        </w:rPr>
        <w:t>Changes in and Disagreements With Accountants on Accounting and Financial Disclosure.</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Conclusion Regarding the Effectiveness of Disclosure Controls and Procedures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principal executive officer and principal financial officer, we conducted an evaluation of our disclosure controls and procedures (as defined in Exchange Act Rules 13a-15(e) and 15d-15(e)). Based on this evaluation, our principal executive officer and our principal financial officer concluded that our disclosure controls and procedures were effective as of the end of the period covered by this report.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ind w:left="0" w:right="0" w:firstLine="270"/>
        <w:jc w:val="both"/>
        <w:rPr/>
      </w:pPr>
      <w:r>
        <w:rPr>
          <w:rFonts w:ascii="Times New Roman;serif" w:hAnsi="Times New Roman;serif"/>
          <w:b w:val="false"/>
          <w:color w:val="000000"/>
          <w:sz w:val="20"/>
        </w:rPr>
        <w:t xml:space="preserve">Our management is responsible for establishing and maintaining adequate internal control over financial reporting as such term is defined in Exchange Act Rules 13a-15(f) and 15d-15(f).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updated framework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(2013 Framework) issued by the Committee of Sponsoring Organizations of the Treadway Commission on May 14, 2013. Based on our evaluation under the 2013 Framework, our management concluded that our internal control over financial reporting was effective as of December 31, 2025.</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PricewaterhouseCoopers LLP, an independent registered public accounting firm, as stated in their report, which is included herein.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last fiscal quarter of 2025, there were no changes in the Company’s internal control over financial reporting identified in connection with management’s evaluation of the effectiveness of the Company’s internal control over financial reporting that have materially affected, or are reasonably likely to materially affect, the Company’s internal control over financial reporting.</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last fiscal quarter of 2025, the Company continued its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 The implementation, in certain cases, may affect the processes that constitute the Company’s internal control over financial reporting and will require testing for effectiveness.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concluded, as part of its evaluation described in the above paragraphs, that the current quarter developments have not materially affected, or are reasonably likely to materially affect, its internal control over financial reporting and will continue to make such an assessment throughout the implementation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none of our officers or Directors (as defined in Rule 16a</w:t>
        <w:noBreakHyphen/>
        <w:t>1(f)) adopted, modified and/or terminated a “Rule 10b5</w:t>
        <w:noBreakHyphen/>
        <w:t>1 trading arrangement” or a “non-Rule 10b5-1 trading arrangement,”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10.</w:t>
      </w:r>
      <w:r>
        <w:rPr>
          <w:color w:val="000000"/>
        </w:rPr>
        <w:t xml:space="preserve"> </w:t>
      </w:r>
      <w:r>
        <w:rPr>
          <w:rFonts w:ascii="Times New Roman;serif" w:hAnsi="Times New Roman;serif"/>
          <w:b/>
          <w:color w:val="000000"/>
          <w:sz w:val="20"/>
        </w:rPr>
        <w:t>Directors, Executive Officers and Corporate Governance.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the captions “Board of Directors” and “Executive Officers” in our definitive Proxy Statement for our 2026 Annual Meeting of Stockholders is incorporated herein by reference.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Codes of Business Conduct</w:t>
      </w:r>
    </w:p>
    <w:p>
      <w:pPr>
        <w:pStyle w:val="TextBody"/>
        <w:bidi w:val="0"/>
        <w:spacing w:lineRule="auto" w:line="288" w:before="120" w:after="283"/>
        <w:ind w:left="0" w:right="0" w:firstLine="270"/>
        <w:jc w:val="both"/>
        <w:rPr/>
      </w:pPr>
      <w:r>
        <w:rPr>
          <w:rFonts w:ascii="Times New Roman;serif" w:hAnsi="Times New Roman;serif"/>
          <w:b w:val="false"/>
          <w:color w:val="000000"/>
          <w:sz w:val="20"/>
        </w:rPr>
        <w:t xml:space="preserve">We have adopted a Code of Business Conduct (“Code of Conduct”) that applies to our Directors, officers and employees that is available on our website at </w:t>
      </w:r>
      <w:r>
        <w:rPr>
          <w:rFonts w:ascii="Times New Roman;serif" w:hAnsi="Times New Roman;serif"/>
          <w:b w:val="false"/>
          <w:color w:val="000000"/>
          <w:sz w:val="20"/>
          <w:u w:val="single"/>
        </w:rPr>
        <w:t>www.wesco.com</w:t>
      </w:r>
      <w:r>
        <w:rPr>
          <w:color w:val="000000"/>
        </w:rPr>
        <w:t xml:space="preserve"> </w:t>
      </w:r>
      <w:r>
        <w:rPr>
          <w:rFonts w:ascii="Times New Roman;serif" w:hAnsi="Times New Roman;serif"/>
          <w:b w:val="false"/>
          <w:color w:val="000000"/>
          <w:sz w:val="20"/>
        </w:rPr>
        <w:t>by selecting the “Our Company” tab followed by the “Leadership” heading. Any amendment or waiver of the Code of Conduct for our officers or Directors will be disclosed promptly at that location on our website.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adopted a Code of Principles for Senior Financial Executives (“Senior Financial Executive Code”) that applies to our principal executive officer, principal financial officer, principal accounting officer or controller, or persons performing these functions. The Senior Financial Executive Code is also available at that same location on our website. We intend to timely disclose any amendment or waiver of the Senior Financial Executive Code on our website and will retain such information on our website as required by applicable SEC rules.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 copy of the Code of Conduct and/or Senior Financial Executive Code may also be obtained upon request by any stockholder, without charge, by writing to us at WESCO International, Inc., 225 West Station Square Drive, Suite 700, Pittsburgh, Pennsylvania 15219, Attention: Corporate Secretary.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purchase, sale and other dispositions of our securities by our Directors, officers and employees that we believe is reasonably designed to promote compliance with insider trading laws, rules and regulations, and applicable listing standards. A copy of our Insider Trading Policy is available at Exhibit 19.1 to this Annual Report on Form 10-K.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10 that relates to our Directors and executive officers, including the Audit Committee and its financial expert, required by this item, is incorporated by reference from the information appearing under the captions “Corporate Governance,” “Board and Committee Meetings” and “Security Ownership” in our definitive Proxy Statement for our 2026 Annual Meeting of Stockholders that is to be filed with the SEC pursuant to the Exchange Act within 120 days of the end of our fiscal year on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the captions “Compensation Discussion and Analysis” and “Director Compensation” in our definitive Proxy Statement for our 2026 Annual Meeting of Stockholders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the caption “Security Ownership” in our definitive Proxy Statement for our 2026 Annual Meeting of Stockholders is incorporated herein by reference.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December 31, 2025 with respect to the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964"/>
        <w:gridCol w:w="845"/>
        <w:gridCol w:w="850"/>
        <w:gridCol w:w="789"/>
        <w:gridCol w:w="577"/>
        <w:gridCol w:w="579"/>
        <w:gridCol w:w="109"/>
        <w:gridCol w:w="109"/>
        <w:gridCol w:w="109"/>
        <w:gridCol w:w="458"/>
        <w:gridCol w:w="1340"/>
        <w:gridCol w:w="238"/>
        <w:gridCol w:w="109"/>
        <w:gridCol w:w="109"/>
        <w:gridCol w:w="109"/>
        <w:gridCol w:w="988"/>
        <w:gridCol w:w="793"/>
        <w:gridCol w:w="1130"/>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2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Plan Category</w:t>
            </w:r>
          </w:p>
        </w:tc>
        <w:tc>
          <w:tcPr>
            <w:tcW w:w="1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w:t>
              <w:br/>
              <w:t>to be issued</w:t>
              <w:br/>
              <w:t>upon exercise of</w:t>
              <w:br/>
              <w:t>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 of</w:t>
              <w:br/>
              <w:t>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w:t>
              <w:br/>
              <w:t>remaining available for future issuance under equity compensation plans</w:t>
            </w:r>
          </w:p>
        </w:tc>
      </w:tr>
      <w:tr>
        <w:trPr/>
        <w:tc>
          <w:tcPr>
            <w:tcW w:w="2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1,350,272 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1,330,662 </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1,350,272 </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1,330,662 </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the captions “Transactions with Related Persons” and “Corporate Governance” in our definitive Proxy Statement for our 2026 Annual Meeting of Stockholders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the caption “Independent Registered Public Accounting Firm Fees and Services” in our definitive Proxy Statement for our 2026 Annual Meeting of Stockholders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financial statements, financial statement schedule and exhibits listed below are filed as part of this annual report:</w:t>
      </w:r>
    </w:p>
    <w:p>
      <w:pPr>
        <w:pStyle w:val="TextBody"/>
        <w:bidi w:val="0"/>
        <w:spacing w:lineRule="auto" w:line="288" w:before="120" w:after="283"/>
        <w:ind w:left="0" w:right="0" w:hanging="720"/>
        <w:jc w:val="left"/>
        <w:rPr/>
      </w:pPr>
      <w:r>
        <w:rPr>
          <w:rFonts w:ascii="Times New Roman;serif" w:hAnsi="Times New Roman;serif"/>
          <w:b w:val="false"/>
          <w:i/>
          <w:color w:val="000000"/>
          <w:sz w:val="20"/>
        </w:rPr>
        <w:t xml:space="preserve">(a)(1) </w:t>
      </w:r>
      <w:r>
        <w:rPr>
          <w:rFonts w:ascii="Times New Roman;serif" w:hAnsi="Times New Roman;serif"/>
          <w:b/>
          <w:i/>
          <w:color w:val="000000"/>
          <w:sz w:val="20"/>
        </w:rPr>
        <w:t>Financial Statements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list of financial statements required by this item is set forth in Item 8, “Financial Statements and Supplementary Data,” and is incorporated herein by reference.</w:t>
      </w:r>
    </w:p>
    <w:p>
      <w:pPr>
        <w:pStyle w:val="TextBody"/>
        <w:bidi w:val="0"/>
        <w:spacing w:lineRule="auto" w:line="288" w:before="120" w:after="283"/>
        <w:jc w:val="left"/>
        <w:rPr/>
      </w:pPr>
      <w:r>
        <w:rPr>
          <w:rFonts w:ascii="Times New Roman;serif" w:hAnsi="Times New Roman;serif"/>
          <w:b w:val="false"/>
          <w:i/>
          <w:color w:val="000000"/>
          <w:sz w:val="20"/>
        </w:rPr>
        <w:t xml:space="preserve">(2) </w:t>
      </w:r>
      <w:r>
        <w:rPr>
          <w:rFonts w:ascii="Times New Roman;serif" w:hAnsi="Times New Roman;serif"/>
          <w:b/>
          <w:i/>
          <w:color w:val="000000"/>
          <w:sz w:val="20"/>
        </w:rPr>
        <w:t>Financial Statement Schedule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Schedule II — Valuation and Qualifying Accounts</w:t>
      </w:r>
    </w:p>
    <w:p>
      <w:pPr>
        <w:pStyle w:val="TextBody"/>
        <w:bidi w:val="0"/>
        <w:spacing w:lineRule="auto" w:line="288" w:before="120" w:after="283"/>
        <w:ind w:left="0" w:right="0" w:hanging="720"/>
        <w:jc w:val="left"/>
        <w:rPr/>
      </w:pPr>
      <w:r>
        <w:rPr>
          <w:rFonts w:ascii="Times New Roman;serif" w:hAnsi="Times New Roman;serif"/>
          <w:b w:val="false"/>
          <w:i/>
          <w:color w:val="000000"/>
          <w:sz w:val="20"/>
        </w:rPr>
        <w:t>(b)</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52"/>
        <w:gridCol w:w="222"/>
        <w:gridCol w:w="223"/>
        <w:gridCol w:w="109"/>
        <w:gridCol w:w="109"/>
        <w:gridCol w:w="109"/>
        <w:gridCol w:w="2063"/>
        <w:gridCol w:w="1806"/>
        <w:gridCol w:w="1772"/>
        <w:gridCol w:w="109"/>
        <w:gridCol w:w="109"/>
        <w:gridCol w:w="109"/>
        <w:gridCol w:w="1111"/>
        <w:gridCol w:w="868"/>
        <w:gridCol w:w="1234"/>
      </w:tblGrid>
      <w:tr>
        <w:trPr/>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Filing or Sequential Page Number</w:t>
            </w:r>
          </w:p>
        </w:tc>
      </w:tr>
      <w:tr>
        <w:trPr/>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Agreement and Plan of Merger, dated as of January 10, 2020, by and among WESCO International, Inc., Warrior Merger Sub, Inc. and Anixter International Inc.</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2.1 to Wesco’s Current Report on Form 8-K, dated January 13, 2020</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Restated Certificate of Incorporation of WESCO International,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3.2 to Wesco's Current Report on Form 8-K, dated July 16, 2025</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80"/>
                  <w:sz w:val="20"/>
                  <w:u w:val="single"/>
                </w:rPr>
                <w:t>A</w:t>
              </w:r>
            </w:hyperlink>
            <w:hyperlink r:id="rId7">
              <w:r>
                <w:rPr>
                  <w:rStyle w:val="InternetLink"/>
                  <w:rFonts w:ascii="Times New Roman;serif" w:hAnsi="Times New Roman;serif"/>
                  <w:b w:val="false"/>
                  <w:color w:val="000080"/>
                  <w:sz w:val="20"/>
                  <w:u w:val="single"/>
                </w:rPr>
                <w:t>mended and Restated By-</w:t>
              </w:r>
            </w:hyperlink>
            <w:hyperlink r:id="rId8">
              <w:r>
                <w:rPr>
                  <w:rStyle w:val="InternetLink"/>
                  <w:rFonts w:ascii="Times New Roman;serif" w:hAnsi="Times New Roman;serif"/>
                  <w:b w:val="false"/>
                  <w:color w:val="000080"/>
                  <w:sz w:val="20"/>
                  <w:u w:val="single"/>
                </w:rPr>
                <w:t>l</w:t>
              </w:r>
            </w:hyperlink>
            <w:hyperlink r:id="rId9">
              <w:r>
                <w:rPr>
                  <w:rStyle w:val="InternetLink"/>
                  <w:rFonts w:ascii="Times New Roman;serif" w:hAnsi="Times New Roman;serif"/>
                  <w:b w:val="false"/>
                  <w:color w:val="000080"/>
                  <w:sz w:val="20"/>
                  <w:u w:val="single"/>
                </w:rPr>
                <w:t>aws of WESCO International, Inc</w:t>
              </w:r>
            </w:hyperlink>
            <w:hyperlink r:id="rId10">
              <w:r>
                <w:rPr>
                  <w:rStyle w:val="InternetLink"/>
                  <w:rFonts w:ascii="Times New Roman;serif" w:hAnsi="Times New Roman;serif"/>
                  <w:b w:val="false"/>
                  <w:color w:val="000080"/>
                  <w:sz w:val="20"/>
                  <w:u w:val="single"/>
                </w:rPr>
                <w:t>., effective July 16,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3.3 to Wesco’s Current Report on Form 8-K, dated July 16, 2025</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80"/>
                  <w:sz w:val="20"/>
                  <w:u w:val="single"/>
                </w:rPr>
                <w:t>Indenture, dated</w:t>
              </w:r>
            </w:hyperlink>
            <w:hyperlink r:id="rId12">
              <w:r>
                <w:rPr>
                  <w:rStyle w:val="InternetLink"/>
                  <w:rFonts w:ascii="Times New Roman;serif" w:hAnsi="Times New Roman;serif"/>
                  <w:b w:val="false"/>
                  <w:color w:val="000080"/>
                  <w:sz w:val="20"/>
                  <w:u w:val="single"/>
                </w:rPr>
                <w:t xml:space="preserve"> as of</w:t>
              </w:r>
            </w:hyperlink>
            <w:hyperlink r:id="rId13">
              <w:r>
                <w:rPr>
                  <w:rStyle w:val="InternetLink"/>
                  <w:rFonts w:ascii="Times New Roman;serif" w:hAnsi="Times New Roman;serif"/>
                  <w:b w:val="false"/>
                  <w:color w:val="000080"/>
                  <w:sz w:val="20"/>
                  <w:u w:val="single"/>
                </w:rPr>
                <w:t xml:space="preserve"> June 12, 2020, between WESCO International, Inc., WESCO Distribution,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4.1 to Wesco’s Current Report on Form 8-K, dated June 12, 2020</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7.125% Senior Note due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A-1 to Exhibit 4.1 to Wesco’s Current Report on Form 8-K, dated June 12, 2020</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7.250% Senior Note due 2028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A-2 to Exhibit 4.1 to Wesco’s Current Report on Form 8-K, dated June 12, 2020</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 xml:space="preserve">Deposit Agreement, dated as of June 19, 2020, among WESCO International, Inc., Computershare Inc. and Computershare Trust Company, N.A., jointly as the Depositary, and the holders from time to time of the Depositary Receipts described therein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4.2 to Wesco’s Registration Statement on Form 8-A, dated June 19, 2020</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"https://www.sec.gov/Archives/edgar/data/929008/000114036120014340/ex4_2.htm" \l "EXHIBITA"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Depositary Receipt</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A to Exhibit 4.2 to Wesco’s Registration Statement on Form 8-A, dated June 19, 2020</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Indenture, dated as of March 7, 2024, among WESCO Distribution, Inc., WESCO International, Inc., Anixter, Inc.,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4.1 to Wesco’s Current Report on Form 8-K, dated March 7, 2024</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"https://www.sec.gov/Archives/edgar/data/929008/000119312524063782/d765127dex41.htm" \l "ex"</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6.375% Senior Note due 2029</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A-1 to Exhibit 4.1 to Wesco’s Current Report on Form 8-K, dated March 7, 2024</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"https://www.sec.gov/Archives/edgar/data/929008/000119312524063782/d765127dex41.htm" \l "exa"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6.625% Senior Note due 2032</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A-2 to Exhibit 4.1 to Wesco’s Current Report on Form 8-K, dated March 7, 2024</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80"/>
                  <w:sz w:val="20"/>
                  <w:u w:val="single"/>
                </w:rPr>
                <w:t>I</w:t>
              </w:r>
            </w:hyperlink>
            <w:hyperlink r:id="rId19">
              <w:r>
                <w:rPr>
                  <w:rStyle w:val="InternetLink"/>
                  <w:rFonts w:ascii="Times New Roman;serif" w:hAnsi="Times New Roman;serif"/>
                  <w:b w:val="false"/>
                  <w:color w:val="000080"/>
                  <w:sz w:val="20"/>
                  <w:u w:val="single"/>
                </w:rPr>
                <w:t>ndenture, dated as of March 6, 2025, among WESCO Distribution</w:t>
              </w:r>
            </w:hyperlink>
            <w:hyperlink r:id="rId20">
              <w:r>
                <w:rPr>
                  <w:rStyle w:val="InternetLink"/>
                  <w:rFonts w:ascii="Times New Roman;serif" w:hAnsi="Times New Roman;serif"/>
                  <w:b w:val="false"/>
                  <w:color w:val="000080"/>
                  <w:sz w:val="20"/>
                  <w:u w:val="single"/>
                </w:rPr>
                <w:t>, Inc., WESCO International, Inc., A</w:t>
              </w:r>
            </w:hyperlink>
            <w:hyperlink r:id="rId21">
              <w:r>
                <w:rPr>
                  <w:rStyle w:val="InternetLink"/>
                  <w:rFonts w:ascii="Times New Roman;serif" w:hAnsi="Times New Roman;serif"/>
                  <w:b w:val="false"/>
                  <w:color w:val="000080"/>
                  <w:sz w:val="20"/>
                  <w:u w:val="single"/>
                </w:rPr>
                <w:t>nixter, Inc., and U.S. Bank Trust Company, National A</w:t>
              </w:r>
            </w:hyperlink>
            <w:hyperlink r:id="rId22">
              <w:r>
                <w:rPr>
                  <w:rStyle w:val="InternetLink"/>
                  <w:rFonts w:ascii="Times New Roman;serif" w:hAnsi="Times New Roman;serif"/>
                  <w:b w:val="false"/>
                  <w:color w:val="000080"/>
                  <w:sz w:val="20"/>
                  <w:u w:val="single"/>
                </w:rPr>
                <w:t>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4.1 to Wesco's Current Report on Form 8-K, dated March 6, 2025</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6.375% Senior Note due 2033 (included as Exhibit A to the Indenture filed as Exhibit 4.9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A to Exhibit 4.1 to Wesco's Current Report on Form 8-K, dated March 6, 2025</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2025ex411.htm">
              <w:r>
                <w:rPr>
                  <w:rStyle w:val="InternetLink"/>
                  <w:rFonts w:ascii="Times New Roman;serif" w:hAnsi="Times New Roman;serif"/>
                  <w:b w:val="false"/>
                  <w:color w:val="0000FF"/>
                  <w:sz w:val="20"/>
                  <w:u w:val="single"/>
                </w:rPr>
                <w:t>Description of WESCO International, Inc.’s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9"/>
        <w:gridCol w:w="219"/>
        <w:gridCol w:w="221"/>
        <w:gridCol w:w="109"/>
        <w:gridCol w:w="109"/>
        <w:gridCol w:w="109"/>
        <w:gridCol w:w="2033"/>
        <w:gridCol w:w="1922"/>
        <w:gridCol w:w="1780"/>
        <w:gridCol w:w="109"/>
        <w:gridCol w:w="109"/>
        <w:gridCol w:w="109"/>
        <w:gridCol w:w="1160"/>
        <w:gridCol w:w="812"/>
        <w:gridCol w:w="1155"/>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Filing or Sequential Page Number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1999 Deferred Compensation Plan for Non-Employee Directors, as amended and restated September 20, 2007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10.5 to Wesco’s Annual Report on Form 10-K for the year ended December 31, 2011</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Stock Appreciation Rights Agreement for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10.7 to Wesco’s Annual Report on Form 10-K for the year ended December 31, 2011</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Amended and Restated Employment Agreement, dated as of September 1, 2009, between WESCO International Inc. and John J. Engel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Quarterly Report on Form 10-Q for the quarter ended September 30, 2009</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1999 Long-Term Incentive Plan, as restated effective as of May 30,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Appendix A to the Proxy Statement filed on Schedule 14A on April 16, 2013</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Form of Stock Appreciation Rights Agreement for Employees</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10.33 to Wesco’s Annual Report on Form 10-K for the year ended December 31, 2014</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Fourth Amended and Restated Receivables Purchase Agreement, dated as of September 24, 2015, by and among WESCO Receivables Corp., WESCO Distribution, Inc., the various Purchaser Groups from time to time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Current Report on Form 8-K, dated September 24, 2015</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Form of Director and Officer Indemnification Agreement, entered among WESCO International, Inc. and certain of its executive officers and directors listed on a schedule attached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10.24 to Wesco’s Annual Report on Form 10-K for the year ended December 31, 2015</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First Amendment to Fourth Amended and Restated Receivables Purchase Agreement, dated as of December 18,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Quarterly Report on Form 10-Q for the quarter ended June 30, 2016</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Second Amendment to Fourth Amended and Restated Receivables Purchase Agreement, dated as of April 19,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Quarterly Report on Form 10-Q for the quarter ended June 30, 2016</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Third Amendment to Fourth Amended and Restated Receivables Purchase Agreement, dated as of May 10,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10.3 to Wesco’s Quarterly Report on Form 10-Q for the quarter ended June 30, 2016</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Fourth Amendment to Fourth Amended and Restated Receivables Purchase Agreement, dated as of May 27,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10.4 to Wesco’s Quarterly Report on Form 10-Q for the quarter ended June 30, 2016</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Fifth Amendment to Fourth Amended and Restated Receivables Purchase Agreement, dated as of November 8,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November 8, 2017</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80"/>
                  <w:sz w:val="20"/>
                  <w:u w:val="single"/>
                </w:rPr>
                <w:t xml:space="preserve">Sixth Amendment to Fourth Amended and Restated Receivables </w:t>
              </w:r>
            </w:hyperlink>
            <w:hyperlink r:id="rId37">
              <w:r>
                <w:rPr>
                  <w:rStyle w:val="InternetLink"/>
                  <w:rFonts w:ascii="Times New Roman;serif" w:hAnsi="Times New Roman;serif"/>
                  <w:b w:val="false"/>
                  <w:color w:val="000080"/>
                  <w:sz w:val="20"/>
                  <w:u w:val="single"/>
                </w:rPr>
                <w:t xml:space="preserve">Purchase </w:t>
              </w:r>
            </w:hyperlink>
            <w:hyperlink r:id="rId38">
              <w:r>
                <w:rPr>
                  <w:rStyle w:val="InternetLink"/>
                  <w:rFonts w:ascii="Times New Roman;serif" w:hAnsi="Times New Roman;serif"/>
                  <w:b w:val="false"/>
                  <w:color w:val="000080"/>
                  <w:sz w:val="20"/>
                  <w:u w:val="single"/>
                </w:rPr>
                <w:t>Agreement, dated as of December 29,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10.22 to Wesco’s Annual Report on Form 10-K for the year ended December 31, 2017</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Form of Non-Employee Director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10.23 to Wesco’s Annual Report on Form 10-K for the year ended December 31, 2017</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Form of Restricted Stock Unit Agreement for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10.24 to Wesco’s Annual Report on Form 10-K for the year ended December 31, 2017</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Form of Stock Appreciation Rights Agreement for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10.25 to Wesco’s Annual Report on Form 10-K for the year ended December 31, 2017</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80"/>
                  <w:sz w:val="20"/>
                  <w:u w:val="single"/>
                </w:rPr>
                <w:t xml:space="preserve">Form of Notice of Performance Share Award Under the WESCO International, Inc. 1999 Long-Term Incentive Plan, as </w:t>
              </w:r>
            </w:hyperlink>
            <w:hyperlink r:id="rId43">
              <w:r>
                <w:rPr>
                  <w:rStyle w:val="InternetLink"/>
                  <w:rFonts w:ascii="Times New Roman;serif" w:hAnsi="Times New Roman;serif"/>
                  <w:b w:val="false"/>
                  <w:color w:val="000080"/>
                  <w:sz w:val="20"/>
                  <w:u w:val="single"/>
                </w:rPr>
                <w:t>restated</w:t>
              </w:r>
            </w:hyperlink>
            <w:hyperlink r:id="rId44">
              <w:r>
                <w:rPr>
                  <w:rStyle w:val="InternetLink"/>
                  <w:rFonts w:ascii="Times New Roman;serif" w:hAnsi="Times New Roman;serif"/>
                  <w:b w:val="false"/>
                  <w:color w:val="000080"/>
                  <w:sz w:val="20"/>
                  <w:u w:val="single"/>
                </w:rPr>
                <w:t xml:space="preserve"> May 31,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10.26 to Wesco’s Annual Report on Form 10-K for the year ended December 31, 2017</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1999 Long-Term Incentive Plan, as restated effective as of May 31,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Appendix A to the Proxy Statement filed on Schedule 14A on April 17, 2017</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
        <w:gridCol w:w="215"/>
        <w:gridCol w:w="216"/>
        <w:gridCol w:w="109"/>
        <w:gridCol w:w="109"/>
        <w:gridCol w:w="109"/>
        <w:gridCol w:w="2338"/>
        <w:gridCol w:w="1981"/>
        <w:gridCol w:w="1988"/>
        <w:gridCol w:w="109"/>
        <w:gridCol w:w="109"/>
        <w:gridCol w:w="109"/>
        <w:gridCol w:w="940"/>
        <w:gridCol w:w="672"/>
        <w:gridCol w:w="957"/>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Filing or Sequential Page Number</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80"/>
                  <w:sz w:val="20"/>
                  <w:u w:val="single"/>
                </w:rPr>
                <w:t xml:space="preserve">Seventh Amendment to Fourth Amended and Restated Receivables </w:t>
              </w:r>
            </w:hyperlink>
            <w:hyperlink r:id="rId47">
              <w:r>
                <w:rPr>
                  <w:rStyle w:val="InternetLink"/>
                  <w:rFonts w:ascii="Times New Roman;serif" w:hAnsi="Times New Roman;serif"/>
                  <w:b w:val="false"/>
                  <w:color w:val="000080"/>
                  <w:sz w:val="20"/>
                  <w:u w:val="single"/>
                </w:rPr>
                <w:t xml:space="preserve">Purchase </w:t>
              </w:r>
            </w:hyperlink>
            <w:hyperlink r:id="rId48">
              <w:r>
                <w:rPr>
                  <w:rStyle w:val="InternetLink"/>
                  <w:rFonts w:ascii="Times New Roman;serif" w:hAnsi="Times New Roman;serif"/>
                  <w:b w:val="false"/>
                  <w:color w:val="000080"/>
                  <w:sz w:val="20"/>
                  <w:u w:val="single"/>
                </w:rPr>
                <w:t>Agreement, dated as of April 23,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Quarterly Report on Form 10-Q for the quarter ended September 30, 2018</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 xml:space="preserve">Eighth Amendment to Fourth Amended and Restated Receivables </w:t>
              </w:r>
            </w:hyperlink>
            <w:hyperlink r:id="rId50">
              <w:r>
                <w:rPr>
                  <w:rStyle w:val="InternetLink"/>
                  <w:rFonts w:ascii="Times New Roman;serif" w:hAnsi="Times New Roman;serif"/>
                  <w:b w:val="false"/>
                  <w:color w:val="000080"/>
                  <w:sz w:val="20"/>
                  <w:u w:val="single"/>
                </w:rPr>
                <w:t xml:space="preserve">Purchase </w:t>
              </w:r>
            </w:hyperlink>
            <w:hyperlink r:id="rId51">
              <w:r>
                <w:rPr>
                  <w:rStyle w:val="InternetLink"/>
                  <w:rFonts w:ascii="Times New Roman;serif" w:hAnsi="Times New Roman;serif"/>
                  <w:b w:val="false"/>
                  <w:color w:val="000080"/>
                  <w:sz w:val="20"/>
                  <w:u w:val="single"/>
                </w:rPr>
                <w:t>Agreement, dated as of December 21,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10.30 to Wesco’s Annual Report on Form 10-K for the year ended December 31, 2018</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Third Amended and Restated Credit Agreement, dated as of September 26, 2019 among WESCO Distribution, Inc., the other U.S. Borrowers party thereto, WESCO Distribution Canada LP, the other Canadian Borrowers party thereto, WESCO International, Inc., the Lenders party thereto, JPMorgan Chase Bank, N.A., as Administrative Agent, and JPMorgan Chase Bank, N.A., Toronto Branch, as Canadian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September 30, 2019</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Ninth Amendment to Fourth Amended and Restated Receivables Purchase Agreement, dated as of September 26,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Current Report on Form 8-K, dated September 30, 2019</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Fourth Amended and Restated Credit Agreement, dated as of June 22, 2020, by and among WESCO Distribution, Inc., the other U.S. borrowers party thereto, WESCO Distribution Canada LP, the other Canadian borrowers party thereto, WESCO International, Inc., the lenders party thereto and Barclays Bank PLC.,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June 24, 2020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Fifth Amended and Restated Receivables Purchase Agreement, dated as of June 22, 2020, by and among WESCO Receivables Corp., WESCO Distribution, Inc., the various purchaser groups from time to time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Current Report on Form 8-K, dated June 24, 2020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80"/>
                  <w:sz w:val="20"/>
                  <w:u w:val="single"/>
                </w:rPr>
                <w:t xml:space="preserve">Form of Restricted Stock Unit </w:t>
              </w:r>
            </w:hyperlink>
            <w:hyperlink r:id="rId57">
              <w:r>
                <w:rPr>
                  <w:rStyle w:val="InternetLink"/>
                  <w:rFonts w:ascii="Times New Roman;serif" w:hAnsi="Times New Roman;serif"/>
                  <w:b w:val="false"/>
                  <w:color w:val="000080"/>
                  <w:sz w:val="20"/>
                  <w:u w:val="single"/>
                </w:rPr>
                <w:t>Agreement (Special Awards)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June 25, 2020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WESCO International, Inc. Change in Control Severance Plan</w:t>
              </w:r>
            </w:hyperlink>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Current Report on Form 8-K, dated June 25, 2020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Agreement, dated June 22, 2020, memorializing terms of employment of David Schulz by WESCO International,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Quarterly Report on Form 10-Q for the quarter ended June 30, 2020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Agreement, dated June 22, 2020, memorializing terms of employment of Nelson Squires by WESCO International,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Quarterly Report on Form 10-Q for the quarter ended June 30, 2020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Agreement, dated June 22, 2020, memorializing terms of employment of Christine Wolf by WESCO International,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10.3 to Wesco’s Quarterly Report on Form 10-Q for the quarter ended June 30, 2020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Agreement, dated June 22, 2020, memorializing terms of employment of Diane Lazzaris by WESCO International,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10.4 to Wesco’s Quarterly Report on Form 10-Q for the quarter ended June 30, 2020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80"/>
                  <w:sz w:val="20"/>
                  <w:u w:val="single"/>
                </w:rPr>
                <w:t>First Amendment to Fourth Amended and Restated Credit Agreement, dated as of December 14, 2020, among WESCO Distribution</w:t>
              </w:r>
            </w:hyperlink>
            <w:hyperlink r:id="rId64">
              <w:r>
                <w:rPr>
                  <w:rStyle w:val="InternetLink"/>
                  <w:rFonts w:ascii="Times New Roman;serif" w:hAnsi="Times New Roman;serif"/>
                  <w:b w:val="false"/>
                  <w:color w:val="000080"/>
                  <w:sz w:val="20"/>
                  <w:u w:val="single"/>
                </w:rPr>
                <w:t xml:space="preserve">, </w:t>
              </w:r>
            </w:hyperlink>
            <w:hyperlink r:id="rId65">
              <w:r>
                <w:rPr>
                  <w:rStyle w:val="InternetLink"/>
                  <w:rFonts w:ascii="Times New Roman;serif" w:hAnsi="Times New Roman;serif"/>
                  <w:b w:val="false"/>
                  <w:color w:val="000080"/>
                  <w:sz w:val="20"/>
                  <w:u w:val="single"/>
                </w:rPr>
                <w:t>I</w:t>
              </w:r>
            </w:hyperlink>
            <w:hyperlink r:id="rId66">
              <w:r>
                <w:rPr>
                  <w:rStyle w:val="InternetLink"/>
                  <w:rFonts w:ascii="Times New Roman;serif" w:hAnsi="Times New Roman;serif"/>
                  <w:b w:val="false"/>
                  <w:color w:val="000080"/>
                  <w:sz w:val="20"/>
                  <w:u w:val="single"/>
                </w:rPr>
                <w:t>nc.</w:t>
              </w:r>
            </w:hyperlink>
            <w:hyperlink r:id="rId67">
              <w:r>
                <w:rPr>
                  <w:rStyle w:val="InternetLink"/>
                  <w:rFonts w:ascii="Times New Roman;serif" w:hAnsi="Times New Roman;serif"/>
                  <w:b w:val="false"/>
                  <w:color w:val="000080"/>
                  <w:sz w:val="20"/>
                  <w:u w:val="single"/>
                </w:rPr>
                <w:t>, the other U.S. borrowers party thereto, WESCO Distribution Canada LP, the other Canadian borrowers party thereto, WESCO</w:t>
              </w:r>
            </w:hyperlink>
            <w:hyperlink r:id="rId68">
              <w:r>
                <w:rPr>
                  <w:rStyle w:val="InternetLink"/>
                  <w:rFonts w:ascii="Times New Roman;serif" w:hAnsi="Times New Roman;serif"/>
                  <w:b w:val="false"/>
                  <w:color w:val="000080"/>
                  <w:sz w:val="20"/>
                  <w:u w:val="single"/>
                </w:rPr>
                <w:t xml:space="preserve"> International, Inc.</w:t>
              </w:r>
            </w:hyperlink>
            <w:hyperlink r:id="rId69">
              <w:r>
                <w:rPr>
                  <w:rStyle w:val="InternetLink"/>
                  <w:rFonts w:ascii="Times New Roman;serif" w:hAnsi="Times New Roman;serif"/>
                  <w:b w:val="false"/>
                  <w:color w:val="000080"/>
                  <w:sz w:val="20"/>
                  <w:u w:val="single"/>
                </w:rPr>
                <w:t>, the lenders party thereto and Barclays Bank PLC,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10.40 to Wesco’s Annual Report on Form 10-K for the year ended December 31, 2020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6"/>
        <w:gridCol w:w="217"/>
        <w:gridCol w:w="218"/>
        <w:gridCol w:w="109"/>
        <w:gridCol w:w="109"/>
        <w:gridCol w:w="109"/>
        <w:gridCol w:w="2219"/>
        <w:gridCol w:w="1969"/>
        <w:gridCol w:w="1946"/>
        <w:gridCol w:w="109"/>
        <w:gridCol w:w="109"/>
        <w:gridCol w:w="109"/>
        <w:gridCol w:w="984"/>
        <w:gridCol w:w="723"/>
        <w:gridCol w:w="1029"/>
      </w:tblGrid>
      <w:tr>
        <w:trPr/>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Filing or Sequential Page Number</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80"/>
                  <w:sz w:val="20"/>
                  <w:u w:val="single"/>
                </w:rPr>
                <w:t>First Amendment to Fifth Amended and Restated Receivables Purchase Agreement, dated</w:t>
              </w:r>
            </w:hyperlink>
            <w:hyperlink r:id="rId71">
              <w:r>
                <w:rPr>
                  <w:rStyle w:val="InternetLink"/>
                  <w:rFonts w:ascii="Times New Roman;serif" w:hAnsi="Times New Roman;serif"/>
                  <w:b w:val="false"/>
                  <w:color w:val="000080"/>
                  <w:sz w:val="20"/>
                  <w:u w:val="single"/>
                </w:rPr>
                <w:t xml:space="preserve"> as </w:t>
              </w:r>
            </w:hyperlink>
            <w:hyperlink r:id="rId72">
              <w:r>
                <w:rPr>
                  <w:rStyle w:val="InternetLink"/>
                  <w:rFonts w:ascii="Times New Roman;serif" w:hAnsi="Times New Roman;serif"/>
                  <w:b w:val="false"/>
                  <w:color w:val="000080"/>
                  <w:sz w:val="20"/>
                  <w:u w:val="single"/>
                </w:rPr>
                <w:t>of</w:t>
              </w:r>
            </w:hyperlink>
            <w:hyperlink r:id="rId73">
              <w:r>
                <w:rPr>
                  <w:rStyle w:val="InternetLink"/>
                  <w:rFonts w:ascii="Times New Roman;serif" w:hAnsi="Times New Roman;serif"/>
                  <w:b w:val="false"/>
                  <w:color w:val="000080"/>
                  <w:sz w:val="20"/>
                  <w:u w:val="single"/>
                </w:rPr>
                <w:t xml:space="preserve"> December 14, 2020</w:t>
              </w:r>
            </w:hyperlink>
            <w:hyperlink r:id="rId74">
              <w:r>
                <w:rPr>
                  <w:rStyle w:val="InternetLink"/>
                  <w:rFonts w:ascii="Times New Roman;serif" w:hAnsi="Times New Roman;serif"/>
                  <w:b w:val="false"/>
                  <w:color w:val="000080"/>
                  <w:sz w:val="20"/>
                  <w:u w:val="single"/>
                </w:rPr>
                <w:t>, by and among WESCO Receivables Corp., WESCO Distribution</w:t>
              </w:r>
            </w:hyperlink>
            <w:hyperlink r:id="rId75">
              <w:r>
                <w:rPr>
                  <w:rStyle w:val="InternetLink"/>
                  <w:rFonts w:ascii="Times New Roman;serif" w:hAnsi="Times New Roman;serif"/>
                  <w:b w:val="false"/>
                  <w:color w:val="000080"/>
                  <w:sz w:val="20"/>
                  <w:u w:val="single"/>
                </w:rPr>
                <w:t>, Inc.</w:t>
              </w:r>
            </w:hyperlink>
            <w:hyperlink r:id="rId76">
              <w:r>
                <w:rPr>
                  <w:rStyle w:val="InternetLink"/>
                  <w:rFonts w:ascii="Times New Roman;serif" w:hAnsi="Times New Roman;serif"/>
                  <w:b w:val="false"/>
                  <w:color w:val="000080"/>
                  <w:sz w:val="20"/>
                  <w:u w:val="single"/>
                </w:rPr>
                <w:t>, the various purchaser groups from time to time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10.41 to Wesco’s Annual Report on Form 10-K for the year ended December 31, 2020</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WESCO International, Inc. 2021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Appendix A to the Proxy Statement on Schedule 14A, filed on April 12, 2021</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erif" w:hAnsi="Times New Roman;serif"/>
                  <w:b w:val="false"/>
                  <w:color w:val="0000FF"/>
                  <w:sz w:val="20"/>
                  <w:u w:val="single"/>
                </w:rPr>
                <w:t>Second Amendment to Fifth Amended and Restated Receivables Purchase Agreement, dated as of March 8, 2021, by and among WESCO Receivables Corp., WESCO Distribution, Inc., the various purchaser groups from time to time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Quarterly Report on Form 10-Q for the quarter ended March 31, 2021</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Form of WESCO International, Inc. 2021 Omnibus Incentive Plan Restricted Stock Unit Award Agreement (for employees)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Current Report on Form 8-K, dated May 27, 2021</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20"/>
                  <w:u w:val="single"/>
                </w:rPr>
                <w:t>Form of WESCO International, Inc. 2021 Omnibus Incentive Plan Restricted Stock Unit Award Agreement (for non-employee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10.3 to Wesco’s Current Report on Form 8-K, dated May 27, 2021</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Form of WESCO International, Inc. 2021 Omnibus Incentive Plan Stock Appreciation Right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10.4 to Wesco’s Current Report on Form 8-K, dated May 27, 2021</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80"/>
                  <w:sz w:val="20"/>
                  <w:u w:val="single"/>
                </w:rPr>
                <w:t>Third Amendment to Fifth Amended and Restated Receivables Purchase Agreement, dated as of June 1, 2021</w:t>
              </w:r>
            </w:hyperlink>
            <w:hyperlink r:id="rId83">
              <w:r>
                <w:rPr>
                  <w:rStyle w:val="InternetLink"/>
                  <w:rFonts w:ascii="Times New Roman;serif" w:hAnsi="Times New Roman;serif"/>
                  <w:b w:val="false"/>
                  <w:color w:val="000080"/>
                  <w:sz w:val="20"/>
                  <w:u w:val="single"/>
                </w:rPr>
                <w:t>, by and among WESCO Receivables Corp., WESCO Distribution, Inc., the various purchaser groups from time to time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Quarterly Report on Form 10-Q for the quarter ended June 30, 2021</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erif" w:hAnsi="Times New Roman;serif"/>
                  <w:b w:val="false"/>
                  <w:color w:val="0000FF"/>
                  <w:sz w:val="20"/>
                  <w:u w:val="single"/>
                </w:rPr>
                <w:t>Form of WESCO International, Inc. 2021 Omnibus Incentive Plan Nonqualified Stock Option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February 16, 2022</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20"/>
                  <w:u w:val="single"/>
                </w:rPr>
                <w:t>Form of WESCO International, Inc. 2021 Omnibus Incentive Plan Performance Share Unit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Current Report on Form 8-K, dated February 16, 2022</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erif" w:hAnsi="Times New Roman;serif"/>
                  <w:b w:val="false"/>
                  <w:color w:val="0000FF"/>
                  <w:sz w:val="20"/>
                  <w:u w:val="single"/>
                </w:rPr>
                <w:t>Second Amendment to Fourth Amended and Restated Credit Agreement, dated as of March 1, 2022, by and among WESCO Distribution, Inc., the other U.S. borrowers party thereto, WESCO Distribution Canada LP, the other Canadian borrowers party thereto, WESCO International, Inc., the lenders party thereto and Barclays Bank PLC,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March 1, 2022</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Fourth Amendment to Fifth Amended and Restated Receivables Purchase Agreement, dated as of March 1, 2022, by and among WESCO Distribution, Inc., WESCO Receivables Corp., the various purchaser groups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Current Report on Form 8-K, dated March 1, 2022</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FF"/>
                  <w:sz w:val="20"/>
                  <w:u w:val="single"/>
                </w:rPr>
                <w:t>Agreement, dated May 28, 2020, memorializing terms of employment of William Geary by WESCO International,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Quarterly Report on Form 10-Q for the quarter ended March 31, 2022</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FF"/>
                  <w:sz w:val="20"/>
                  <w:u w:val="single"/>
                </w:rPr>
                <w:t>Third Amendment to Fourth Amended and Restated Credit Agreement, dated as of August 2, 2022, by and among WESCO Distribution, Inc., the other U.S. borrowers party thereto, WESCO Distribution Canada LP, the other Canadian borrowers party thereto, WESCO International, Inc., the lenders party thereto and Barclays Bank PLC.,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August 2, 2022</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6"/>
        <w:gridCol w:w="217"/>
        <w:gridCol w:w="218"/>
        <w:gridCol w:w="109"/>
        <w:gridCol w:w="109"/>
        <w:gridCol w:w="109"/>
        <w:gridCol w:w="2260"/>
        <w:gridCol w:w="1959"/>
        <w:gridCol w:w="1936"/>
        <w:gridCol w:w="109"/>
        <w:gridCol w:w="109"/>
        <w:gridCol w:w="109"/>
        <w:gridCol w:w="978"/>
        <w:gridCol w:w="717"/>
        <w:gridCol w:w="1020"/>
      </w:tblGrid>
      <w:tr>
        <w:trPr/>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Filing or Sequential Page Number</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erif" w:hAnsi="Times New Roman;serif"/>
                  <w:b w:val="false"/>
                  <w:color w:val="0000FF"/>
                  <w:sz w:val="20"/>
                  <w:u w:val="single"/>
                </w:rPr>
                <w:t>Fifth Amendment to Fifth Amended and Restated Receivables Purchase Agreement, dated as of August 2, 2022, by and among WESCO Distribution, Inc., WESCO Receivables Corp., the various purchaser groups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Current Report on Form 8-K, dated August 2, 2022</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erif" w:hAnsi="Times New Roman;serif"/>
                  <w:b w:val="false"/>
                  <w:color w:val="0000FF"/>
                  <w:sz w:val="20"/>
                  <w:u w:val="single"/>
                </w:rPr>
                <w:t>Fourth Amendment to Fourth Amended and Restated Credit Agreement, dated as of October 31, 2022, by and among WESCO Distribution, Inc., the other U.S. borrowers party thereto, WESCO Distribution Canada LP, the other Canadian borrowers party thereto, WESCO International, Inc., the lenders party thereto and Barclays Bank PLC.,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October 31, 2022</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erif" w:hAnsi="Times New Roman;serif"/>
                  <w:b w:val="false"/>
                  <w:color w:val="0000FF"/>
                  <w:sz w:val="20"/>
                  <w:u w:val="single"/>
                </w:rPr>
                <w:t>Sixth Amendment to Fifth Amended and Restated Receivables Purchase Agreement, dated as of October 31, 2022, by and among WESCO Distribution, Inc., WESCO Receivables Corp., the various purchaser groups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Current Report on Form 8-K, dated October 31, 2022</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erif" w:hAnsi="Times New Roman;serif"/>
                  <w:b w:val="false"/>
                  <w:color w:val="0000FF"/>
                  <w:sz w:val="20"/>
                  <w:u w:val="single"/>
                </w:rPr>
                <w:t>WESCO International, Inc. Non-Employee Directors’ Deferred Compensation Plan, effective as of December 8,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10.49 to Wesco’s Annual Report on Form 10-K for the year ended December 31, 2022</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erif" w:hAnsi="Times New Roman;serif"/>
                  <w:b w:val="false"/>
                  <w:color w:val="0000FF"/>
                  <w:sz w:val="20"/>
                  <w:u w:val="single"/>
                </w:rPr>
                <w:t>Agreement, dated October 20, 2020, memorializing terms of employment of Akash Khurana by WESCO International,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Quarterly Report on Form 10-Q for the quarter ended March 31, 2023</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erif" w:hAnsi="Times New Roman;serif"/>
                  <w:b w:val="false"/>
                  <w:color w:val="0000FF"/>
                  <w:sz w:val="20"/>
                  <w:u w:val="single"/>
                </w:rPr>
                <w:t>Agreement, dated June 22, 2020, memorializing terms of employment of James Cameron by WESCO International,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Quarterly Report on Form 10-Q for the quarter ended March 31, 2024</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erif" w:hAnsi="Times New Roman;serif"/>
                  <w:b w:val="false"/>
                  <w:color w:val="0000FF"/>
                  <w:sz w:val="20"/>
                  <w:u w:val="single"/>
                </w:rPr>
                <w:t>Fifth Amendment to Fourth Amended and Restated Credit Agreement, dated as of April 14, 2023, by and among WESCO Distribution, Inc., the other U.S. borrowers party thereto, WESCO Distribution Canada LP, the other Canadian borrowers party thereto, WESCO International, Inc., the lenders party thereto and Barclays Bank PLC.,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Quarterly Report on Form 10-Q for the quarter ended March 31, 2024</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erif" w:hAnsi="Times New Roman;serif"/>
                  <w:b w:val="false"/>
                  <w:color w:val="0000FF"/>
                  <w:sz w:val="20"/>
                  <w:u w:val="single"/>
                </w:rPr>
                <w:t>Seventh Amendment to Fifth Amended and Restated Receivables Purchase Agreement, dated as of April 26, 2023, by and among WESCO Distribution, Inc., WESCO Receivables Corp., the various purchasers and purchaser agents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10.3 to Wesco’s Quarterly Report on Form 10-Q for the quarter ended March 31, 2024</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erif" w:hAnsi="Times New Roman;serif"/>
                  <w:b w:val="false"/>
                  <w:color w:val="0000FF"/>
                  <w:sz w:val="20"/>
                  <w:u w:val="single"/>
                </w:rPr>
                <w:t>Sixth Amendment to Fourth Amended and Restated Credit Agreement, dated as of March 6, 2024, by and among WESCO Distribution, Inc., the other U.S. borrowers party thereto, WESCO Distribution Canada LP, the other Canadian borrowers party thereto, WESCO International, Inc., the lenders party thereto and Barclays Bank PLC.,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10.4 to Wesco’s Quarterly Report on Form 10-Q for the quarter ended March 31, 2024</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erif" w:hAnsi="Times New Roman;serif"/>
                  <w:b w:val="false"/>
                  <w:color w:val="0000FF"/>
                  <w:sz w:val="20"/>
                  <w:u w:val="single"/>
                </w:rPr>
                <w:t>Eighth Amendment to Fifth Amended and Restated Receivables Purchase Agreement, dated as of March 8, 2024, by and among WESCO Distribution, Inc., WESCO Receivables Corp., the various purchasers and purchaser agents party thereto and PNC Bank, National Association, as administrator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March 7, 2024</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erif" w:hAnsi="Times New Roman;serif"/>
                  <w:b w:val="false"/>
                  <w:color w:val="000080"/>
                  <w:sz w:val="20"/>
                  <w:u w:val="single"/>
                </w:rPr>
                <w:t>S</w:t>
              </w:r>
            </w:hyperlink>
            <w:hyperlink r:id="rId101">
              <w:r>
                <w:rPr>
                  <w:rStyle w:val="InternetLink"/>
                  <w:rFonts w:ascii="Times New Roman;serif" w:hAnsi="Times New Roman;serif"/>
                  <w:b w:val="false"/>
                  <w:color w:val="000080"/>
                  <w:sz w:val="20"/>
                  <w:u w:val="single"/>
                </w:rPr>
                <w:t>eventh Amendment to Fourth Amended and Restated Credit Agreement</w:t>
              </w:r>
            </w:hyperlink>
            <w:hyperlink r:id="rId102">
              <w:r>
                <w:rPr>
                  <w:rStyle w:val="InternetLink"/>
                  <w:rFonts w:ascii="Times New Roman;serif" w:hAnsi="Times New Roman;serif"/>
                  <w:b w:val="false"/>
                  <w:color w:val="000080"/>
                  <w:sz w:val="20"/>
                  <w:u w:val="single"/>
                </w:rPr>
                <w:t xml:space="preserve">, dated as </w:t>
              </w:r>
            </w:hyperlink>
            <w:hyperlink r:id="rId103">
              <w:r>
                <w:rPr>
                  <w:rStyle w:val="InternetLink"/>
                  <w:rFonts w:ascii="Times New Roman;serif" w:hAnsi="Times New Roman;serif"/>
                  <w:b w:val="false"/>
                  <w:color w:val="000080"/>
                  <w:sz w:val="20"/>
                  <w:u w:val="single"/>
                </w:rPr>
                <w:t>of F</w:t>
              </w:r>
            </w:hyperlink>
            <w:hyperlink r:id="rId104">
              <w:r>
                <w:rPr>
                  <w:rStyle w:val="InternetLink"/>
                  <w:rFonts w:ascii="Times New Roman;serif" w:hAnsi="Times New Roman;serif"/>
                  <w:b w:val="false"/>
                  <w:color w:val="000080"/>
                  <w:sz w:val="20"/>
                  <w:u w:val="single"/>
                </w:rPr>
                <w:t>ebruary 28, 2025, by and among Wesco Distribu</w:t>
              </w:r>
            </w:hyperlink>
            <w:hyperlink r:id="rId105">
              <w:r>
                <w:rPr>
                  <w:rStyle w:val="InternetLink"/>
                  <w:rFonts w:ascii="Times New Roman;serif" w:hAnsi="Times New Roman;serif"/>
                  <w:b w:val="false"/>
                  <w:color w:val="000080"/>
                  <w:sz w:val="20"/>
                  <w:u w:val="single"/>
                </w:rPr>
                <w:t>tion</w:t>
              </w:r>
            </w:hyperlink>
            <w:hyperlink r:id="rId106">
              <w:r>
                <w:rPr>
                  <w:rStyle w:val="InternetLink"/>
                  <w:rFonts w:ascii="Times New Roman;serif" w:hAnsi="Times New Roman;serif"/>
                  <w:b w:val="false"/>
                  <w:color w:val="000080"/>
                  <w:sz w:val="20"/>
                  <w:u w:val="single"/>
                </w:rPr>
                <w:t>, Inc.</w:t>
              </w:r>
            </w:hyperlink>
            <w:hyperlink r:id="rId107">
              <w:r>
                <w:rPr>
                  <w:rStyle w:val="InternetLink"/>
                  <w:rFonts w:ascii="Times New Roman;serif" w:hAnsi="Times New Roman;serif"/>
                  <w:b w:val="false"/>
                  <w:color w:val="000080"/>
                  <w:sz w:val="20"/>
                  <w:u w:val="single"/>
                </w:rPr>
                <w:t>, the other U.S. borrowers party thereto, WESCO Distribution Canada LP, the other Canadian borrowers party thereto, WESCO International, Inc., the lenders party thereto and Ba</w:t>
              </w:r>
            </w:hyperlink>
            <w:hyperlink r:id="rId108">
              <w:r>
                <w:rPr>
                  <w:rStyle w:val="InternetLink"/>
                  <w:rFonts w:ascii="Times New Roman;serif" w:hAnsi="Times New Roman;serif"/>
                  <w:b w:val="false"/>
                  <w:color w:val="000080"/>
                  <w:sz w:val="20"/>
                  <w:u w:val="single"/>
                </w:rPr>
                <w:t>rclays Bank PLC</w:t>
              </w:r>
            </w:hyperlink>
            <w:hyperlink r:id="rId109">
              <w:r>
                <w:rPr>
                  <w:rStyle w:val="InternetLink"/>
                  <w:rFonts w:ascii="Times New Roman;serif" w:hAnsi="Times New Roman;serif"/>
                  <w:b w:val="false"/>
                  <w:color w:val="000080"/>
                  <w:sz w:val="20"/>
                  <w:u w:val="single"/>
                </w:rPr>
                <w:t>, as administrati</w:t>
              </w:r>
            </w:hyperlink>
            <w:hyperlink r:id="rId110">
              <w:r>
                <w:rPr>
                  <w:rStyle w:val="InternetLink"/>
                  <w:rFonts w:ascii="Times New Roman;serif" w:hAnsi="Times New Roman;serif"/>
                  <w:b w:val="false"/>
                  <w:color w:val="000080"/>
                  <w:sz w:val="20"/>
                  <w:u w:val="single"/>
                </w:rPr>
                <w:t>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March 6, 2025</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9"/>
        <w:gridCol w:w="220"/>
        <w:gridCol w:w="221"/>
        <w:gridCol w:w="109"/>
        <w:gridCol w:w="109"/>
        <w:gridCol w:w="109"/>
        <w:gridCol w:w="2067"/>
        <w:gridCol w:w="1885"/>
        <w:gridCol w:w="1863"/>
        <w:gridCol w:w="109"/>
        <w:gridCol w:w="109"/>
        <w:gridCol w:w="109"/>
        <w:gridCol w:w="1068"/>
        <w:gridCol w:w="817"/>
        <w:gridCol w:w="116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Filing or Sequential Page Number</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erif" w:hAnsi="Times New Roman;serif"/>
                  <w:b w:val="false"/>
                  <w:color w:val="000080"/>
                  <w:sz w:val="20"/>
                  <w:u w:val="single"/>
                </w:rPr>
                <w:t>N</w:t>
              </w:r>
            </w:hyperlink>
            <w:hyperlink r:id="rId112">
              <w:r>
                <w:rPr>
                  <w:rStyle w:val="InternetLink"/>
                  <w:rFonts w:ascii="Times New Roman;serif" w:hAnsi="Times New Roman;serif"/>
                  <w:b w:val="false"/>
                  <w:color w:val="000080"/>
                  <w:sz w:val="20"/>
                  <w:u w:val="single"/>
                </w:rPr>
                <w:t>inth Amendment to Fifth Amended and Restated Receivables P</w:t>
              </w:r>
            </w:hyperlink>
            <w:hyperlink r:id="rId113">
              <w:r>
                <w:rPr>
                  <w:rStyle w:val="InternetLink"/>
                  <w:rFonts w:ascii="Times New Roman;serif" w:hAnsi="Times New Roman;serif"/>
                  <w:b w:val="false"/>
                  <w:color w:val="000080"/>
                  <w:sz w:val="20"/>
                  <w:u w:val="single"/>
                </w:rPr>
                <w:t>urchase Agreem</w:t>
              </w:r>
            </w:hyperlink>
            <w:hyperlink r:id="rId114">
              <w:r>
                <w:rPr>
                  <w:rStyle w:val="InternetLink"/>
                  <w:rFonts w:ascii="Times New Roman;serif" w:hAnsi="Times New Roman;serif"/>
                  <w:b w:val="false"/>
                  <w:color w:val="000080"/>
                  <w:sz w:val="20"/>
                  <w:u w:val="single"/>
                </w:rPr>
                <w:t>ent, dat</w:t>
              </w:r>
            </w:hyperlink>
            <w:hyperlink r:id="rId115">
              <w:r>
                <w:rPr>
                  <w:rStyle w:val="InternetLink"/>
                  <w:rFonts w:ascii="Times New Roman;serif" w:hAnsi="Times New Roman;serif"/>
                  <w:b w:val="false"/>
                  <w:color w:val="000080"/>
                  <w:sz w:val="20"/>
                  <w:u w:val="single"/>
                </w:rPr>
                <w:t>ed as of February 28, 2025, by and among Wesco Distribution</w:t>
              </w:r>
            </w:hyperlink>
            <w:hyperlink r:id="rId116">
              <w:r>
                <w:rPr>
                  <w:rStyle w:val="InternetLink"/>
                  <w:rFonts w:ascii="Times New Roman;serif" w:hAnsi="Times New Roman;serif"/>
                  <w:b w:val="false"/>
                  <w:color w:val="000080"/>
                  <w:sz w:val="20"/>
                  <w:u w:val="single"/>
                </w:rPr>
                <w:t>, Inc.</w:t>
              </w:r>
            </w:hyperlink>
            <w:hyperlink r:id="rId117">
              <w:r>
                <w:rPr>
                  <w:rStyle w:val="InternetLink"/>
                  <w:rFonts w:ascii="Times New Roman;serif" w:hAnsi="Times New Roman;serif"/>
                  <w:b w:val="false"/>
                  <w:color w:val="000080"/>
                  <w:sz w:val="20"/>
                  <w:u w:val="single"/>
                </w:rPr>
                <w:t>, WESCO Receivables Corp</w:t>
              </w:r>
            </w:hyperlink>
            <w:hyperlink r:id="rId118">
              <w:r>
                <w:rPr>
                  <w:rStyle w:val="InternetLink"/>
                  <w:rFonts w:ascii="Times New Roman;serif" w:hAnsi="Times New Roman;serif"/>
                  <w:b w:val="false"/>
                  <w:color w:val="000080"/>
                  <w:sz w:val="20"/>
                  <w:u w:val="single"/>
                </w:rPr>
                <w:t>., the various purchasers and purc</w:t>
              </w:r>
            </w:hyperlink>
            <w:hyperlink r:id="rId119">
              <w:r>
                <w:rPr>
                  <w:rStyle w:val="InternetLink"/>
                  <w:rFonts w:ascii="Times New Roman;serif" w:hAnsi="Times New Roman;serif"/>
                  <w:b w:val="false"/>
                  <w:color w:val="000080"/>
                  <w:sz w:val="20"/>
                  <w:u w:val="single"/>
                </w:rPr>
                <w:t xml:space="preserve">haser agents </w:t>
              </w:r>
            </w:hyperlink>
            <w:hyperlink r:id="rId120">
              <w:r>
                <w:rPr>
                  <w:rStyle w:val="InternetLink"/>
                  <w:rFonts w:ascii="Times New Roman;serif" w:hAnsi="Times New Roman;serif"/>
                  <w:b w:val="false"/>
                  <w:color w:val="000080"/>
                  <w:sz w:val="20"/>
                  <w:u w:val="single"/>
                </w:rPr>
                <w:t>party thereto and P</w:t>
              </w:r>
            </w:hyperlink>
            <w:hyperlink r:id="rId121">
              <w:r>
                <w:rPr>
                  <w:rStyle w:val="InternetLink"/>
                  <w:rFonts w:ascii="Times New Roman;serif" w:hAnsi="Times New Roman;serif"/>
                  <w:b w:val="false"/>
                  <w:color w:val="000080"/>
                  <w:sz w:val="20"/>
                  <w:u w:val="single"/>
                </w:rPr>
                <w:t>NC Bank, National Association, as adminis</w:t>
              </w:r>
            </w:hyperlink>
            <w:hyperlink r:id="rId122">
              <w:r>
                <w:rPr>
                  <w:rStyle w:val="InternetLink"/>
                  <w:rFonts w:ascii="Times New Roman;serif" w:hAnsi="Times New Roman;serif"/>
                  <w:b w:val="false"/>
                  <w:color w:val="000080"/>
                  <w:sz w:val="20"/>
                  <w:u w:val="single"/>
                </w:rPr>
                <w:t>trator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10.2 to Wesco’s Current Report on Form 8-K, dated March 6, 2025</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3">
              <w:r>
                <w:rPr>
                  <w:rStyle w:val="InternetLink"/>
                  <w:rFonts w:ascii="Times New Roman;serif" w:hAnsi="Times New Roman;serif"/>
                  <w:b w:val="false"/>
                  <w:color w:val="000080"/>
                  <w:sz w:val="20"/>
                  <w:u w:val="single"/>
                </w:rPr>
                <w:t>F</w:t>
              </w:r>
            </w:hyperlink>
            <w:hyperlink r:id="rId124">
              <w:r>
                <w:rPr>
                  <w:rStyle w:val="InternetLink"/>
                  <w:rFonts w:ascii="Times New Roman;serif" w:hAnsi="Times New Roman;serif"/>
                  <w:b w:val="false"/>
                  <w:color w:val="000080"/>
                  <w:sz w:val="20"/>
                  <w:u w:val="single"/>
                </w:rPr>
                <w:t>orm of WESCO In</w:t>
              </w:r>
            </w:hyperlink>
            <w:hyperlink r:id="rId125">
              <w:r>
                <w:rPr>
                  <w:rStyle w:val="InternetLink"/>
                  <w:rFonts w:ascii="Times New Roman;serif" w:hAnsi="Times New Roman;serif"/>
                  <w:b w:val="false"/>
                  <w:color w:val="000080"/>
                  <w:sz w:val="20"/>
                  <w:u w:val="single"/>
                </w:rPr>
                <w:t>ternational, Inc. 2021 Omnibus Incentive Plan Performance Share Unit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Quarterly Report on Form 10-Q for the quarter ended March 31, 2025</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6">
              <w:r>
                <w:rPr>
                  <w:rStyle w:val="InternetLink"/>
                  <w:rFonts w:ascii="Times New Roman;serif" w:hAnsi="Times New Roman;serif"/>
                  <w:b w:val="false"/>
                  <w:color w:val="000080"/>
                  <w:sz w:val="20"/>
                  <w:u w:val="single"/>
                </w:rPr>
                <w:t>R</w:t>
              </w:r>
            </w:hyperlink>
            <w:hyperlink r:id="rId127">
              <w:r>
                <w:rPr>
                  <w:rStyle w:val="InternetLink"/>
                  <w:rFonts w:ascii="Times New Roman;serif" w:hAnsi="Times New Roman;serif"/>
                  <w:b w:val="false"/>
                  <w:color w:val="000080"/>
                  <w:sz w:val="20"/>
                  <w:u w:val="single"/>
                </w:rPr>
                <w:t xml:space="preserve">elease </w:t>
              </w:r>
            </w:hyperlink>
            <w:hyperlink r:id="rId128">
              <w:r>
                <w:rPr>
                  <w:rStyle w:val="InternetLink"/>
                  <w:rFonts w:ascii="Times New Roman;serif" w:hAnsi="Times New Roman;serif"/>
                  <w:b w:val="false"/>
                  <w:color w:val="000080"/>
                  <w:sz w:val="20"/>
                  <w:u w:val="single"/>
                </w:rPr>
                <w:t>Agreement, dated Augus</w:t>
              </w:r>
            </w:hyperlink>
            <w:hyperlink r:id="rId129">
              <w:r>
                <w:rPr>
                  <w:rStyle w:val="InternetLink"/>
                  <w:rFonts w:ascii="Times New Roman;serif" w:hAnsi="Times New Roman;serif"/>
                  <w:b w:val="false"/>
                  <w:color w:val="000080"/>
                  <w:sz w:val="20"/>
                  <w:u w:val="single"/>
                </w:rPr>
                <w:t>t 20, 2025 by and among WESCO International</w:t>
              </w:r>
            </w:hyperlink>
            <w:hyperlink r:id="rId130">
              <w:r>
                <w:rPr>
                  <w:rStyle w:val="InternetLink"/>
                  <w:rFonts w:ascii="Times New Roman;serif" w:hAnsi="Times New Roman;serif"/>
                  <w:b w:val="false"/>
                  <w:color w:val="000080"/>
                  <w:sz w:val="20"/>
                  <w:u w:val="single"/>
                </w:rPr>
                <w:t>, Inc., WESCO Distribution, In</w:t>
              </w:r>
            </w:hyperlink>
            <w:hyperlink r:id="rId131">
              <w:r>
                <w:rPr>
                  <w:rStyle w:val="InternetLink"/>
                  <w:rFonts w:ascii="Times New Roman;serif" w:hAnsi="Times New Roman;serif"/>
                  <w:b w:val="false"/>
                  <w:color w:val="000080"/>
                  <w:sz w:val="20"/>
                  <w:u w:val="single"/>
                </w:rPr>
                <w:t>c., and Nelson Squires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Quarterly Report on Form 10-Q for the quarter ended September 30, 2025</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2025ex1059.htm">
              <w:r>
                <w:rPr>
                  <w:rStyle w:val="InternetLink"/>
                  <w:rFonts w:ascii="Times New Roman;serif" w:hAnsi="Times New Roman;serif"/>
                  <w:b w:val="false"/>
                  <w:color w:val="0000FF"/>
                  <w:sz w:val="20"/>
                  <w:u w:val="single"/>
                </w:rPr>
                <w:t>Agreement, dated December 17, 2025, memorializing terms of employment of Indraneel Dev by WESCO International,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2">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19.1 to Wesco’s Annual Report on Form 10-K for the year ended December 31,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
        <w:gridCol w:w="238"/>
        <w:gridCol w:w="239"/>
        <w:gridCol w:w="109"/>
        <w:gridCol w:w="109"/>
        <w:gridCol w:w="109"/>
        <w:gridCol w:w="1566"/>
        <w:gridCol w:w="1337"/>
        <w:gridCol w:w="1312"/>
        <w:gridCol w:w="109"/>
        <w:gridCol w:w="109"/>
        <w:gridCol w:w="109"/>
        <w:gridCol w:w="1477"/>
        <w:gridCol w:w="1286"/>
        <w:gridCol w:w="1826"/>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Filing or Sequential Page Number</w:t>
            </w:r>
          </w:p>
        </w:tc>
      </w:tr>
      <w:tr>
        <w:trPr/>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wcc-2025ex211.htm">
              <w:r>
                <w:rPr>
                  <w:rStyle w:val="InternetLink"/>
                  <w:rFonts w:ascii="Times New Roman;serif" w:hAnsi="Times New Roman;serif"/>
                  <w:b w:val="false"/>
                  <w:color w:val="0000FF"/>
                  <w:sz w:val="20"/>
                  <w:u w:val="single"/>
                </w:rPr>
                <w:t>Subsidiaries of WESCO International, Inc.</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2025ex231.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2025ex311.htm">
              <w:r>
                <w:rPr>
                  <w:rStyle w:val="InternetLink"/>
                  <w:rFonts w:ascii="Times New Roman;serif" w:hAnsi="Times New Roman;serif"/>
                  <w:b w:val="false"/>
                  <w:color w:val="0000FF"/>
                  <w:sz w:val="20"/>
                  <w:u w:val="single"/>
                </w:rPr>
                <w:t>Certification of Chief Executive Officer pursuant to Rule 13a-14(a) promulgated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2025ex312.htm">
              <w:r>
                <w:rPr>
                  <w:rStyle w:val="InternetLink"/>
                  <w:rFonts w:ascii="Times New Roman;serif" w:hAnsi="Times New Roman;serif"/>
                  <w:b w:val="false"/>
                  <w:color w:val="0000FF"/>
                  <w:sz w:val="20"/>
                  <w:u w:val="single"/>
                </w:rPr>
                <w:t>Certification of Chief Financial Officer pursuant to Rule 13a-14(a) promulgated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2025ex321.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2025ex322.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3">
              <w:r>
                <w:rPr>
                  <w:rStyle w:val="InternetLink"/>
                  <w:rFonts w:ascii="Times New Roman;serif" w:hAnsi="Times New Roman;serif"/>
                  <w:b w:val="false"/>
                  <w:color w:val="0000FF"/>
                  <w:sz w:val="20"/>
                  <w:u w:val="single"/>
                </w:rPr>
                <w:t>WESCO International, Inc.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Incorporated by reference to Exhibit 97 to Wesco’s Annual Report on Form 10-K for the year ended December 31, 2023 </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registrant hereby agrees to furnish supplementally to the Commission, upon request, a copy of any omitted schedule to any of the agreements contained herein.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Copies of exhibits may be retrieved electronically at the U.S. Securities and Exchange Commission’s home page at www.sec.gov. Exhibits will also be furnished without charge by writing to David S. Schulz, Executive Vice President and Chief Financial Officer, 225 West Station Square Drive, Suite 700, Pittsburgh, Pennsylvania 15219. Requests may also be directed to (412) 454-2200.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Schedule II—Valuation and Qualifying Accounts</w:t>
      </w:r>
    </w:p>
    <w:p>
      <w:pPr>
        <w:pStyle w:val="TextBody"/>
        <w:bidi w:val="0"/>
        <w:spacing w:before="0" w:after="0"/>
        <w:jc w:val="left"/>
        <w:rPr/>
      </w:pPr>
      <w:r>
        <w:rPr/>
      </w:r>
    </w:p>
    <w:tbl>
      <w:tblPr>
        <w:tblW w:w="8223" w:type="dxa"/>
        <w:jc w:val="center"/>
        <w:tblInd w:w="0" w:type="dxa"/>
        <w:tblLayout w:type="fixed"/>
        <w:tblCellMar>
          <w:top w:w="28" w:type="dxa"/>
          <w:left w:w="28" w:type="dxa"/>
          <w:bottom w:w="28" w:type="dxa"/>
          <w:right w:w="28" w:type="dxa"/>
        </w:tblCellMar>
      </w:tblPr>
      <w:tblGrid>
        <w:gridCol w:w="1114"/>
        <w:gridCol w:w="977"/>
        <w:gridCol w:w="983"/>
        <w:gridCol w:w="228"/>
        <w:gridCol w:w="553"/>
        <w:gridCol w:w="118"/>
        <w:gridCol w:w="109"/>
        <w:gridCol w:w="109"/>
        <w:gridCol w:w="109"/>
        <w:gridCol w:w="247"/>
        <w:gridCol w:w="600"/>
        <w:gridCol w:w="128"/>
        <w:gridCol w:w="109"/>
        <w:gridCol w:w="109"/>
        <w:gridCol w:w="109"/>
        <w:gridCol w:w="280"/>
        <w:gridCol w:w="699"/>
        <w:gridCol w:w="146"/>
        <w:gridCol w:w="109"/>
        <w:gridCol w:w="109"/>
        <w:gridCol w:w="109"/>
        <w:gridCol w:w="281"/>
        <w:gridCol w:w="683"/>
        <w:gridCol w:w="205"/>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w:t>
              <w:br/>
              <w:t>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of period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Deductions</w:t>
            </w:r>
            <w:r>
              <w:rPr>
                <w:rFonts w:ascii="Times New Roman;serif" w:hAnsi="Times New Roman;serif"/>
                <w:b/>
                <w:color w:val="000000"/>
                <w:sz w:val="12"/>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 of period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51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i/>
          <w:color w:val="000000"/>
          <w:sz w:val="13"/>
        </w:rPr>
        <w:t>(1)</w:t>
      </w:r>
      <w:r>
        <w:rPr>
          <w:rFonts w:ascii="Times New Roman;serif" w:hAnsi="Times New Roman;serif"/>
          <w:b w:val="false"/>
          <w:i/>
          <w:color w:val="000000"/>
          <w:sz w:val="20"/>
        </w:rPr>
        <w:t>Includes a reduction in the allowance for expected credit losses due to the write-off of trade accounts receivable.</w:t>
      </w:r>
    </w:p>
    <w:p>
      <w:pPr>
        <w:pStyle w:val="TextBody"/>
        <w:bidi w:val="0"/>
        <w:spacing w:before="60" w:after="283"/>
        <w:ind w:left="0" w:right="0" w:firstLine="90"/>
        <w:jc w:val="left"/>
        <w:rPr/>
      </w:pPr>
      <w:r>
        <w:rPr/>
      </w:r>
    </w:p>
    <w:tbl>
      <w:tblPr>
        <w:tblW w:w="7922" w:type="dxa"/>
        <w:jc w:val="center"/>
        <w:tblInd w:w="0" w:type="dxa"/>
        <w:tblLayout w:type="fixed"/>
        <w:tblCellMar>
          <w:top w:w="28" w:type="dxa"/>
          <w:left w:w="28" w:type="dxa"/>
          <w:bottom w:w="28" w:type="dxa"/>
          <w:right w:w="28" w:type="dxa"/>
        </w:tblCellMar>
      </w:tblPr>
      <w:tblGrid>
        <w:gridCol w:w="1005"/>
        <w:gridCol w:w="882"/>
        <w:gridCol w:w="887"/>
        <w:gridCol w:w="228"/>
        <w:gridCol w:w="553"/>
        <w:gridCol w:w="118"/>
        <w:gridCol w:w="109"/>
        <w:gridCol w:w="109"/>
        <w:gridCol w:w="109"/>
        <w:gridCol w:w="247"/>
        <w:gridCol w:w="600"/>
        <w:gridCol w:w="128"/>
        <w:gridCol w:w="109"/>
        <w:gridCol w:w="109"/>
        <w:gridCol w:w="109"/>
        <w:gridCol w:w="319"/>
        <w:gridCol w:w="639"/>
        <w:gridCol w:w="166"/>
        <w:gridCol w:w="109"/>
        <w:gridCol w:w="109"/>
        <w:gridCol w:w="109"/>
        <w:gridCol w:w="281"/>
        <w:gridCol w:w="683"/>
        <w:gridCol w:w="205"/>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w:t>
              <w:br/>
              <w:t>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of period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Deductions</w:t>
            </w:r>
            <w:r>
              <w:rPr>
                <w:rFonts w:ascii="Times New Roman;serif" w:hAnsi="Times New Roman;serif"/>
                <w:b/>
                <w:color w:val="000000"/>
                <w:sz w:val="12"/>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 of period</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deferred tax assets</w:t>
            </w:r>
          </w:p>
        </w:tc>
        <w:tc>
          <w:tcPr>
            <w:tcW w:w="51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i/>
          <w:color w:val="000000"/>
          <w:sz w:val="13"/>
        </w:rPr>
        <w:t>(1)</w:t>
      </w:r>
      <w:r>
        <w:rPr>
          <w:rFonts w:ascii="Times New Roman;serif" w:hAnsi="Times New Roman;serif"/>
          <w:b w:val="false"/>
          <w:i/>
          <w:color w:val="000000"/>
          <w:sz w:val="20"/>
        </w:rPr>
        <w:t>For the years ended December 31, 2025, December 31, 2024 and December 31, 2023, deductions primarily relate to a decrease in the valuation allowance recorded against deferred tax assets related to certain foreign jurisdictions.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right"/>
        <w:rPr/>
      </w:pPr>
      <w:r>
        <w:rPr/>
      </w:r>
    </w:p>
    <w:tbl>
      <w:tblPr>
        <w:tblW w:w="6376" w:type="dxa"/>
        <w:jc w:val="right"/>
        <w:tblInd w:w="0" w:type="dxa"/>
        <w:tblLayout w:type="fixed"/>
        <w:tblCellMar>
          <w:top w:w="28" w:type="dxa"/>
          <w:left w:w="28" w:type="dxa"/>
          <w:bottom w:w="28" w:type="dxa"/>
          <w:right w:w="28" w:type="dxa"/>
        </w:tblCellMar>
      </w:tblPr>
      <w:tblGrid>
        <w:gridCol w:w="354"/>
        <w:gridCol w:w="311"/>
        <w:gridCol w:w="311"/>
        <w:gridCol w:w="311"/>
        <w:gridCol w:w="311"/>
        <w:gridCol w:w="311"/>
        <w:gridCol w:w="1362"/>
        <w:gridCol w:w="1362"/>
        <w:gridCol w:w="1371"/>
        <w:gridCol w:w="109"/>
        <w:gridCol w:w="109"/>
        <w:gridCol w:w="154"/>
      </w:tblGrid>
      <w:tr>
        <w:trPr/>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WESCO INTERNATIONAL, INC.</w:t>
              <w:b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0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ENGEL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 Engel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tbl>
      <w:tblPr>
        <w:tblW w:w="6754" w:type="dxa"/>
        <w:jc w:val="right"/>
        <w:tblInd w:w="0" w:type="dxa"/>
        <w:tblLayout w:type="fixed"/>
        <w:tblCellMar>
          <w:top w:w="28" w:type="dxa"/>
          <w:left w:w="28" w:type="dxa"/>
          <w:bottom w:w="28" w:type="dxa"/>
          <w:right w:w="28" w:type="dxa"/>
        </w:tblCellMar>
      </w:tblPr>
      <w:tblGrid>
        <w:gridCol w:w="354"/>
        <w:gridCol w:w="311"/>
        <w:gridCol w:w="311"/>
        <w:gridCol w:w="322"/>
        <w:gridCol w:w="322"/>
        <w:gridCol w:w="322"/>
        <w:gridCol w:w="1475"/>
        <w:gridCol w:w="1475"/>
        <w:gridCol w:w="1490"/>
        <w:gridCol w:w="109"/>
        <w:gridCol w:w="109"/>
        <w:gridCol w:w="154"/>
      </w:tblGrid>
      <w:tr>
        <w:trPr/>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WESCO INTERNATIONAL, INC.</w:t>
              <w:b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4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 SCHULZ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S. Schulz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470e0c5eac544749808d0a156f25252d_7">
        <w:r>
          <w:rPr>
            <w:rStyle w:val="InternetLink"/>
            <w:rFonts w:ascii="Times New Roman;serif" w:hAnsi="Times New Roman;serif"/>
            <w:b/>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936"/>
        <w:gridCol w:w="774"/>
        <w:gridCol w:w="779"/>
        <w:gridCol w:w="109"/>
        <w:gridCol w:w="109"/>
        <w:gridCol w:w="109"/>
        <w:gridCol w:w="1841"/>
        <w:gridCol w:w="1826"/>
        <w:gridCol w:w="1848"/>
        <w:gridCol w:w="109"/>
        <w:gridCol w:w="109"/>
        <w:gridCol w:w="109"/>
        <w:gridCol w:w="450"/>
        <w:gridCol w:w="450"/>
        <w:gridCol w:w="647"/>
      </w:tblGrid>
      <w:tr>
        <w:trPr/>
        <w:tc>
          <w:tcPr>
            <w:tcW w:w="93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w:t>
            </w:r>
          </w:p>
        </w:tc>
      </w:tr>
      <w:tr>
        <w:trPr/>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J. ENGEL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J. Engel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S. SCHULZ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S. Schulz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S. KULASA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Corporate Controller,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S. Kulasa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GLYNIS A. BRYAN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Glynis A. Bryan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MICHAEL L. 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Michael L. 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ANNE M. COONEY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Anne M. Cooney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J. ESPE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Espe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BOBBY J. GRIFFIN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Bobby J. Griffin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SUNDARAM NAGARAJAN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Sundaram Nagarajan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A. RAYMUND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A. Raymund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L. SINGLETON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L. Singleton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EASWARAN SUNDARAM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Easwaran Sundaram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K.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K.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DAVID C. WAJSGRAS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David C. Wajsgras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Exhibit 4.11</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REGISTRANT’S SECURITIES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REGISTERED PURSUANT TO SECTION 12 OF THE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76" w:before="0" w:after="0"/>
        <w:ind w:left="0" w:right="0" w:firstLine="405"/>
        <w:jc w:val="both"/>
        <w:rPr>
          <w:rFonts w:ascii="Times New Roman;serif" w:hAnsi="Times New Roman;serif"/>
          <w:b w:val="false"/>
          <w:i/>
          <w:color w:val="000000"/>
          <w:sz w:val="20"/>
        </w:rPr>
      </w:pPr>
      <w:r>
        <w:rPr>
          <w:rFonts w:ascii="Times New Roman;serif" w:hAnsi="Times New Roman;serif"/>
          <w:b w:val="false"/>
          <w:i/>
          <w:color w:val="000000"/>
          <w:sz w:val="20"/>
        </w:rPr>
        <w:t>As of December 31, 2025, WESCO International, Inc. (“Wesco,” “we,” “us,” and “our”) had one class of securities registered under Section 12 of the Securities Exchange Act of 1934, as amended: our common stock, $0.01 par value per share. The following description of the material terms of our common stock is a summary only and does not purport to be complete. It is subject to and qualified in its entirety by express reference to our Restated Certificate of Incorporation, dated July 16, 2025 (the “Certificate of Incorporation”) and our amended and restated bylaws, dated July 16, 2025 (the “Bylaws”), each of which is filed as an exhibit to this Annual Report on Form 10-K and is incorporated by reference herein. We encourage you to read our Certificate of Incorporation, our Bylaws, and the applicable provisions of the Delaware General Corporation Law (“DGCL”) for additional information.</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Authorized Capital Stock</w:t>
      </w:r>
    </w:p>
    <w:p>
      <w:pPr>
        <w:pStyle w:val="TextBody"/>
        <w:bidi w:val="0"/>
        <w:spacing w:lineRule="auto" w:line="333" w:before="12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Under the Certificate of Incorporation, our authorized capital stock consists of 210,000,000 shares of common stock, $0.01 par value per share, 20,000,000 shares of Class B nonvoting convertible common stock, $0.01 par value per share, and 20,000,000 shares of preferred stock, $0.01 par value per share. As of February 12, 2026, no shares of Class B common stock and no shares of preferred stock are issued and outstanding. All outstanding shares of our common stock are duly authorized, validly issued, fully paid and non-assessable.</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lineRule="auto" w:line="333" w:before="12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Holders of common stock are entitled to one vote per share on all matters to be voted on by the stockholders. Holders of common stock do not have cumulative rights, so that holders of a majority of the shares of the common stock present at a meeting at which a quorum is present are able to elect all of the directors eligible for election in a given year. The holders of a majority of the voting power of the issued and outstanding common stock constitute a quorum.</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Dividend Rights</w:t>
      </w:r>
    </w:p>
    <w:p>
      <w:pPr>
        <w:pStyle w:val="TextBody"/>
        <w:bidi w:val="0"/>
        <w:spacing w:lineRule="auto" w:line="333" w:before="12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When and as dividends are declared by Wesco’s board of directors (“Board”), whether such dividends are payable in cash, property or securities, the holders of our common stock and the holders of our Class B common stock will be entitled to share ratably in such dividends. If dividends are declared which are payable in shares of common stock or shares of Class B common stock, the dividends payable in shares of common stock will be payable to holders of common stock, and the dividends payable in shares of Class B common stock will be payable to the holders of Class B common stock. Our Board may declare dividends at any regular or special meeting of the Board out of funds legally available therefor, subject to the preferential rights of any holder of preferred stock that may from time to time be outstanding.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333" w:before="12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New York Stock Exchange under the symbol “WCC.”</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333" w:before="12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WESCO common stock is Computershare Trust Company.</w:t>
      </w:r>
    </w:p>
    <w:p>
      <w:pPr>
        <w:pStyle w:val="TextBody"/>
        <w:bidi w:val="0"/>
        <w:spacing w:before="120" w:after="283"/>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Exhibit 4.11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333"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noted above,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lineRule="auto" w:line="333"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is authorized to provide by resolution or resolutions from time to time for the issue of preferred stock in one or more series, the shares of each of which series may have such voting powers, full or limited, or no voting powers, and such designations, preferences and relative, participating, optional or other special rights, and qualifications, limitations or restrictions thereon, as is permitted under the DGCL and as is stated in the resolution or resolutions providing for the issue of such stock adopted by the Board pursuant to the authority expressly vested in the Board.</w:t>
      </w:r>
    </w:p>
    <w:p>
      <w:pPr>
        <w:pStyle w:val="TextBody"/>
        <w:bidi w:val="0"/>
        <w:spacing w:lineRule="auto" w:line="333"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Depending upon the terms of the preferred stock established by the Board, any or all series of preferred stock could have preferences over the common stock and Class B common stock with respect to dividends and other distributions and upon liquidation or could have voting or conversion rights that could adversely affect the holders of the outstanding common stock.</w:t>
      </w:r>
    </w:p>
    <w:p>
      <w:pPr>
        <w:pStyle w:val="TextBody"/>
        <w:bidi w:val="0"/>
        <w:spacing w:lineRule="auto" w:line="333" w:before="120" w:after="283"/>
        <w:ind w:left="0" w:right="0" w:firstLine="360"/>
        <w:jc w:val="both"/>
        <w:rPr/>
      </w:pPr>
      <w:r>
        <w:rPr>
          <w:rFonts w:ascii="Times New Roman;serif" w:hAnsi="Times New Roman;serif"/>
          <w:b w:val="false"/>
          <w:i/>
          <w:color w:val="000000"/>
          <w:sz w:val="20"/>
        </w:rPr>
        <w:t>Dividend Rights.</w:t>
      </w:r>
      <w:r>
        <w:rPr>
          <w:color w:val="000000"/>
        </w:rPr>
        <w:t xml:space="preserve"> </w:t>
      </w:r>
      <w:r>
        <w:rPr>
          <w:rFonts w:ascii="Times New Roman;serif" w:hAnsi="Times New Roman;serif"/>
          <w:b w:val="false"/>
          <w:color w:val="000000"/>
          <w:sz w:val="20"/>
        </w:rPr>
        <w:t>The preferred stock will be preferred over the common stock and the Class B common stock as to payment of dividends. Before any dividends or distributions (other than dividends or distributions payable in common stock) on the common stock will be declared and set apart for payment or paid, the holders of shares of each series of preferred stock will be entitled to receive dividends when, as and if declared by our Board. Wesco will pay those dividends either in cash, shares of common stock or preferred stock or otherwise, at the rate and on the date or dates set forth in the applicable terms of the series of preferred stock. With respect to each series of preferred stock, the dividends on each share of the series will be cumulative from the date of issue of the share unless another date is set forth in the applicable terms of the series of preferred stock. Accruals of dividends will not bear interest.</w:t>
      </w:r>
    </w:p>
    <w:p>
      <w:pPr>
        <w:pStyle w:val="TextBody"/>
        <w:bidi w:val="0"/>
        <w:spacing w:lineRule="auto" w:line="333" w:before="120" w:after="283"/>
        <w:ind w:left="0" w:right="0" w:firstLine="360"/>
        <w:jc w:val="both"/>
        <w:rPr/>
      </w:pPr>
      <w:r>
        <w:rPr>
          <w:rFonts w:ascii="Times New Roman;serif" w:hAnsi="Times New Roman;serif"/>
          <w:b w:val="false"/>
          <w:i/>
          <w:color w:val="000000"/>
          <w:sz w:val="20"/>
        </w:rPr>
        <w:t>Rights Upon Liquidation.</w:t>
      </w:r>
      <w:r>
        <w:rPr>
          <w:color w:val="000000"/>
        </w:rPr>
        <w:t xml:space="preserve"> </w:t>
      </w:r>
      <w:r>
        <w:rPr>
          <w:rFonts w:ascii="Times New Roman;serif" w:hAnsi="Times New Roman;serif"/>
          <w:b w:val="false"/>
          <w:color w:val="000000"/>
          <w:sz w:val="20"/>
        </w:rPr>
        <w:t>The preferred stock will be preferred over the common stock and the Class B common stock as to assets so that the holders of each series of preferred stock will be entitled to be paid, upon Wesco’s voluntary or involuntary liquidation, dissolution or winding up and before any distribution is made to the holders of such common stock, the amount set forth in the applicable terms of the series of preferred stock. However, in this case the holders of preferred stock will not be entitled to any other or further payment. If upon any liquidation, dissolution or winding up our net assets are insufficient to permit the payment in full of the respective amounts to which the holders of all outstanding preferred stock are entitled, our entire remaining net assets will be distributed among the holders of each series of preferred stock in amounts proportional to the full amounts to which the holders of each series are entitled.</w:t>
      </w:r>
    </w:p>
    <w:p>
      <w:pPr>
        <w:pStyle w:val="TextBody"/>
        <w:bidi w:val="0"/>
        <w:spacing w:lineRule="auto" w:line="333" w:before="120" w:after="283"/>
        <w:ind w:left="0" w:right="0" w:firstLine="360"/>
        <w:jc w:val="both"/>
        <w:rPr/>
      </w:pPr>
      <w:r>
        <w:rPr>
          <w:rFonts w:ascii="Times New Roman;serif" w:hAnsi="Times New Roman;serif"/>
          <w:b w:val="false"/>
          <w:i/>
          <w:color w:val="000000"/>
          <w:sz w:val="20"/>
        </w:rPr>
        <w:t>Redemption.</w:t>
      </w:r>
      <w:r>
        <w:rPr>
          <w:color w:val="000000"/>
        </w:rPr>
        <w:t xml:space="preserve"> </w:t>
      </w:r>
      <w:r>
        <w:rPr>
          <w:rFonts w:ascii="Times New Roman;serif" w:hAnsi="Times New Roman;serif"/>
          <w:b w:val="false"/>
          <w:color w:val="000000"/>
          <w:sz w:val="20"/>
        </w:rPr>
        <w:t>All shares of any series of preferred stock will be redeemable to the extent set forth in the applicable terms of the series of preferred stock. All shares of any series of preferred stock will be convertible into shares of common stock or into shares of any other series of preferred stock to the extent set forth in the applicable terms of the series of preferred stock.</w:t>
      </w:r>
    </w:p>
    <w:p>
      <w:pPr>
        <w:pStyle w:val="TextBody"/>
        <w:bidi w:val="0"/>
        <w:spacing w:lineRule="auto" w:line="333" w:before="120" w:after="283"/>
        <w:ind w:left="0" w:right="0" w:firstLine="360"/>
        <w:jc w:val="both"/>
        <w:rPr/>
      </w:pPr>
      <w:r>
        <w:rPr>
          <w:rFonts w:ascii="Times New Roman;serif" w:hAnsi="Times New Roman;serif"/>
          <w:b w:val="false"/>
          <w:i/>
          <w:color w:val="000000"/>
          <w:sz w:val="20"/>
        </w:rPr>
        <w:t>Voting Rights.</w:t>
      </w:r>
      <w:r>
        <w:rPr>
          <w:color w:val="000000"/>
        </w:rPr>
        <w:t xml:space="preserve"> </w:t>
      </w:r>
      <w:r>
        <w:rPr>
          <w:rFonts w:ascii="Times New Roman;serif" w:hAnsi="Times New Roman;serif"/>
          <w:b w:val="false"/>
          <w:color w:val="000000"/>
          <w:sz w:val="20"/>
        </w:rPr>
        <w:t>Except as indicated in the applicable terms of the series of preferred stock, the holders of preferred stock will be entitled to one vote for each share of preferred stock held by them on all matters properly presented to stockholders. The holders of the common stock, Class B common stock (if the Class B common stock is entitled to vote by applicable law) and the holders of all series of preferred stock will vote together as one class.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4"/>
        </w:rPr>
      </w:pPr>
      <w:r>
        <w:rPr>
          <w:rFonts w:ascii="sans-serif" w:hAnsi="sans-serif"/>
          <w:b w:val="false"/>
          <w:color w:val="000000"/>
          <w:sz w:val="24"/>
        </w:rPr>
        <w:t>Exhibit 10.59</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WESCO International,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225 West Station Square Drive</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Suite 700</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Pittsburgh, Pennsylvania 15219</w:t>
      </w:r>
    </w:p>
    <w:p>
      <w:pPr>
        <w:pStyle w:val="TextBody"/>
        <w:bidi w:val="0"/>
        <w:spacing w:before="0" w:after="240"/>
        <w:jc w:val="right"/>
        <w:rPr/>
      </w:pPr>
      <w:r>
        <w:rPr/>
      </w:r>
    </w:p>
    <w:p>
      <w:pPr>
        <w:pStyle w:val="TextBody"/>
        <w:bidi w:val="0"/>
        <w:spacing w:lineRule="auto" w:line="288" w:before="0" w:after="240"/>
        <w:jc w:val="right"/>
        <w:rPr>
          <w:rFonts w:ascii="sans-serif" w:hAnsi="sans-serif"/>
          <w:b w:val="false"/>
          <w:color w:val="000000"/>
          <w:sz w:val="24"/>
        </w:rPr>
      </w:pPr>
      <w:r>
        <w:rPr>
          <w:rFonts w:ascii="sans-serif" w:hAnsi="sans-serif"/>
          <w:b w:val="false"/>
          <w:color w:val="000000"/>
          <w:sz w:val="24"/>
        </w:rPr>
        <w:t>December 17, 2025</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Indraneel Dev</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14106 Lexington Circle</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Westminster, CO 80023</w:t>
      </w:r>
    </w:p>
    <w:p>
      <w:pPr>
        <w:pStyle w:val="TextBody"/>
        <w:bidi w:val="0"/>
        <w:spacing w:before="0" w:after="240"/>
        <w:jc w:val="left"/>
        <w:rPr/>
      </w:pPr>
      <w:r>
        <w:rPr/>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Dear Neel:</w:t>
      </w:r>
    </w:p>
    <w:p>
      <w:pPr>
        <w:pStyle w:val="TextBody"/>
        <w:bidi w:val="0"/>
        <w:spacing w:lineRule="auto" w:line="288" w:before="0" w:after="0"/>
        <w:jc w:val="left"/>
        <w:rPr>
          <w:color w:val="000000"/>
        </w:rPr>
      </w:pPr>
      <w:r>
        <w:rPr>
          <w:color w:val="000000"/>
        </w:rPr>
        <w:t>    </w:t>
      </w:r>
      <w:r>
        <w:rPr>
          <w:rFonts w:ascii="sans-serif" w:hAnsi="sans-serif"/>
          <w:b w:val="false"/>
          <w:color w:val="000000"/>
          <w:sz w:val="24"/>
        </w:rPr>
        <w:t xml:space="preserve">I am pleased to extend this offer for you to become the Executive Vice President &amp; Chief Financial Officer of our Company. </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sans-serif" w:hAnsi="sans-serif"/>
          <w:b w:val="false"/>
          <w:color w:val="000000"/>
          <w:sz w:val="24"/>
        </w:rPr>
        <w:t>1.</w:t>
      </w:r>
      <w:r>
        <w:rPr>
          <w:rFonts w:ascii="sans-serif" w:hAnsi="sans-serif"/>
          <w:b w:val="false"/>
          <w:color w:val="000000"/>
          <w:sz w:val="24"/>
          <w:u w:val="single"/>
        </w:rPr>
        <w:t>Employment Terms</w:t>
      </w:r>
      <w:r>
        <w:rPr>
          <w:rFonts w:ascii="sans-serif" w:hAnsi="sans-serif"/>
          <w:b w:val="false"/>
          <w:color w:val="000000"/>
          <w:sz w:val="24"/>
        </w:rPr>
        <w:t xml:space="preserve">. The principal terms of your compensation and benefits in connection with your employment with the Company will be as set forth on </w:t>
      </w:r>
      <w:r>
        <w:rPr>
          <w:rFonts w:ascii="sans-serif" w:hAnsi="sans-serif"/>
          <w:b w:val="false"/>
          <w:color w:val="000000"/>
          <w:sz w:val="24"/>
          <w:u w:val="single"/>
        </w:rPr>
        <w:t>Exhibit A</w:t>
      </w:r>
      <w:r>
        <w:rPr>
          <w:color w:val="000000"/>
        </w:rPr>
        <w:t xml:space="preserve"> </w:t>
      </w:r>
      <w:r>
        <w:rPr>
          <w:rFonts w:ascii="sans-serif" w:hAnsi="sans-serif"/>
          <w:b w:val="false"/>
          <w:color w:val="000000"/>
          <w:sz w:val="24"/>
        </w:rPr>
        <w:t>to this Letter (the “</w:t>
      </w:r>
      <w:r>
        <w:rPr>
          <w:rFonts w:ascii="sans-serif" w:hAnsi="sans-serif"/>
          <w:b w:val="false"/>
          <w:color w:val="000000"/>
          <w:sz w:val="24"/>
          <w:u w:val="single"/>
        </w:rPr>
        <w:t>Term Sheet</w:t>
      </w:r>
      <w:r>
        <w:rPr>
          <w:color w:val="000000"/>
        </w:rPr>
        <w:t xml:space="preserve">” </w:t>
      </w:r>
      <w:r>
        <w:rPr>
          <w:rFonts w:ascii="sans-serif" w:hAnsi="sans-serif"/>
          <w:b w:val="false"/>
          <w:color w:val="000000"/>
          <w:sz w:val="24"/>
        </w:rPr>
        <w:t xml:space="preserve">and together with this Letter and </w:t>
      </w:r>
      <w:r>
        <w:rPr>
          <w:rFonts w:ascii="sans-serif" w:hAnsi="sans-serif"/>
          <w:b w:val="false"/>
          <w:color w:val="000000"/>
          <w:sz w:val="24"/>
          <w:u w:val="single"/>
        </w:rPr>
        <w:t>Exhibit B</w:t>
      </w:r>
      <w:r>
        <w:rPr>
          <w:color w:val="000000"/>
        </w:rPr>
        <w:t xml:space="preserve"> </w:t>
      </w:r>
      <w:r>
        <w:rPr>
          <w:rFonts w:ascii="sans-serif" w:hAnsi="sans-serif"/>
          <w:b w:val="false"/>
          <w:color w:val="000000"/>
          <w:sz w:val="24"/>
        </w:rPr>
        <w:t>hereto, this “</w:t>
      </w:r>
      <w:r>
        <w:rPr>
          <w:rFonts w:ascii="sans-serif" w:hAnsi="sans-serif"/>
          <w:b w:val="false"/>
          <w:color w:val="000000"/>
          <w:sz w:val="24"/>
          <w:u w:val="single"/>
        </w:rPr>
        <w:t>Agreement</w:t>
      </w:r>
      <w:r>
        <w:rPr>
          <w:color w:val="000000"/>
        </w:rPr>
        <w:t>”</w:t>
      </w:r>
      <w:r>
        <w:rPr>
          <w:rFonts w:ascii="sans-serif" w:hAnsi="sans-serif"/>
          <w:b w:val="false"/>
          <w:color w:val="000000"/>
          <w:sz w:val="24"/>
        </w:rPr>
        <w:t xml:space="preserve">). </w:t>
      </w:r>
    </w:p>
    <w:p>
      <w:pPr>
        <w:pStyle w:val="TextBody"/>
        <w:bidi w:val="0"/>
        <w:spacing w:lineRule="auto" w:line="240" w:before="0" w:after="240"/>
        <w:ind w:left="0" w:right="0" w:firstLine="720"/>
        <w:jc w:val="left"/>
        <w:rPr/>
      </w:pPr>
      <w:r>
        <w:rPr>
          <w:rFonts w:ascii="sans-serif" w:hAnsi="sans-serif"/>
          <w:b w:val="false"/>
          <w:color w:val="000000"/>
          <w:sz w:val="24"/>
        </w:rPr>
        <w:t>2.</w:t>
      </w:r>
      <w:r>
        <w:rPr>
          <w:rFonts w:ascii="sans-serif" w:hAnsi="sans-serif"/>
          <w:b w:val="false"/>
          <w:color w:val="000000"/>
          <w:sz w:val="24"/>
          <w:u w:val="single"/>
        </w:rPr>
        <w:t>Restrictive Covenants</w:t>
      </w:r>
      <w:r>
        <w:rPr>
          <w:rFonts w:ascii="sans-serif" w:hAnsi="sans-serif"/>
          <w:b w:val="false"/>
          <w:color w:val="000000"/>
          <w:sz w:val="24"/>
        </w:rPr>
        <w:t xml:space="preserve">. As a condition of your employment with the Company and your entitlement to receive the compensation and benefits set forth in the Term Sheet, you hereby acknowledge and agree that you shall be subject to the restrictive covenants set forth in </w:t>
      </w:r>
      <w:r>
        <w:rPr>
          <w:rFonts w:ascii="sans-serif" w:hAnsi="sans-serif"/>
          <w:b w:val="false"/>
          <w:color w:val="000000"/>
          <w:sz w:val="24"/>
          <w:u w:val="single"/>
        </w:rPr>
        <w:t>Exhibit B</w:t>
      </w:r>
      <w:r>
        <w:rPr>
          <w:color w:val="000000"/>
        </w:rPr>
        <w:t xml:space="preserve"> </w:t>
      </w:r>
      <w:r>
        <w:rPr>
          <w:rFonts w:ascii="sans-serif" w:hAnsi="sans-serif"/>
          <w:b w:val="false"/>
          <w:color w:val="000000"/>
          <w:sz w:val="24"/>
        </w:rPr>
        <w:t>hereto (the “</w:t>
      </w:r>
      <w:r>
        <w:rPr>
          <w:rFonts w:ascii="sans-serif" w:hAnsi="sans-serif"/>
          <w:b w:val="false"/>
          <w:color w:val="000000"/>
          <w:sz w:val="24"/>
          <w:u w:val="single"/>
        </w:rPr>
        <w:t>Restrictive Covenants</w:t>
      </w:r>
      <w:r>
        <w:rPr>
          <w:color w:val="000000"/>
        </w:rPr>
        <w:t>”</w:t>
      </w:r>
      <w:r>
        <w:rPr>
          <w:rFonts w:ascii="sans-serif" w:hAnsi="sans-serif"/>
          <w:b w:val="false"/>
          <w:color w:val="000000"/>
          <w:sz w:val="24"/>
        </w:rPr>
        <w:t>).</w:t>
      </w:r>
    </w:p>
    <w:p>
      <w:pPr>
        <w:pStyle w:val="TextBody"/>
        <w:bidi w:val="0"/>
        <w:spacing w:lineRule="auto" w:line="240" w:before="0" w:after="240"/>
        <w:ind w:left="0" w:right="0" w:firstLine="720"/>
        <w:jc w:val="left"/>
        <w:rPr/>
      </w:pPr>
      <w:r>
        <w:rPr>
          <w:rFonts w:ascii="sans-serif" w:hAnsi="sans-serif"/>
          <w:b w:val="false"/>
          <w:color w:val="000000"/>
          <w:sz w:val="24"/>
        </w:rPr>
        <w:t>3.</w:t>
      </w:r>
      <w:r>
        <w:rPr>
          <w:rFonts w:ascii="sans-serif" w:hAnsi="sans-serif"/>
          <w:b w:val="false"/>
          <w:color w:val="000000"/>
          <w:sz w:val="24"/>
          <w:u w:val="single"/>
        </w:rPr>
        <w:t>Section 409A</w:t>
      </w:r>
      <w:r>
        <w:rPr>
          <w:rFonts w:ascii="sans-serif" w:hAnsi="sans-serif"/>
          <w:b w:val="false"/>
          <w:color w:val="000000"/>
          <w:sz w:val="24"/>
        </w:rPr>
        <w:t xml:space="preserve">. It is intended that the payments and benefits provided under this Agreement will be exempt from the application of, or comply with, the requirements of Section 409A of the Code. This Agreement will be construed in a manner that effects such intent to the greatest extent possible. However, the Company shall not be held liable for any taxes, interests or penalties that you owe with respect to any payments or benefits provided under this Agreement. With respect to any amounts payable hereunder in installments, each installment shall be treated as a separate payment for purposes of Section 409A of the Code. For purposes of any payment due hereunder upon a termination of employment that is subject to the provisions of Section 409A of the Code, such phrase or any similar phrase shall mean a “separation from service” as defined by the default provisions of Treasury Regulation 1.409A-1(h). Notwithstanding any other provision of this Agreement to the contrary, if you are a “specified employee” within the meaning of Section 409A of the Code (as determined in accordance with the methodology established by the Company), amounts that constitute “nonqualified deferred compensation” subject to Section 409A of the Code that would otherwise be payable by reason of your separation from service during the six-month period immediately following such separation from service shall instead be paid or provided on the first business day following the date that is six months following your separation from service. If you die following your separation from service and prior to the payment of any amounts delayed on account of Section 409A of the Code, such amounts shall be paid to the personal representative of your estate within 30 days following the date of your death. </w:t>
      </w:r>
    </w:p>
    <w:p>
      <w:pPr>
        <w:pStyle w:val="TextBody"/>
        <w:bidi w:val="0"/>
        <w:spacing w:lineRule="auto" w:line="240" w:before="0" w:after="240"/>
        <w:ind w:left="0" w:right="0" w:firstLine="720"/>
        <w:jc w:val="left"/>
        <w:rPr/>
      </w:pPr>
      <w:r>
        <w:rPr>
          <w:rFonts w:ascii="sans-serif" w:hAnsi="sans-serif"/>
          <w:b w:val="false"/>
          <w:color w:val="000000"/>
          <w:sz w:val="24"/>
        </w:rPr>
        <w:t>4.</w:t>
      </w:r>
      <w:r>
        <w:rPr>
          <w:rFonts w:ascii="sans-serif" w:hAnsi="sans-serif"/>
          <w:b w:val="false"/>
          <w:color w:val="000000"/>
          <w:sz w:val="24"/>
          <w:u w:val="single"/>
        </w:rPr>
        <w:t>Governing Law</w:t>
      </w:r>
      <w:r>
        <w:rPr>
          <w:rFonts w:ascii="sans-serif" w:hAnsi="sans-serif"/>
          <w:b w:val="false"/>
          <w:color w:val="000000"/>
          <w:sz w:val="24"/>
        </w:rPr>
        <w:t xml:space="preserve">. This Agreement shall be governed by and construed in accordance with the laws of the State of Delaware, without giving effect to any choice of law or conflicting provision or rule (whether of the State of Delaware or any other jurisdiction) that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sans-serif" w:hAnsi="sans-serif"/>
          <w:b w:val="false"/>
          <w:color w:val="000000"/>
          <w:sz w:val="24"/>
        </w:rPr>
      </w:pPr>
      <w:r>
        <w:rPr>
          <w:rFonts w:ascii="sans-serif" w:hAnsi="sans-serif"/>
          <w:b w:val="false"/>
          <w:color w:val="000000"/>
          <w:sz w:val="24"/>
        </w:rPr>
        <w:t xml:space="preserve">would cause the laws of any jurisdiction other than the State of Delaware to be applied. In furtherance of the foregoing, the internal laws of the State of Delaware will control the interpretation and construction of this Agreement, even if under such jurisdiction’s choice of law or conflict of law analysis, the substantive law of some other jurisdiction would ordinarily apply. </w:t>
      </w:r>
    </w:p>
    <w:p>
      <w:pPr>
        <w:pStyle w:val="TextBody"/>
        <w:bidi w:val="0"/>
        <w:spacing w:lineRule="auto" w:line="240" w:before="0" w:after="240"/>
        <w:ind w:left="0" w:right="0" w:firstLine="720"/>
        <w:jc w:val="left"/>
        <w:rPr/>
      </w:pPr>
      <w:r>
        <w:rPr>
          <w:rFonts w:ascii="sans-serif" w:hAnsi="sans-serif"/>
          <w:b w:val="false"/>
          <w:color w:val="000000"/>
          <w:sz w:val="24"/>
        </w:rPr>
        <w:t>5.</w:t>
      </w:r>
      <w:r>
        <w:rPr>
          <w:rFonts w:ascii="sans-serif" w:hAnsi="sans-serif"/>
          <w:b w:val="false"/>
          <w:color w:val="000000"/>
          <w:sz w:val="24"/>
          <w:u w:val="single"/>
        </w:rPr>
        <w:t>Arbitration</w:t>
      </w:r>
      <w:r>
        <w:rPr>
          <w:rFonts w:ascii="sans-serif" w:hAnsi="sans-serif"/>
          <w:b w:val="false"/>
          <w:color w:val="000000"/>
          <w:sz w:val="24"/>
        </w:rPr>
        <w:t>. Except with respect to claims for breach of the Restrictive Covenants, for which the Company may seek enforcement in any court having competent jurisdiction at its election, any dispute arising between you and the Company with respect to the validity, performance or interpretation of this Agreement shall be submitted to and determined in binding arbitration before a panel of three arbitrators in Pittsburgh, Pennsylvania, for resolution in accordance with the rules of the American Arbitration Association, modified to provide that the decision of the arbitrators shall be binding on the parties; shall be furnished in writing, separately and specifically stating the findings of fact and conclusions of law on which the decision is based; shall be kept confidential by the arbitrators and the parties; and shall be rendered within 60 days following the arbitrators being impaneled. You shall bear your, and the Company shall bear its, own costs and expenses associated with the arbitration. The arbitrators shall be selected in accordance with the rules of the American Arbitration Association.</w:t>
      </w:r>
    </w:p>
    <w:p>
      <w:pPr>
        <w:pStyle w:val="TextBody"/>
        <w:bidi w:val="0"/>
        <w:spacing w:lineRule="auto" w:line="240" w:before="0" w:after="240"/>
        <w:ind w:left="0" w:right="0" w:firstLine="720"/>
        <w:jc w:val="left"/>
        <w:rPr/>
      </w:pPr>
      <w:r>
        <w:rPr>
          <w:rFonts w:ascii="sans-serif" w:hAnsi="sans-serif"/>
          <w:b w:val="false"/>
          <w:color w:val="000000"/>
          <w:sz w:val="24"/>
        </w:rPr>
        <w:t>6.</w:t>
      </w:r>
      <w:r>
        <w:rPr>
          <w:rFonts w:ascii="sans-serif" w:hAnsi="sans-serif"/>
          <w:b w:val="false"/>
          <w:color w:val="000000"/>
          <w:sz w:val="24"/>
          <w:u w:val="single"/>
        </w:rPr>
        <w:t>Entire Agreement; Amendments</w:t>
      </w:r>
      <w:r>
        <w:rPr>
          <w:rFonts w:ascii="sans-serif" w:hAnsi="sans-serif"/>
          <w:b w:val="false"/>
          <w:color w:val="000000"/>
          <w:sz w:val="24"/>
        </w:rPr>
        <w:t>. This Agreement represents the complete understanding between you and the Company regarding the subject matter of this Agreement. No amendment to this Agreement shall be binding upon either party unless in writing and signed by or on behalf of such party. The obligations of the parties hereto are severable and divisible. In the event any provision hereunder is determined to be illegal or unenforceable, the remainder of this Agreement shall continue in full force and effect.</w:t>
      </w:r>
    </w:p>
    <w:p>
      <w:pPr>
        <w:pStyle w:val="TextBody"/>
        <w:bidi w:val="0"/>
        <w:spacing w:lineRule="auto" w:line="240" w:before="0" w:after="240"/>
        <w:ind w:left="0" w:right="0" w:firstLine="720"/>
        <w:jc w:val="left"/>
        <w:rPr/>
      </w:pPr>
      <w:r>
        <w:rPr>
          <w:rFonts w:ascii="sans-serif" w:hAnsi="sans-serif"/>
          <w:b w:val="false"/>
          <w:color w:val="000000"/>
          <w:sz w:val="24"/>
        </w:rPr>
        <w:t>7.</w:t>
      </w:r>
      <w:r>
        <w:rPr>
          <w:rFonts w:ascii="sans-serif" w:hAnsi="sans-serif"/>
          <w:b w:val="false"/>
          <w:color w:val="000000"/>
          <w:sz w:val="24"/>
          <w:u w:val="single"/>
        </w:rPr>
        <w:t>Employment At Will; Tax Withholding</w:t>
      </w:r>
      <w:r>
        <w:rPr>
          <w:rFonts w:ascii="sans-serif" w:hAnsi="sans-serif"/>
          <w:b w:val="false"/>
          <w:color w:val="000000"/>
          <w:sz w:val="24"/>
        </w:rPr>
        <w:t xml:space="preserve">. This Agreement does not provide a guarantee of employment for any specific duration or a guarantee of any fixed terms or conditions of employment. Your employment with the Company will be “at will”, which means that either you or the Company may terminate your employment relationship at any time, with or without cause or notice. Employment with the Company for purposes of this Agreement shall include employment with any subsidiary or affiliate of the Company. The Company reserves the right to withhold or cause to be withheld applicable taxes from any amounts paid pursuant to this Agreement to the extent required by applicable law. You, or your estate, shall be responsible for any and all tax liability imposed on amounts paid hereunder. </w:t>
      </w:r>
    </w:p>
    <w:p>
      <w:pPr>
        <w:pStyle w:val="TextBody"/>
        <w:bidi w:val="0"/>
        <w:spacing w:lineRule="auto" w:line="240" w:before="0" w:after="480"/>
        <w:ind w:left="0" w:right="0" w:firstLine="720"/>
        <w:jc w:val="left"/>
        <w:rPr/>
      </w:pPr>
      <w:r>
        <w:rPr>
          <w:rFonts w:ascii="sans-serif" w:hAnsi="sans-serif"/>
          <w:b w:val="false"/>
          <w:color w:val="000000"/>
          <w:sz w:val="24"/>
        </w:rPr>
        <w:t>8.</w:t>
      </w:r>
      <w:r>
        <w:rPr>
          <w:rFonts w:ascii="sans-serif" w:hAnsi="sans-serif"/>
          <w:b w:val="false"/>
          <w:color w:val="000000"/>
          <w:sz w:val="24"/>
          <w:u w:val="single"/>
        </w:rPr>
        <w:t>Successors</w:t>
      </w:r>
      <w:r>
        <w:rPr>
          <w:rFonts w:ascii="sans-serif" w:hAnsi="sans-serif"/>
          <w:b w:val="false"/>
          <w:color w:val="000000"/>
          <w:sz w:val="24"/>
        </w:rPr>
        <w:t xml:space="preserve">. The terms of this Agreement are intended to be binding legal obligations of the Company and any successor to the Company by merger, consolidation, business combination, purchase, reorganization or otherwise. In the event of any transaction that results in the transfer of all or substantially all of the assets or business of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left"/>
        <w:rPr>
          <w:rFonts w:ascii="sans-serif" w:hAnsi="sans-serif"/>
          <w:b w:val="false"/>
          <w:color w:val="000000"/>
          <w:sz w:val="24"/>
        </w:rPr>
      </w:pPr>
      <w:r>
        <w:rPr>
          <w:rFonts w:ascii="sans-serif" w:hAnsi="sans-serif"/>
          <w:b w:val="false"/>
          <w:color w:val="000000"/>
          <w:sz w:val="24"/>
        </w:rPr>
        <w:t xml:space="preserve">the Company will cause the transferee to assume the obligations of the Company under this Agreement. </w:t>
      </w:r>
    </w:p>
    <w:tbl>
      <w:tblPr>
        <w:tblW w:w="5205" w:type="dxa"/>
        <w:jc w:val="left"/>
        <w:tblInd w:w="0" w:type="dxa"/>
        <w:tblLayout w:type="fixed"/>
        <w:tblCellMar>
          <w:top w:w="28" w:type="dxa"/>
          <w:left w:w="28" w:type="dxa"/>
          <w:bottom w:w="28" w:type="dxa"/>
          <w:right w:w="28" w:type="dxa"/>
        </w:tblCellMar>
      </w:tblPr>
      <w:tblGrid>
        <w:gridCol w:w="1668"/>
        <w:gridCol w:w="1466"/>
        <w:gridCol w:w="2071"/>
      </w:tblGrid>
      <w:tr>
        <w:trPr/>
        <w:tc>
          <w:tcPr>
            <w:tcW w:w="166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Sincerely,</w:t>
            </w:r>
          </w:p>
        </w:tc>
      </w:tr>
      <w:tr>
        <w:trPr/>
        <w:tc>
          <w:tcPr>
            <w:tcW w:w="5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By:</w:t>
            </w:r>
          </w:p>
        </w:tc>
      </w:tr>
      <w:tr>
        <w:trPr/>
        <w:tc>
          <w:tcPr>
            <w:tcW w:w="5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/s/ Christine A. Wolf</w:t>
            </w:r>
          </w:p>
        </w:tc>
      </w:tr>
      <w:tr>
        <w:trPr/>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Name: Christine A. Wolf</w:t>
            </w:r>
          </w:p>
        </w:tc>
      </w:tr>
      <w:tr>
        <w:trPr/>
        <w:tc>
          <w:tcPr>
            <w:tcW w:w="5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Title: EVP, Chief Human Resources Officer</w:t>
            </w:r>
          </w:p>
        </w:tc>
      </w:tr>
      <w:tr>
        <w:trPr/>
        <w:tc>
          <w:tcPr>
            <w:tcW w:w="5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sz w:val="24"/>
              </w:rPr>
            </w:pPr>
            <w:r>
              <w:rPr>
                <w:rFonts w:ascii="sans-serif" w:hAnsi="sans-serif"/>
                <w:b w:val="false"/>
                <w:sz w:val="2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4"/>
              </w:rPr>
            </w:pPr>
            <w:r>
              <w:rPr>
                <w:rFonts w:ascii="sans-serif" w:hAnsi="sans-serif"/>
                <w:b w:val="false"/>
                <w:color w:val="000000"/>
                <w:sz w:val="24"/>
              </w:rPr>
              <w:t>Acknowledged and Agreed:</w:t>
            </w:r>
          </w:p>
          <w:p>
            <w:pPr>
              <w:pStyle w:val="TableContents"/>
              <w:bidi w:val="0"/>
              <w:spacing w:before="0" w:after="0"/>
              <w:jc w:val="left"/>
              <w:rPr/>
            </w:pPr>
            <w:r>
              <w:rPr/>
            </w:r>
          </w:p>
          <w:p>
            <w:pPr>
              <w:pStyle w:val="TableContents"/>
              <w:bidi w:val="0"/>
              <w:spacing w:before="0" w:after="0"/>
              <w:jc w:val="left"/>
              <w:rPr/>
            </w:pPr>
            <w:r>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/s/ Indraneel Dev</w:t>
            </w:r>
          </w:p>
        </w:tc>
      </w:tr>
      <w:tr>
        <w:trPr/>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Indraneel Dev</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sans-serif" w:hAnsi="sans-serif"/>
          <w:b/>
          <w:color w:val="000000"/>
          <w:sz w:val="24"/>
          <w:u w:val="single"/>
        </w:rPr>
      </w:pPr>
      <w:r>
        <w:rPr>
          <w:rFonts w:ascii="sans-serif" w:hAnsi="sans-serif"/>
          <w:b/>
          <w:color w:val="000000"/>
          <w:sz w:val="24"/>
          <w:u w:val="single"/>
        </w:rPr>
        <w:t>Exhibit A</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Term Sheet</w:t>
      </w:r>
    </w:p>
    <w:tbl>
      <w:tblPr>
        <w:tblW w:w="10205" w:type="dxa"/>
        <w:jc w:val="left"/>
        <w:tblInd w:w="0" w:type="dxa"/>
        <w:tblLayout w:type="fixed"/>
        <w:tblCellMar>
          <w:top w:w="28" w:type="dxa"/>
          <w:left w:w="28" w:type="dxa"/>
          <w:bottom w:w="28" w:type="dxa"/>
          <w:right w:w="28" w:type="dxa"/>
        </w:tblCellMar>
      </w:tblPr>
      <w:tblGrid>
        <w:gridCol w:w="682"/>
        <w:gridCol w:w="441"/>
        <w:gridCol w:w="336"/>
        <w:gridCol w:w="2927"/>
        <w:gridCol w:w="2404"/>
        <w:gridCol w:w="3415"/>
      </w:tblGrid>
      <w:tr>
        <w:trPr/>
        <w:tc>
          <w:tcPr>
            <w:tcW w:w="68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3415" w:type="dxa"/>
            <w:tcBorders/>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Title:</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Executive Vice President and Chief Financial Officer</w:t>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 xml:space="preserve">Start Date: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 mutually agreed date to be determined</w:t>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 xml:space="preserve">Principal Work Location: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 xml:space="preserve">Pittsburgh, Pennsylvania </w:t>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Annual Base Salary:</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 xml:space="preserve">$800,000 annual rate to be paid in accordance with the applicable payroll practice in effect from time to time. </w:t>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Annual Cash Bonus:</w:t>
            </w:r>
          </w:p>
        </w:tc>
        <w:tc>
          <w:tcPr>
            <w:tcW w:w="8746"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sans-serif" w:hAnsi="sans-serif"/>
                <w:b w:val="false"/>
                <w:color w:val="000000"/>
                <w:sz w:val="24"/>
              </w:rPr>
              <w:t>Your target annual bonus will be 100% of your annual base salary with a payout opportunity of zero to 200% of your annual base salary, based on the achievement of performance objectives as established annually by the Compensation Committee of the Board of Directors of the Company (the “</w:t>
            </w:r>
            <w:r>
              <w:rPr>
                <w:rFonts w:ascii="sans-serif" w:hAnsi="sans-serif"/>
                <w:b w:val="false"/>
                <w:color w:val="000000"/>
                <w:sz w:val="24"/>
                <w:u w:val="single"/>
              </w:rPr>
              <w:t>Compensation Committee</w:t>
            </w:r>
            <w:r>
              <w:rPr>
                <w:color w:val="000000"/>
              </w:rPr>
              <w:t>”</w:t>
            </w:r>
            <w:r>
              <w:rPr>
                <w:rFonts w:ascii="sans-serif" w:hAnsi="sans-serif"/>
                <w:b w:val="false"/>
                <w:color w:val="000000"/>
                <w:sz w:val="24"/>
              </w:rPr>
              <w:t>). Payment of your earned annual bonus (if any) is subject to your continued employment through the applicable bonus payment date, except as otherwise provided in this Term Sheet or by the terms of the Company’s annual bonus program as in effect from time to time. In 2026, your bonus will be prorated based on the number of full months worked during the calendar year.</w:t>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Sign-On Cash Bonus:</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 xml:space="preserve">You will be eligible to receive a sign-on cash award in the amount of $500,000, payable within thirty (30) days of your first date of employment. If you terminate your employment voluntarily without Good Reason or are terminated for Cause prior to one year from the payment date, you will be required to repay the net amount of such payment to the Company. </w:t>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Annual Equity Awards:</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You will be eligible to receive annual equity awards during your employment with the Company. It is expected that your annual equity awards for the Company’s fiscal year 2026 will have an aggregate grant date fair value of $2,700,000, subject to approval by the Compensation Committee. The form, terms and conditions of your annual equity awards will be based on performance and award guidelines established periodically by the Compensation Committee.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3"/>
        <w:gridCol w:w="463"/>
        <w:gridCol w:w="465"/>
        <w:gridCol w:w="2548"/>
        <w:gridCol w:w="2420"/>
        <w:gridCol w:w="3426"/>
      </w:tblGrid>
      <w:tr>
        <w:trPr/>
        <w:tc>
          <w:tcPr>
            <w:tcW w:w="88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Sign-On RSU Awards:</w:t>
            </w:r>
          </w:p>
        </w:tc>
        <w:tc>
          <w:tcPr>
            <w:tcW w:w="83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Within thirty (30) days of your first date of employment, you will be granted two Company equity awards in the form of restricted stock units (RSUs). The first will have a grant date fair value of $1,500,000, and the second will have a grant date fair value of $2,800,000 (the “Sign-On RSU Awards”). The first Sign-On RSU Award will cliff vest on the on the second anniversary of the grant date, and the second Sign-On RSU Award will cliff vest on the third anniversary of the grant date, subject to your continued employment with the Company through the applicable anniversary dates and will otherwise be subject to the terms and conditions set forth in the applicable award agreement. If the Company terminates your employment without Cause during the vesting period, the value of the unvested Sign-On RSU Awards will be paid in cash based on the number of unvested RSU Awards that are forfeited multiplied by the closing price per share of Wesco International common stock on your date of termination, subject to applicable tax withholding. </w:t>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Matching Options:</w:t>
            </w:r>
          </w:p>
        </w:tc>
        <w:tc>
          <w:tcPr>
            <w:tcW w:w="83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You will be eligible to receive options equal to the number of shares that you purchase for long-term investment within the first twelve months of employment, up to the equivalent of two times (2x) your starting annual base salary, to be granted with the approval of the Compensation Committee of the Board of Directors.  The exercise price of the options will be set at the closing price on the date of purchase on the open market in one or more transactions, not to exceed three trading days.  Your purchase of shares must comply with the Company’s policy regarding insider trading.  These options will vest ratably over three years. </w:t>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Stock Ownership Guidelines:</w:t>
            </w:r>
          </w:p>
        </w:tc>
        <w:tc>
          <w:tcPr>
            <w:tcW w:w="8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 xml:space="preserve">It is expected that you achieve and maintain an ownership position in Company common stock equal to 3x your annual base salary in accordance with the Stock Ownership Guidelines for Wesco Executives as in effect from time to time. </w:t>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Health, Welfare, and Other Benefit Programs:</w:t>
            </w:r>
          </w:p>
        </w:tc>
        <w:tc>
          <w:tcPr>
            <w:tcW w:w="8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 xml:space="preserve">You will be eligible to participate in all corporate benefit programs in accordance with standard policies and procedures in effect from time to time. This includes eligibility to participate in the Wesco Deferred Compensation Plan beginning in 2027.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7"/>
        <w:gridCol w:w="489"/>
        <w:gridCol w:w="491"/>
        <w:gridCol w:w="2536"/>
        <w:gridCol w:w="2536"/>
        <w:gridCol w:w="3596"/>
      </w:tblGrid>
      <w:tr>
        <w:trPr/>
        <w:tc>
          <w:tcPr>
            <w:tcW w:w="5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6"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Severance:</w:t>
            </w:r>
          </w:p>
        </w:tc>
        <w:tc>
          <w:tcPr>
            <w:tcW w:w="866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If your employment is terminated by the Company without Cause, or you resign for Good Reason, then, subject to your execution and delivery of a release of claims in the form provided by the Company (which form shall be substantially consistent with the Company’s then-current standard form of release of claims) and such release becoming effective and irrevocable within the time period specified therein, you will be entitled to receive the following severance payments and benefits:</w:t>
            </w:r>
          </w:p>
          <w:p>
            <w:pPr>
              <w:pStyle w:val="TableContents"/>
              <w:bidi w:val="0"/>
              <w:spacing w:lineRule="auto" w:line="288" w:before="0" w:after="240"/>
              <w:jc w:val="left"/>
              <w:rPr/>
            </w:pPr>
            <w:r>
              <w:rPr>
                <w:rFonts w:ascii="sans-serif" w:hAnsi="sans-serif"/>
                <w:b w:val="false"/>
                <w:color w:val="000000"/>
                <w:sz w:val="24"/>
              </w:rPr>
              <w:t>(i) cash severance equal to 12 months of your then-current annual base salary, payable in installments over the 12 months following your termination date (</w:t>
            </w:r>
            <w:r>
              <w:rPr>
                <w:rFonts w:ascii="sans-serif" w:hAnsi="sans-serif"/>
                <w:b w:val="false"/>
                <w:color w:val="000000"/>
                <w:sz w:val="24"/>
                <w:u w:val="single"/>
              </w:rPr>
              <w:t>provided</w:t>
            </w:r>
            <w:r>
              <w:rPr>
                <w:color w:val="000000"/>
              </w:rPr>
              <w:t xml:space="preserve"> </w:t>
            </w:r>
            <w:r>
              <w:rPr>
                <w:rFonts w:ascii="sans-serif" w:hAnsi="sans-serif"/>
                <w:b w:val="false"/>
                <w:color w:val="000000"/>
                <w:sz w:val="24"/>
              </w:rPr>
              <w:t xml:space="preserve">that any installments that would otherwise have been paid during the period between your termination date and the 60th day following your termination date shall be accumulated and paid on the first regularly scheduled payroll date occurring after the 60th day following your termination date); </w:t>
            </w:r>
          </w:p>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(ii) a prorated bonus, payable within 60 days following your termination date, equal to the product of your then-current target bonus multiplied by a fraction, the numerator of which is the number of days from January 1 of the fiscal year in which your termination date occurs through the earlier of your termination date and December 31 of such fiscal year and the denominator of which is the total number of days in such fiscal year; </w:t>
            </w:r>
          </w:p>
          <w:p>
            <w:pPr>
              <w:pStyle w:val="TableContents"/>
              <w:bidi w:val="0"/>
              <w:spacing w:lineRule="auto" w:line="288" w:before="0" w:after="240"/>
              <w:jc w:val="left"/>
              <w:rPr/>
            </w:pPr>
            <w:r>
              <w:rPr>
                <w:rFonts w:ascii="sans-serif" w:hAnsi="sans-serif"/>
                <w:b w:val="false"/>
                <w:color w:val="000000"/>
                <w:sz w:val="24"/>
              </w:rPr>
              <w:t>(iii) continued coverage under the Company’s medical, dental and vision benefit plans in which you participated immediately prior to your termination of employment for one year following your termination of employment provided that you elect COBRA in a timely manner and continue to pay the applicable premiums at active employee rates (</w:t>
            </w:r>
            <w:r>
              <w:rPr>
                <w:rFonts w:ascii="sans-serif" w:hAnsi="sans-serif"/>
                <w:b w:val="false"/>
                <w:color w:val="000000"/>
                <w:sz w:val="24"/>
                <w:u w:val="single"/>
              </w:rPr>
              <w:t>provided</w:t>
            </w:r>
            <w:r>
              <w:rPr>
                <w:color w:val="000000"/>
              </w:rPr>
              <w:t xml:space="preserve"> </w:t>
            </w:r>
            <w:r>
              <w:rPr>
                <w:rFonts w:ascii="sans-serif" w:hAnsi="sans-serif"/>
                <w:b w:val="false"/>
                <w:color w:val="000000"/>
                <w:sz w:val="24"/>
              </w:rPr>
              <w:t xml:space="preserve">that you shall be obligated to refund to the Company any portion of the employer premium subsidy provided during the period between your termination date and the 60th day after your termination date in the event that you do not satisfy the release requirement described above); and </w:t>
            </w:r>
          </w:p>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(iv) accelerated vesting of the Company stock options, if any, granted pursuant to the Matching Options provision, with any vested stock options having the post-termination exercise period specified in the applicable award agreement.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3"/>
        <w:gridCol w:w="547"/>
        <w:gridCol w:w="548"/>
        <w:gridCol w:w="2598"/>
        <w:gridCol w:w="2438"/>
        <w:gridCol w:w="3451"/>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Your rate of annual base salary and target annual bonus percentage used for purposes of calculating the cash severance and prorated bonus described above will be the rate set forth above in the section of this Term Sheet labelled “Annual Base Salary” and “Annual Cash Bonus”, as such rate may be increased from time to time, without regard to any salary rate reduction implemented afterward (whether or not such reduction would constitute Good Reason).</w:t>
            </w:r>
          </w:p>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You will be eligible to participate in the Company’s Change in Control Severance Plan in accordance with its terms as in effect from time to time. </w:t>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 xml:space="preserve">Certain Definitions: </w:t>
            </w:r>
          </w:p>
        </w:tc>
        <w:tc>
          <w:tcPr>
            <w:tcW w:w="8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For purposes of the Agreement, the following capitalized terms shall have the following meanings:</w:t>
            </w:r>
          </w:p>
        </w:tc>
      </w:tr>
      <w:tr>
        <w:trPr/>
        <w:tc>
          <w:tcPr>
            <w:tcW w:w="1718" w:type="dxa"/>
            <w:gridSpan w:val="3"/>
            <w:tcBorders/>
            <w:tcMar>
              <w:top w:w="0" w:type="dxa"/>
              <w:left w:w="0" w:type="dxa"/>
              <w:bottom w:w="0" w:type="dxa"/>
              <w:right w:w="0" w:type="dxa"/>
            </w:tcMar>
            <w:vAlign w:val="center"/>
          </w:tcPr>
          <w:p>
            <w:pPr>
              <w:pStyle w:val="TableContents"/>
              <w:bidi w:val="0"/>
              <w:spacing w:before="0" w:after="120"/>
              <w:jc w:val="left"/>
              <w:rPr/>
            </w:pPr>
            <w:r>
              <w:rPr/>
            </w:r>
          </w:p>
        </w:tc>
        <w:tc>
          <w:tcPr>
            <w:tcW w:w="8487"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color w:val="000000"/>
              </w:rPr>
              <w:t>“</w:t>
            </w:r>
            <w:r>
              <w:rPr>
                <w:rFonts w:ascii="sans-serif" w:hAnsi="sans-serif"/>
                <w:b w:val="false"/>
                <w:color w:val="000000"/>
                <w:sz w:val="24"/>
                <w:u w:val="single"/>
              </w:rPr>
              <w:t>Cause</w:t>
            </w:r>
            <w:r>
              <w:rPr>
                <w:color w:val="000000"/>
              </w:rPr>
              <w:t xml:space="preserve">” </w:t>
            </w:r>
            <w:r>
              <w:rPr>
                <w:rFonts w:ascii="sans-serif" w:hAnsi="sans-serif"/>
                <w:b w:val="false"/>
                <w:color w:val="000000"/>
                <w:sz w:val="24"/>
              </w:rPr>
              <w:t xml:space="preserve">means: </w:t>
            </w:r>
          </w:p>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(i) your willful and continued failure to substantially perform your employment duties (other than such failure resulting from physical or mental incapacity), after a written demand for substantial performance is delivered to you that specifically identifies the manner in which the Company believes you have failed to perform your duties, and after you have failed to resume substantial performance of your duties on a continuous basis within thirty (30) calendar days of receiving such demand; </w:t>
            </w:r>
          </w:p>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(ii) the Company’s determination, in good faith, that you have engaged in willful misconduct or gross negligence relating to the business of the Company; </w:t>
            </w:r>
          </w:p>
          <w:p>
            <w:pPr>
              <w:pStyle w:val="TableContents"/>
              <w:bidi w:val="0"/>
              <w:spacing w:lineRule="auto" w:line="288" w:before="0" w:after="240"/>
              <w:jc w:val="left"/>
              <w:rPr/>
            </w:pPr>
            <w:r>
              <w:rPr>
                <w:rFonts w:ascii="sans-serif" w:hAnsi="sans-serif"/>
                <w:b w:val="false"/>
                <w:color w:val="000000"/>
                <w:sz w:val="24"/>
              </w:rPr>
              <w:t xml:space="preserve">(iii) a plea of guilty or </w:t>
            </w:r>
            <w:r>
              <w:rPr>
                <w:rFonts w:ascii="sans-serif" w:hAnsi="sans-serif"/>
                <w:b w:val="false"/>
                <w:i/>
                <w:color w:val="000000"/>
                <w:sz w:val="24"/>
              </w:rPr>
              <w:t>nolo contendere</w:t>
            </w:r>
            <w:r>
              <w:rPr>
                <w:color w:val="000000"/>
              </w:rPr>
              <w:t xml:space="preserve"> </w:t>
            </w:r>
            <w:r>
              <w:rPr>
                <w:rFonts w:ascii="sans-serif" w:hAnsi="sans-serif"/>
                <w:b w:val="false"/>
                <w:color w:val="000000"/>
                <w:sz w:val="24"/>
              </w:rPr>
              <w:t>by you to, or your conviction of, a felony under federal or state law; or</w:t>
            </w:r>
          </w:p>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(iv) your material breach of any written policy of the Company, including without limitation the Company’s Code of Conduct. </w:t>
            </w:r>
          </w:p>
          <w:p>
            <w:pPr>
              <w:pStyle w:val="TableContents"/>
              <w:bidi w:val="0"/>
              <w:spacing w:before="0" w:after="240"/>
              <w:jc w:val="left"/>
              <w:rPr/>
            </w:pPr>
            <w:r>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color w:val="000000"/>
              </w:rPr>
              <w:t>“</w:t>
            </w:r>
            <w:r>
              <w:rPr>
                <w:rFonts w:ascii="sans-serif" w:hAnsi="sans-serif"/>
                <w:b w:val="false"/>
                <w:color w:val="000000"/>
                <w:sz w:val="24"/>
                <w:u w:val="single"/>
              </w:rPr>
              <w:t>Good Reason</w:t>
            </w:r>
            <w:r>
              <w:rPr>
                <w:color w:val="000000"/>
              </w:rPr>
              <w:t xml:space="preserve">” </w:t>
            </w:r>
            <w:r>
              <w:rPr>
                <w:rFonts w:ascii="sans-serif" w:hAnsi="sans-serif"/>
                <w:b w:val="false"/>
                <w:color w:val="000000"/>
                <w:sz w:val="24"/>
              </w:rPr>
              <w:t>means, without your express written consent, the occurrence of any of the following events:</w:t>
            </w:r>
          </w:p>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(i) a reduction in your annual base salary, excluding any reduction that occurs in connection with an across-the-board reduction of the salaries of substantially the entire senior management team; </w:t>
            </w:r>
          </w:p>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(ii) a relocation of your primary place of employment to a location more than 50 miles from Pittsburgh, Pennsylvania; or</w:t>
            </w:r>
          </w:p>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(iii) any material reduction in your authority, duties or responsibilities;</w:t>
            </w:r>
          </w:p>
          <w:p>
            <w:pPr>
              <w:pStyle w:val="TableContents"/>
              <w:bidi w:val="0"/>
              <w:spacing w:lineRule="auto" w:line="288" w:before="0" w:after="240"/>
              <w:jc w:val="left"/>
              <w:rPr/>
            </w:pPr>
            <w:r>
              <w:rPr>
                <w:rFonts w:ascii="sans-serif" w:hAnsi="sans-serif"/>
                <w:b w:val="false"/>
                <w:color w:val="000000"/>
                <w:sz w:val="24"/>
                <w:u w:val="single"/>
              </w:rPr>
              <w:t>provided</w:t>
            </w:r>
            <w:r>
              <w:rPr>
                <w:rFonts w:ascii="sans-serif" w:hAnsi="sans-serif"/>
                <w:b w:val="false"/>
                <w:color w:val="000000"/>
                <w:sz w:val="24"/>
              </w:rPr>
              <w:t xml:space="preserve">, </w:t>
            </w:r>
            <w:r>
              <w:rPr>
                <w:rFonts w:ascii="sans-serif" w:hAnsi="sans-serif"/>
                <w:b w:val="false"/>
                <w:color w:val="000000"/>
                <w:sz w:val="24"/>
                <w:u w:val="single"/>
              </w:rPr>
              <w:t>however</w:t>
            </w:r>
            <w:r>
              <w:rPr>
                <w:rFonts w:ascii="sans-serif" w:hAnsi="sans-serif"/>
                <w:b w:val="false"/>
                <w:color w:val="000000"/>
                <w:sz w:val="24"/>
              </w:rPr>
              <w:t>, that Good Reason shall not exist unless (A) you provide written notice to the Company within 90 days of the initial occurrence of any of the events described in clause (i), (ii) or (iii), or, if later, the date on which you first have knowledge of the circumstances constituting such event; (B) the Company fails to cure the event or circumstances within thirty (30) days after receipt of such notice; and (C) your termination of employment is effective not later than 180 days following the initial existence of the event giving rise to Good Reason.</w:t>
            </w:r>
          </w:p>
          <w:p>
            <w:pPr>
              <w:pStyle w:val="TableContents"/>
              <w:bidi w:val="0"/>
              <w:spacing w:lineRule="auto" w:line="288" w:before="0" w:after="240"/>
              <w:jc w:val="left"/>
              <w:rPr>
                <w:rFonts w:ascii="sans-serif" w:hAnsi="sans-serif"/>
                <w:b w:val="false"/>
                <w:color w:val="000000"/>
                <w:sz w:val="24"/>
              </w:rPr>
            </w:pPr>
            <w:r>
              <w:rPr>
                <w:rFonts w:ascii="sans-serif" w:hAnsi="sans-serif"/>
                <w:b w:val="false"/>
                <w:color w:val="000000"/>
                <w:sz w:val="24"/>
              </w:rPr>
              <w:t>Resignation by you for purposes of accepting employment with another organization or in another location shall not be considered a resignation for Good Reason.</w:t>
            </w:r>
          </w:p>
          <w:p>
            <w:pPr>
              <w:pStyle w:val="TableContents"/>
              <w:bidi w:val="0"/>
              <w:spacing w:before="0" w:after="24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88" w:before="0" w:after="240"/>
        <w:jc w:val="center"/>
        <w:rPr>
          <w:rFonts w:ascii="sans-serif" w:hAnsi="sans-serif"/>
          <w:b/>
          <w:color w:val="000000"/>
          <w:sz w:val="24"/>
          <w:u w:val="single"/>
        </w:rPr>
      </w:pPr>
      <w:r>
        <w:rPr>
          <w:rFonts w:ascii="sans-serif" w:hAnsi="sans-serif"/>
          <w:b/>
          <w:color w:val="000000"/>
          <w:sz w:val="24"/>
          <w:u w:val="single"/>
        </w:rPr>
        <w:t>Exhibit B</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Restrictive Covenants</w:t>
      </w:r>
    </w:p>
    <w:p>
      <w:pPr>
        <w:pStyle w:val="TextBody"/>
        <w:bidi w:val="0"/>
        <w:spacing w:lineRule="auto" w:line="240" w:before="0" w:after="240"/>
        <w:ind w:left="0" w:right="0" w:hanging="360"/>
        <w:jc w:val="left"/>
        <w:rPr/>
      </w:pPr>
      <w:r>
        <w:rPr>
          <w:rFonts w:ascii="sans-serif" w:hAnsi="sans-serif"/>
          <w:b w:val="false"/>
          <w:color w:val="000000"/>
          <w:sz w:val="24"/>
        </w:rPr>
        <w:t>1.</w:t>
      </w:r>
      <w:r>
        <w:rPr>
          <w:rFonts w:ascii="sans-serif" w:hAnsi="sans-serif"/>
          <w:b w:val="false"/>
          <w:color w:val="000000"/>
          <w:sz w:val="24"/>
          <w:u w:val="single"/>
        </w:rPr>
        <w:t>Non-Competition</w:t>
      </w:r>
      <w:r>
        <w:rPr>
          <w:rFonts w:ascii="sans-serif" w:hAnsi="sans-serif"/>
          <w:b w:val="false"/>
          <w:color w:val="000000"/>
          <w:sz w:val="24"/>
        </w:rPr>
        <w:t>. During your employment with the Company and for a period of one year thereafter (the “</w:t>
      </w:r>
      <w:r>
        <w:rPr>
          <w:rFonts w:ascii="sans-serif" w:hAnsi="sans-serif"/>
          <w:b w:val="false"/>
          <w:color w:val="000000"/>
          <w:sz w:val="24"/>
          <w:u w:val="single"/>
        </w:rPr>
        <w:t>Restriction Period</w:t>
      </w:r>
      <w:r>
        <w:rPr>
          <w:color w:val="000000"/>
        </w:rPr>
        <w:t>”</w:t>
      </w:r>
      <w:r>
        <w:rPr>
          <w:rFonts w:ascii="sans-serif" w:hAnsi="sans-serif"/>
          <w:b w:val="false"/>
          <w:color w:val="000000"/>
          <w:sz w:val="24"/>
        </w:rPr>
        <w:t>)</w:t>
      </w:r>
      <w:r>
        <w:rPr>
          <w:rFonts w:ascii="sans-serif" w:hAnsi="sans-serif"/>
          <w:b w:val="false"/>
          <w:color w:val="000000"/>
          <w:sz w:val="24"/>
          <w:u w:val="single"/>
        </w:rPr>
        <w:t>,</w:t>
      </w:r>
      <w:r>
        <w:rPr>
          <w:color w:val="000000"/>
        </w:rPr>
        <w:t xml:space="preserve"> </w:t>
      </w:r>
      <w:r>
        <w:rPr>
          <w:rFonts w:ascii="sans-serif" w:hAnsi="sans-serif"/>
          <w:b w:val="false"/>
          <w:color w:val="000000"/>
          <w:sz w:val="24"/>
        </w:rPr>
        <w:t>you shall not, to the detriment of any member of the Company Group (as defined below), directly or indirectly, as an owner, partner, employee, agent, consultant, advisor, servant or contractor, engage in or facilitate or support others to engage in any Competing Business Line, or otherwise engage in Competing Services. This provision shall not prevent you from owning less than 1% of a publicly owned entity or less than 3% of a private equity fund. For purposes of this provision, (A) “</w:t>
      </w:r>
      <w:r>
        <w:rPr>
          <w:rFonts w:ascii="sans-serif" w:hAnsi="sans-serif"/>
          <w:b w:val="false"/>
          <w:color w:val="000000"/>
          <w:sz w:val="24"/>
          <w:u w:val="single"/>
        </w:rPr>
        <w:t>Competing Business Line</w:t>
      </w:r>
      <w:r>
        <w:rPr>
          <w:color w:val="000000"/>
        </w:rPr>
        <w:t xml:space="preserve">” </w:t>
      </w:r>
      <w:r>
        <w:rPr>
          <w:rFonts w:ascii="sans-serif" w:hAnsi="sans-serif"/>
          <w:b w:val="false"/>
          <w:color w:val="000000"/>
          <w:sz w:val="24"/>
        </w:rPr>
        <w:t>means any business that is in competition with any business engaged in by the Company or its Subsidiaries with respect to which you provide services, or about which you received Confidential Information (as defined below) and (B) you will be deemed to be providing “</w:t>
      </w:r>
      <w:r>
        <w:rPr>
          <w:rFonts w:ascii="sans-serif" w:hAnsi="sans-serif"/>
          <w:b w:val="false"/>
          <w:color w:val="000000"/>
          <w:sz w:val="24"/>
          <w:u w:val="single"/>
        </w:rPr>
        <w:t>Competing Services</w:t>
      </w:r>
      <w:r>
        <w:rPr>
          <w:color w:val="000000"/>
        </w:rPr>
        <w:t xml:space="preserve">” </w:t>
      </w:r>
      <w:r>
        <w:rPr>
          <w:rFonts w:ascii="sans-serif" w:hAnsi="sans-serif"/>
          <w:b w:val="false"/>
          <w:color w:val="000000"/>
          <w:sz w:val="24"/>
        </w:rPr>
        <w:t>if the nature of such services are sufficiently similar in position scope and geographic scope to any position held by you during your employment with the Company or its Subsidiaries, such that engaging in such services on behalf of a Competing Business Line would threaten the Company’s or its Subsidiaries’ legitimate business interests. “</w:t>
      </w:r>
      <w:r>
        <w:rPr>
          <w:rFonts w:ascii="sans-serif" w:hAnsi="sans-serif"/>
          <w:b w:val="false"/>
          <w:color w:val="000000"/>
          <w:sz w:val="24"/>
          <w:u w:val="single"/>
        </w:rPr>
        <w:t>Company Group</w:t>
      </w:r>
      <w:r>
        <w:rPr>
          <w:color w:val="000000"/>
        </w:rPr>
        <w:t xml:space="preserve">” </w:t>
      </w:r>
      <w:r>
        <w:rPr>
          <w:rFonts w:ascii="sans-serif" w:hAnsi="sans-serif"/>
          <w:b w:val="false"/>
          <w:color w:val="000000"/>
          <w:sz w:val="24"/>
        </w:rPr>
        <w:t xml:space="preserve">means, collectively, the Company, WESCO Distribution, Inc., Anixter Inc., and their respective subsidiaries and affiliates. </w:t>
      </w:r>
    </w:p>
    <w:p>
      <w:pPr>
        <w:pStyle w:val="TextBody"/>
        <w:bidi w:val="0"/>
        <w:spacing w:lineRule="auto" w:line="240" w:before="0" w:after="120"/>
        <w:ind w:left="0" w:right="0" w:hanging="360"/>
        <w:jc w:val="left"/>
        <w:rPr/>
      </w:pPr>
      <w:r>
        <w:rPr>
          <w:rFonts w:ascii="sans-serif" w:hAnsi="sans-serif"/>
          <w:b w:val="false"/>
          <w:color w:val="000000"/>
          <w:sz w:val="24"/>
        </w:rPr>
        <w:t>2.</w:t>
      </w:r>
      <w:r>
        <w:rPr>
          <w:rFonts w:ascii="sans-serif" w:hAnsi="sans-serif"/>
          <w:b w:val="false"/>
          <w:color w:val="000000"/>
          <w:sz w:val="24"/>
          <w:u w:val="single"/>
        </w:rPr>
        <w:t>Customer Non-Solicitation</w:t>
      </w:r>
      <w:r>
        <w:rPr>
          <w:rFonts w:ascii="sans-serif" w:hAnsi="sans-serif"/>
          <w:b w:val="false"/>
          <w:color w:val="000000"/>
          <w:sz w:val="24"/>
        </w:rPr>
        <w:t>. During your employment with the Company and during the Restriction Period, you shall not directly or indirectly call upon, contact or solicit any customer or prospective customer of any member of the Company Group, (i) with whom you dealt directly or indirectly or for which you had responsibility while employed by the Company, or (ii) about whom you acquired Confidential Information during your employment with the Company, for the purpose of offering, selling or providing products or services that are competitive with those then offered by any member of the Company Group. You shall not solicit or divert, or attempt to solicit or divert, either directly or indirectly, any opportunity or business of any member of the Company Group to any competitor.</w:t>
      </w:r>
    </w:p>
    <w:p>
      <w:pPr>
        <w:pStyle w:val="TextBody"/>
        <w:bidi w:val="0"/>
        <w:spacing w:lineRule="auto" w:line="240" w:before="0" w:after="120"/>
        <w:ind w:left="0" w:right="0" w:hanging="360"/>
        <w:jc w:val="left"/>
        <w:rPr/>
      </w:pPr>
      <w:r>
        <w:rPr>
          <w:rFonts w:ascii="sans-serif" w:hAnsi="sans-serif"/>
          <w:b w:val="false"/>
          <w:color w:val="000000"/>
          <w:sz w:val="24"/>
        </w:rPr>
        <w:t>3.</w:t>
      </w:r>
      <w:r>
        <w:rPr>
          <w:rFonts w:ascii="sans-serif" w:hAnsi="sans-serif"/>
          <w:b w:val="false"/>
          <w:color w:val="000000"/>
          <w:sz w:val="24"/>
          <w:u w:val="single"/>
        </w:rPr>
        <w:t>Employee Non-Solicitation</w:t>
      </w:r>
      <w:r>
        <w:rPr>
          <w:rFonts w:ascii="sans-serif" w:hAnsi="sans-serif"/>
          <w:b w:val="false"/>
          <w:color w:val="000000"/>
          <w:sz w:val="24"/>
        </w:rPr>
        <w:t xml:space="preserve">. During your employment with the Company and during the Restriction Period, you shall not, directly or indirectly, solicit the employment of or hire as an employee or consultant or agent (i) any employee of any member of the Company Group or (ii) any former employee of any member of the Company Group whose employment ceased within 180 days prior to the date of such solicitation of hiring. </w:t>
      </w:r>
    </w:p>
    <w:p>
      <w:pPr>
        <w:pStyle w:val="TextBody"/>
        <w:bidi w:val="0"/>
        <w:spacing w:lineRule="auto" w:line="240" w:before="0" w:after="120"/>
        <w:ind w:left="0" w:right="0" w:hanging="360"/>
        <w:jc w:val="left"/>
        <w:rPr/>
      </w:pPr>
      <w:r>
        <w:rPr>
          <w:rFonts w:ascii="sans-serif" w:hAnsi="sans-serif"/>
          <w:b w:val="false"/>
          <w:color w:val="000000"/>
          <w:sz w:val="24"/>
        </w:rPr>
        <w:t>4.</w:t>
      </w:r>
      <w:r>
        <w:rPr>
          <w:rFonts w:ascii="sans-serif" w:hAnsi="sans-serif"/>
          <w:b w:val="false"/>
          <w:color w:val="000000"/>
          <w:sz w:val="24"/>
          <w:u w:val="single"/>
        </w:rPr>
        <w:t>Reasonableness</w:t>
      </w:r>
      <w:r>
        <w:rPr>
          <w:rFonts w:ascii="sans-serif" w:hAnsi="sans-serif"/>
          <w:b w:val="false"/>
          <w:color w:val="000000"/>
          <w:sz w:val="24"/>
        </w:rPr>
        <w:t>. You understand that the provisions of clauses (1), (2) and (3) may limit your ability to earn a livelihood in a business similar to the businesses of the Company Group but nevertheless agree and hereby acknowledge that the restrictions and limitations thereof are reasonable in scope, area, and duration, are reasonably necessary to protect the goodwill and business interests of the Company, and that the consideration provided under, or contemplated by, this Agreement is sufficient to justify the restrictions contained in such provisions. Accordingly, in consideration thereof and in light of your education, skills and abilities, you agree that you shall not assert that, and it should not be considered that, such provisions are either unreasonable in scope, area, or duration, or will prevent you from earning a living, or otherwise are void, voidable, or unenforceable or should be voided or held unenforceable.</w:t>
      </w:r>
    </w:p>
    <w:p>
      <w:pPr>
        <w:pStyle w:val="TextBody"/>
        <w:bidi w:val="0"/>
        <w:spacing w:lineRule="auto" w:line="240" w:before="0" w:after="120"/>
        <w:ind w:left="0" w:right="0" w:hanging="360"/>
        <w:jc w:val="left"/>
        <w:rPr/>
      </w:pPr>
      <w:r>
        <w:rPr>
          <w:rFonts w:ascii="sans-serif" w:hAnsi="sans-serif"/>
          <w:b w:val="false"/>
          <w:color w:val="000000"/>
          <w:sz w:val="24"/>
        </w:rPr>
        <w:t>5.</w:t>
      </w:r>
      <w:r>
        <w:rPr>
          <w:rFonts w:ascii="sans-serif" w:hAnsi="sans-serif"/>
          <w:b w:val="false"/>
          <w:color w:val="000000"/>
          <w:sz w:val="24"/>
          <w:u w:val="single"/>
        </w:rPr>
        <w:t>Nondisparagement</w:t>
      </w:r>
      <w:r>
        <w:rPr>
          <w:rFonts w:ascii="sans-serif" w:hAnsi="sans-serif"/>
          <w:b w:val="false"/>
          <w:color w:val="000000"/>
          <w:sz w:val="24"/>
        </w:rPr>
        <w:t>. You shall not disparage, malign, or otherwise say or do anything which is intended to or could reasonably be expected to adversely affect the reputation or standing of the Company.</w:t>
      </w:r>
    </w:p>
    <w:p>
      <w:pPr>
        <w:pStyle w:val="TextBody"/>
        <w:bidi w:val="0"/>
        <w:spacing w:lineRule="auto" w:line="240" w:before="0" w:after="120"/>
        <w:ind w:left="0" w:right="0" w:hanging="360"/>
        <w:jc w:val="left"/>
        <w:rPr/>
      </w:pPr>
      <w:r>
        <w:rPr>
          <w:rFonts w:ascii="sans-serif" w:hAnsi="sans-serif"/>
          <w:b w:val="false"/>
          <w:color w:val="000000"/>
          <w:sz w:val="24"/>
        </w:rPr>
        <w:t>6.</w:t>
      </w:r>
      <w:r>
        <w:rPr>
          <w:rFonts w:ascii="sans-serif" w:hAnsi="sans-serif"/>
          <w:b w:val="false"/>
          <w:color w:val="000000"/>
          <w:sz w:val="24"/>
          <w:u w:val="single"/>
        </w:rPr>
        <w:t>Enforcement</w:t>
      </w:r>
      <w:r>
        <w:rPr>
          <w:rFonts w:ascii="sans-serif" w:hAnsi="sans-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720"/>
        <w:jc w:val="left"/>
        <w:rPr>
          <w:rFonts w:ascii="sans-serif" w:hAnsi="sans-serif"/>
          <w:b w:val="false"/>
          <w:color w:val="000000"/>
          <w:sz w:val="24"/>
        </w:rPr>
      </w:pPr>
      <w:r>
        <w:rPr>
          <w:rFonts w:ascii="sans-serif" w:hAnsi="sans-serif"/>
          <w:b w:val="false"/>
          <w:color w:val="000000"/>
          <w:sz w:val="24"/>
        </w:rPr>
        <w:t>(1)The parties hereto agree and acknowledge that the covenants and agreements contained herein are reasonable in scope, area, and duration and necessary to protect the reasonable competitive business interests of the Company Group, including, without limitation, the value of the proprietary information and goodwill of the Company Group.</w:t>
      </w:r>
    </w:p>
    <w:p>
      <w:pPr>
        <w:pStyle w:val="TextBody"/>
        <w:bidi w:val="0"/>
        <w:spacing w:lineRule="auto" w:line="240" w:before="0" w:after="120"/>
        <w:ind w:left="0" w:right="0" w:firstLine="720"/>
        <w:jc w:val="left"/>
        <w:rPr/>
      </w:pPr>
      <w:r>
        <w:rPr>
          <w:rFonts w:ascii="sans-serif" w:hAnsi="sans-serif"/>
          <w:b w:val="false"/>
          <w:color w:val="000000"/>
          <w:sz w:val="24"/>
        </w:rPr>
        <w:t xml:space="preserve">(2)You agree that the covenants and undertakings contained in this </w:t>
      </w:r>
      <w:r>
        <w:rPr>
          <w:rFonts w:ascii="sans-serif" w:hAnsi="sans-serif"/>
          <w:b w:val="false"/>
          <w:color w:val="000000"/>
          <w:sz w:val="24"/>
          <w:u w:val="single"/>
        </w:rPr>
        <w:t>Exhibit B</w:t>
      </w:r>
      <w:r>
        <w:rPr>
          <w:color w:val="000000"/>
        </w:rPr>
        <w:t xml:space="preserve"> </w:t>
      </w:r>
      <w:r>
        <w:rPr>
          <w:rFonts w:ascii="sans-serif" w:hAnsi="sans-serif"/>
          <w:b w:val="false"/>
          <w:color w:val="000000"/>
          <w:sz w:val="24"/>
        </w:rPr>
        <w:t xml:space="preserve">relate to matters which are of a special, unique and extraordinary character and that the Company cannot be reasonably or adequately compensated in damages in an action at law in the event that you breach any of these covenants or undertakings. Therefore, you agree that the Company shall be entitled, as a matter of course, without the need to prove irreparable injury, to an injunction, restraining order or other equitable relief from any court of competent jurisdiction, restraining any violation or threatened violation of any of such terms by you and such other persons as the court shall order. </w:t>
      </w:r>
    </w:p>
    <w:p>
      <w:pPr>
        <w:pStyle w:val="TextBody"/>
        <w:bidi w:val="0"/>
        <w:spacing w:lineRule="auto" w:line="240" w:before="0" w:after="120"/>
        <w:ind w:left="0" w:right="0" w:firstLine="720"/>
        <w:jc w:val="left"/>
        <w:rPr>
          <w:rFonts w:ascii="sans-serif" w:hAnsi="sans-serif"/>
          <w:b w:val="false"/>
          <w:color w:val="000000"/>
          <w:sz w:val="24"/>
        </w:rPr>
      </w:pPr>
      <w:r>
        <w:rPr>
          <w:rFonts w:ascii="sans-serif" w:hAnsi="sans-serif"/>
          <w:b w:val="false"/>
          <w:color w:val="000000"/>
          <w:sz w:val="24"/>
        </w:rPr>
        <w:t>(3)Rights and remedies provided for in this clause are cumulative and shall be in addition to rights and remedies otherwise available to the parties under any other agreement or applicable law.</w:t>
      </w:r>
    </w:p>
    <w:p>
      <w:pPr>
        <w:pStyle w:val="TextBody"/>
        <w:bidi w:val="0"/>
        <w:spacing w:lineRule="auto" w:line="240" w:before="0" w:after="120"/>
        <w:ind w:left="0" w:right="0" w:firstLine="720"/>
        <w:jc w:val="left"/>
        <w:rPr/>
      </w:pPr>
      <w:r>
        <w:rPr>
          <w:rFonts w:ascii="sans-serif" w:hAnsi="sans-serif"/>
          <w:b w:val="false"/>
          <w:color w:val="000000"/>
          <w:sz w:val="24"/>
        </w:rPr>
        <w:t xml:space="preserve">(4)In the event that any provision of this </w:t>
      </w:r>
      <w:r>
        <w:rPr>
          <w:rFonts w:ascii="sans-serif" w:hAnsi="sans-serif"/>
          <w:b w:val="false"/>
          <w:color w:val="000000"/>
          <w:sz w:val="24"/>
          <w:u w:val="single"/>
        </w:rPr>
        <w:t>Exhibit B</w:t>
      </w:r>
      <w:r>
        <w:rPr>
          <w:color w:val="000000"/>
        </w:rPr>
        <w:t xml:space="preserve"> </w:t>
      </w:r>
      <w:r>
        <w:rPr>
          <w:rFonts w:ascii="sans-serif" w:hAnsi="sans-serif"/>
          <w:b w:val="false"/>
          <w:color w:val="000000"/>
          <w:sz w:val="24"/>
        </w:rPr>
        <w:t xml:space="preserve">shall to any extent be held invalid, unreasonable or unenforceable in any circumstances, the parties hereto agree that the remainder of this </w:t>
      </w:r>
      <w:r>
        <w:rPr>
          <w:rFonts w:ascii="sans-serif" w:hAnsi="sans-serif"/>
          <w:b w:val="false"/>
          <w:color w:val="000000"/>
          <w:sz w:val="24"/>
          <w:u w:val="single"/>
        </w:rPr>
        <w:t>Exhibit B</w:t>
      </w:r>
      <w:r>
        <w:rPr>
          <w:color w:val="000000"/>
        </w:rPr>
        <w:t xml:space="preserve"> </w:t>
      </w:r>
      <w:r>
        <w:rPr>
          <w:rFonts w:ascii="sans-serif" w:hAnsi="sans-serif"/>
          <w:b w:val="false"/>
          <w:color w:val="000000"/>
          <w:sz w:val="24"/>
        </w:rPr>
        <w:t xml:space="preserve">and the application of such provision of this </w:t>
      </w:r>
      <w:r>
        <w:rPr>
          <w:rFonts w:ascii="sans-serif" w:hAnsi="sans-serif"/>
          <w:b w:val="false"/>
          <w:color w:val="000000"/>
          <w:sz w:val="24"/>
          <w:u w:val="single"/>
        </w:rPr>
        <w:t>Exhibit B</w:t>
      </w:r>
      <w:r>
        <w:rPr>
          <w:color w:val="000000"/>
        </w:rPr>
        <w:t xml:space="preserve"> </w:t>
      </w:r>
      <w:r>
        <w:rPr>
          <w:rFonts w:ascii="sans-serif" w:hAnsi="sans-serif"/>
          <w:b w:val="false"/>
          <w:color w:val="000000"/>
          <w:sz w:val="24"/>
        </w:rPr>
        <w:t xml:space="preserve">to other circumstances shall be valid and enforceable to the fullest extent permitted by law. If any provision of this </w:t>
      </w:r>
      <w:r>
        <w:rPr>
          <w:rFonts w:ascii="sans-serif" w:hAnsi="sans-serif"/>
          <w:b w:val="false"/>
          <w:color w:val="000000"/>
          <w:sz w:val="24"/>
          <w:u w:val="single"/>
        </w:rPr>
        <w:t>Exhibit B</w:t>
      </w:r>
      <w:r>
        <w:rPr>
          <w:color w:val="000000"/>
        </w:rPr>
        <w:t xml:space="preserve"> </w:t>
      </w:r>
      <w:r>
        <w:rPr>
          <w:rFonts w:ascii="sans-serif" w:hAnsi="sans-serif"/>
          <w:b w:val="false"/>
          <w:color w:val="000000"/>
          <w:sz w:val="24"/>
        </w:rPr>
        <w:t xml:space="preserve">is held to be unenforceable because of the scope or duration of or the area covered by such provision, the parties hereto agree that the court or arbitrator making such determination shall reduce the scope, duration and/or area of such provision (and shall substitute appropriate provisions for any such unenforceable provisions to the minimum extent necessary) in order to make such provision enforceable to the fullest extent permitted by law, and/or shall delete specific words and phrases, and such modified provision shall then be enforceable and shall be enforced. The parties hereto recognize that if, in any judicial proceeding, a court shall refuse to enforce any of the separate covenants contained in this </w:t>
      </w:r>
      <w:r>
        <w:rPr>
          <w:rFonts w:ascii="sans-serif" w:hAnsi="sans-serif"/>
          <w:b w:val="false"/>
          <w:color w:val="000000"/>
          <w:sz w:val="24"/>
          <w:u w:val="single"/>
        </w:rPr>
        <w:t>Exhibit B</w:t>
      </w:r>
      <w:r>
        <w:rPr>
          <w:rFonts w:ascii="sans-serif" w:hAnsi="sans-serif"/>
          <w:b w:val="false"/>
          <w:color w:val="000000"/>
          <w:sz w:val="24"/>
        </w:rPr>
        <w:t xml:space="preserve">, then that unenforceable covenant contained in this </w:t>
      </w:r>
      <w:r>
        <w:rPr>
          <w:rFonts w:ascii="sans-serif" w:hAnsi="sans-serif"/>
          <w:b w:val="false"/>
          <w:color w:val="000000"/>
          <w:sz w:val="24"/>
          <w:u w:val="single"/>
        </w:rPr>
        <w:t>Exhibit B</w:t>
      </w:r>
      <w:r>
        <w:rPr>
          <w:color w:val="000000"/>
        </w:rPr>
        <w:t xml:space="preserve"> </w:t>
      </w:r>
      <w:r>
        <w:rPr>
          <w:rFonts w:ascii="sans-serif" w:hAnsi="sans-serif"/>
          <w:b w:val="false"/>
          <w:color w:val="000000"/>
          <w:sz w:val="24"/>
        </w:rPr>
        <w:t>shall be deemed eliminated from these provisions to the extent necessary to permit the remaining separate covenants to be enforced. In the event that any court or arbitrator determines that the time period or the area, or both, are unreasonable and that any of the covenants is to that extent unenforceable, the parties hereto agree that such covenants will remain in full force and effect, first, for the greatest time period, and second, in the greatest geographical area that would not render them unenforceable.</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7"/>
        <w:gridCol w:w="2869"/>
        <w:gridCol w:w="4069"/>
      </w:tblGrid>
      <w:tr>
        <w:trPr/>
        <w:tc>
          <w:tcPr>
            <w:tcW w:w="3267"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40"/>
              <w:ind w:left="0" w:right="0" w:hanging="360"/>
              <w:jc w:val="left"/>
              <w:rPr/>
            </w:pPr>
            <w:r>
              <w:rPr>
                <w:rFonts w:ascii="sans-serif" w:hAnsi="sans-serif"/>
                <w:b w:val="false"/>
                <w:color w:val="000000"/>
                <w:sz w:val="24"/>
              </w:rPr>
              <w:t>7.</w:t>
            </w:r>
            <w:r>
              <w:rPr>
                <w:color w:val="000000"/>
              </w:rPr>
              <w:t>“</w:t>
            </w:r>
            <w:r>
              <w:rPr>
                <w:rFonts w:ascii="sans-serif" w:hAnsi="sans-serif"/>
                <w:b w:val="false"/>
                <w:color w:val="000000"/>
                <w:sz w:val="24"/>
                <w:u w:val="single"/>
              </w:rPr>
              <w:t>Confidential Information</w:t>
            </w:r>
            <w:r>
              <w:rPr>
                <w:color w:val="000000"/>
              </w:rPr>
              <w:t xml:space="preserve">” </w:t>
            </w:r>
            <w:r>
              <w:rPr>
                <w:rFonts w:ascii="sans-serif" w:hAnsi="sans-serif"/>
                <w:b w:val="false"/>
                <w:color w:val="000000"/>
                <w:sz w:val="24"/>
              </w:rPr>
              <w:t xml:space="preserve">means information regarding the business or operations of the Company Group, both oral and written, including, but not limited to, documents and Company Group information contained in such documents; drawings; designs; plans; specifications; instructions; data; manuals; electronic media such as computer disks, computer programs, and data stored electronically; security code numbers; financial, marketing and strategic information; product pricing and customer information, that any member of the Company Group discloses to you or you otherwise learn or ascertain in any manner as a result of, or in relation to, your employment with the Company Group. Other than as required by applicable law, you agree: (i) to use Confidential Information only for the purposes required or appropriate for your employment with the Company Group; (ii) not to disclose to anyone Confidential Information without the Company’s prior written approval; and (iii) not to allow anyone’s use or access to Confidential Information, other than as required or appropriate for your employment with the Company Group. The foregoing shall not apply to information that is in the public domain, provided that you were not responsible, directly or indirectly, for such information entering into public domain without the Company’s approval. You agree to return to the Company all Confidential Information in your possession upon termination of your employment or at any time requested by the Company. </w:t>
            </w:r>
          </w:p>
          <w:p>
            <w:pPr>
              <w:pStyle w:val="TableContents"/>
              <w:bidi w:val="0"/>
              <w:spacing w:lineRule="auto" w:line="240" w:before="0" w:after="240"/>
              <w:ind w:left="0" w:right="0" w:hanging="360"/>
              <w:jc w:val="left"/>
              <w:rPr>
                <w:rFonts w:ascii="sans-serif" w:hAnsi="sans-serif"/>
                <w:b w:val="false"/>
                <w:color w:val="000000"/>
                <w:sz w:val="24"/>
              </w:rPr>
            </w:pPr>
            <w:r>
              <w:rPr>
                <w:rFonts w:ascii="sans-serif" w:hAnsi="sans-serif"/>
                <w:b w:val="false"/>
                <w:color w:val="000000"/>
                <w:sz w:val="24"/>
              </w:rPr>
              <w:t xml:space="preserve">8.The non-competition, non-solicitation, non-disparagement, and confidentiality covenants set forth in this Exhibit B shall be in addition to, and shall not be deemed to supersede, any other similar covenants between you and the Company. </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v:textbox>
                <w10:wrap type="none"/>
              </v:rect>
            </w:pict>
          </mc:Fallback>
        </mc:AlternateConten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SUBSIDIARIES OF WESCO INTERNATIONAL, INC.</w:t>
      </w:r>
    </w:p>
    <w:tbl>
      <w:tblPr>
        <w:tblW w:w="8279" w:type="dxa"/>
        <w:jc w:val="left"/>
        <w:tblInd w:w="0" w:type="dxa"/>
        <w:tblLayout w:type="fixed"/>
        <w:tblCellMar>
          <w:top w:w="28" w:type="dxa"/>
          <w:left w:w="28" w:type="dxa"/>
          <w:bottom w:w="28" w:type="dxa"/>
          <w:right w:w="28" w:type="dxa"/>
        </w:tblCellMar>
      </w:tblPr>
      <w:tblGrid>
        <w:gridCol w:w="2045"/>
        <w:gridCol w:w="1800"/>
        <w:gridCol w:w="1810"/>
        <w:gridCol w:w="767"/>
        <w:gridCol w:w="767"/>
        <w:gridCol w:w="1090"/>
      </w:tblGrid>
      <w:tr>
        <w:trPr/>
        <w:tc>
          <w:tcPr>
            <w:tcW w:w="204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26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40"/>
              <w:jc w:val="left"/>
              <w:rPr>
                <w:rFonts w:ascii="Times New Roman;serif" w:hAnsi="Times New Roman;serif"/>
                <w:b/>
                <w:color w:val="000000"/>
                <w:sz w:val="20"/>
                <w:u w:val="single"/>
              </w:rPr>
            </w:pPr>
            <w:r>
              <w:rPr>
                <w:rFonts w:ascii="Times New Roman;serif" w:hAnsi="Times New Roman;serif"/>
                <w:b/>
                <w:color w:val="000000"/>
                <w:sz w:val="20"/>
                <w:u w:val="single"/>
              </w:rPr>
              <w:t>Jurisdiction of Incorporation</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1502218 Alberta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Alberta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Abington Holdings Limited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Accu-Tech Corporation</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Argentina S.A.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Argentina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Asia Holdings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Australia Pty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Austria GmbH</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(Barbados) SRL</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Barbados</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 xml:space="preserve">Anixter Belgium BV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Canada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Anixter Czech a.s.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Czech Republic</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Chile S.A.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(CIS)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Russia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Colombia S.A.S.</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Communications (Malaysia) Sdn Bhd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Communications (Shanghai) Co.,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Costa Rica S.A.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Costa Rica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Danmark A/S</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de Mexico, S.A. de C.V.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Deutschland GmbH</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do Brasil Ltda.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Distribuidor de Soluciones Empresariales E Industriales S.A.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Uruguay</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Wesco Anixter Ireland Limited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Anixter Dominicana, SRL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Dominican Republic</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Egypt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Egypt</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Ellas Systhmata Network Etaipia Pepiwpismenhs Eyqynhs</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Greece</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Anixter España S.L.</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Eurotwo Holdings BV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Financial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France SARL</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Guatemala y Compañia LTDA.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Guatemala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Holdings,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Anixter Holdings Mexico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Hong Kong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India Private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Anixter Information Systems LLC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Italia S.r.l.</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Jamaica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Jamaica</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Japan KK</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Wesco Anixter Peru S.A.C.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Peru</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Wesco Anixter UK Limited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Iletisim Sistemleri Pazarlama ve Ticaret A.S.</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5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Anixter Logistica do Brasil LTDA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Logistica y Servicios S.A. de C.V.</w:t>
            </w:r>
          </w:p>
        </w:tc>
        <w:tc>
          <w:tcPr>
            <w:tcW w:w="26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Mexico</w:t>
            </w:r>
          </w:p>
        </w:tc>
      </w:tr>
    </w:tbl>
    <w:p>
      <w:pPr>
        <w:pStyle w:val="TextBody"/>
        <w:bidi w:val="0"/>
        <w:spacing w:before="0" w:after="0"/>
        <w:ind w:left="0" w:right="0" w:hanging="18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69" w:type="dxa"/>
        <w:jc w:val="left"/>
        <w:tblInd w:w="0" w:type="dxa"/>
        <w:tblLayout w:type="fixed"/>
        <w:tblCellMar>
          <w:top w:w="28" w:type="dxa"/>
          <w:left w:w="28" w:type="dxa"/>
          <w:bottom w:w="28" w:type="dxa"/>
          <w:right w:w="28" w:type="dxa"/>
        </w:tblCellMar>
      </w:tblPr>
      <w:tblGrid>
        <w:gridCol w:w="1645"/>
        <w:gridCol w:w="1446"/>
        <w:gridCol w:w="1454"/>
        <w:gridCol w:w="767"/>
        <w:gridCol w:w="767"/>
        <w:gridCol w:w="1090"/>
      </w:tblGrid>
      <w:tr>
        <w:trPr/>
        <w:tc>
          <w:tcPr>
            <w:tcW w:w="16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40"/>
              <w:jc w:val="left"/>
              <w:rPr>
                <w:rFonts w:ascii="Times New Roman;serif" w:hAnsi="Times New Roman;serif"/>
                <w:b/>
                <w:color w:val="000000"/>
                <w:sz w:val="20"/>
                <w:u w:val="single"/>
              </w:rPr>
            </w:pPr>
            <w:r>
              <w:rPr>
                <w:rFonts w:ascii="Times New Roman;serif" w:hAnsi="Times New Roman;serif"/>
                <w:b/>
                <w:color w:val="000000"/>
                <w:sz w:val="20"/>
                <w:u w:val="single"/>
              </w:rPr>
              <w:t>Jurisdiction of Incorporation</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Mid Holdings B.V.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 xml:space="preserve">Anixter Middle East FZE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Morocco Sarl AU</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Morocco</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New Zealand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Norge A.N.S.</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Norway</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Panama, S.A.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Panama</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Peru S.A.C.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Peru</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Philippines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Poland Sp.z.o.o.</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Portugal S.A.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Portugal</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 xml:space="preserve">Anixter Power Solutions Canada Inc.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Anixter Power Solutions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Procurement Corporation</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Wesco Anixter Puerto Rico, Inc.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Real-Estate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 xml:space="preserve">Anixter Saudi Arabia Limited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Saudi Arabia</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Singapore Pte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Anixter Slovakia s.r.o.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Slovak Republic</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Sub Holdings BV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Sverige AB</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(Switzerland) Sàrl</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Thailand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Anixter (U.K.)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Anixter U.S.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 xml:space="preserve">Anixter Wesco General Trading LLC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 xml:space="preserve">Ascent, LLC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 xml:space="preserve">Ascent MCC Holdings Ltd.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British Colombia</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Atlas Gentech (NZ)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AXE Distribution Solutions Trinidad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Trinidad</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B.E.L. Corporation</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Calvert Wire &amp; Cable Corporation</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Carlton-Bates Company</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Arkansas</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CDW Holdco,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Central Security Distribution Pty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Communications Supply Corporation</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Connecticut</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Distribuidora Materiales Electricos E-Supply Limitada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EECOL Electric Corp.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Alberta</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EECOL Industrial Electric Limitada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EECOL Industrial Electric (SudAmerica) Limitada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EECOL Power S.A.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EECOL Properties Corp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Alberta</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Enconnex B.V.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Enconnex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Herpin Communication Engineering Co.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Hi-Line Utility Supply Company,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Hill Country Electric Supply, L.P.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5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iConnect Systems Pty Limited</w:t>
            </w:r>
          </w:p>
        </w:tc>
        <w:tc>
          <w:tcPr>
            <w:tcW w:w="26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w:t>
            </w:r>
          </w:p>
        </w:tc>
      </w:tr>
    </w:tbl>
    <w:p>
      <w:pPr>
        <w:pStyle w:val="TextBody"/>
        <w:bidi w:val="0"/>
        <w:spacing w:before="0" w:after="0"/>
        <w:ind w:left="0" w:right="0" w:hanging="18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759" w:type="dxa"/>
        <w:jc w:val="left"/>
        <w:tblInd w:w="0" w:type="dxa"/>
        <w:tblLayout w:type="fixed"/>
        <w:tblCellMar>
          <w:top w:w="28" w:type="dxa"/>
          <w:left w:w="28" w:type="dxa"/>
          <w:bottom w:w="28" w:type="dxa"/>
          <w:right w:w="28" w:type="dxa"/>
        </w:tblCellMar>
      </w:tblPr>
      <w:tblGrid>
        <w:gridCol w:w="2220"/>
        <w:gridCol w:w="1952"/>
        <w:gridCol w:w="1963"/>
        <w:gridCol w:w="767"/>
        <w:gridCol w:w="767"/>
        <w:gridCol w:w="1090"/>
      </w:tblGrid>
      <w:tr>
        <w:trPr/>
        <w:tc>
          <w:tcPr>
            <w:tcW w:w="222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40"/>
              <w:jc w:val="left"/>
              <w:rPr>
                <w:rFonts w:ascii="Times New Roman;serif" w:hAnsi="Times New Roman;serif"/>
                <w:b/>
                <w:color w:val="000000"/>
                <w:sz w:val="20"/>
                <w:u w:val="single"/>
              </w:rPr>
            </w:pPr>
            <w:r>
              <w:rPr>
                <w:rFonts w:ascii="Times New Roman;serif" w:hAnsi="Times New Roman;serif"/>
                <w:b/>
                <w:color w:val="000000"/>
                <w:sz w:val="20"/>
                <w:u w:val="single"/>
              </w:rPr>
              <w:t>Jurisdiction of Incorporation</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Independent Electric Supply Inc.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Index Technologies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Industrial Software Solutions I,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Industrial Software Solutions ULC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Inner Range Pty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Itel Container Ventures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Itel Rail Holdings Corporation</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M&amp;M Power Products LP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PiTek Pty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Pro Canadian Holdings I, ULC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Nova Scotia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PT Anixter Indonesia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PT Rahi Systems Indonesia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Global Technologies,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Holdings B.V.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IT Infrastructure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Australia Pty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Canada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Europe B.V.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GmbH</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Holdings US,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Japan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Rahi Systems Korea Inc.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South Korea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Rahi Systems México, S.A. de C.V.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Pte.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Pvt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SASU</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Sdn Bhd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SADC (Pty)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(Thailand) Co.,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Systems Vietnam Company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Rahi Technologies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SASK Alta Holdings S.A.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Serro,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Services Voice, Video and Data Distribution de Mexico, S. de R.L. de C.V.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Signal Capital Corporation</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Stone Eagle Electrical Supply GP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Alberta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Stone Eagle Electrical Supply Limited Partnership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Alberta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Storeroom Logix, LLC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Thresher Communications &amp; Productivity,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TVC Communications,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TVC Espana Distribucion y Venta De Equipos, S.L.</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6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TVC International Holding,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1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TVC UK Holdings Limited</w:t>
            </w:r>
          </w:p>
        </w:tc>
        <w:tc>
          <w:tcPr>
            <w:tcW w:w="26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r>
    </w:tbl>
    <w:p>
      <w:pPr>
        <w:pStyle w:val="TextBody"/>
        <w:bidi w:val="0"/>
        <w:spacing w:before="0" w:after="0"/>
        <w:ind w:left="0" w:right="0" w:hanging="18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038" w:type="dxa"/>
        <w:jc w:val="left"/>
        <w:tblInd w:w="0" w:type="dxa"/>
        <w:tblLayout w:type="fixed"/>
        <w:tblCellMar>
          <w:top w:w="28" w:type="dxa"/>
          <w:left w:w="28" w:type="dxa"/>
          <w:bottom w:w="28" w:type="dxa"/>
          <w:right w:w="28" w:type="dxa"/>
        </w:tblCellMar>
      </w:tblPr>
      <w:tblGrid>
        <w:gridCol w:w="1959"/>
        <w:gridCol w:w="1722"/>
        <w:gridCol w:w="1733"/>
        <w:gridCol w:w="767"/>
        <w:gridCol w:w="767"/>
        <w:gridCol w:w="1090"/>
      </w:tblGrid>
      <w:tr>
        <w:trPr/>
        <w:tc>
          <w:tcPr>
            <w:tcW w:w="195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40"/>
              <w:jc w:val="left"/>
              <w:rPr>
                <w:rFonts w:ascii="Times New Roman;serif" w:hAnsi="Times New Roman;serif"/>
                <w:b/>
                <w:color w:val="000000"/>
                <w:sz w:val="20"/>
                <w:u w:val="single"/>
              </w:rPr>
            </w:pPr>
            <w:r>
              <w:rPr>
                <w:rFonts w:ascii="Times New Roman;serif" w:hAnsi="Times New Roman;serif"/>
                <w:b/>
                <w:color w:val="000000"/>
                <w:sz w:val="20"/>
                <w:u w:val="single"/>
              </w:rPr>
              <w:t>Jurisdiction of Incorporation</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Voice, Video and Data Distribution de Mexico, S. de R.L. de C.V.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WDC Holding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WDCH US LP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WDI - Angola, LDA</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Angola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Anixter USVI,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Anixter Netherlands B.V.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Anixter Pension Scheme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Anixter Pension Scheme Trustees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Anixter South Korea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Korea, Republic of</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WEAS Company, S. de R.L. de C.V.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 Anixter Israel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(Suzhou) Trading Co.,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Wesco Anixter Panama Free Zone S de RL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Panama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Australia Pty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Wesco Canada Acquisition Holdco Ltd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Canada GP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DC Holding I LP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DC Holding II LP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DC Holding III LP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DC Holding IV LP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Digital Solutions (Ireland)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Distribution Canada Co.</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Nova Scotia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Distribution Canada LP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Distribution HK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Distribution II ULC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Nova Scotia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Distribution III ULC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Nova Scotia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Distribution,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WESCO Distribution-International, Ltd.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Distribution NL B.V.</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Distribution Pte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Enterprises,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Equity Corporation</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Holdings I,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Nevada,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Nigeria, Inc.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Real Estate I,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Real Estate II,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Real Estate III,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Real Estate IV,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Receivables Corp.</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Services, LLC</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WESCO TLD Holdings Co.,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WND Nigeria Limited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Nigeria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XpressConnect Distribución Limitada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XpressConnect Supply Canada, Ltd.</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XpressConnect Supply BV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54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XpressConnect Supply do Brasil Ltda</w:t>
            </w:r>
          </w:p>
        </w:tc>
        <w:tc>
          <w:tcPr>
            <w:tcW w:w="26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Brazil</w:t>
            </w:r>
          </w:p>
        </w:tc>
      </w:tr>
    </w:tbl>
    <w:p>
      <w:pPr>
        <w:pStyle w:val="TextBody"/>
        <w:bidi w:val="0"/>
        <w:spacing w:before="0" w:after="0"/>
        <w:ind w:left="0" w:right="0" w:hanging="18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374" w:type="dxa"/>
        <w:jc w:val="left"/>
        <w:tblInd w:w="0" w:type="dxa"/>
        <w:tblLayout w:type="fixed"/>
        <w:tblCellMar>
          <w:top w:w="28" w:type="dxa"/>
          <w:left w:w="28" w:type="dxa"/>
          <w:bottom w:w="28" w:type="dxa"/>
          <w:right w:w="28" w:type="dxa"/>
        </w:tblCellMar>
      </w:tblPr>
      <w:tblGrid>
        <w:gridCol w:w="1357"/>
        <w:gridCol w:w="1193"/>
        <w:gridCol w:w="1200"/>
        <w:gridCol w:w="767"/>
        <w:gridCol w:w="767"/>
        <w:gridCol w:w="1090"/>
      </w:tblGrid>
      <w:tr>
        <w:trPr/>
        <w:tc>
          <w:tcPr>
            <w:tcW w:w="13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Company Name</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40"/>
              <w:jc w:val="left"/>
              <w:rPr>
                <w:rFonts w:ascii="Times New Roman;serif" w:hAnsi="Times New Roman;serif"/>
                <w:b/>
                <w:color w:val="000000"/>
                <w:sz w:val="20"/>
                <w:u w:val="single"/>
              </w:rPr>
            </w:pPr>
            <w:r>
              <w:rPr>
                <w:rFonts w:ascii="Times New Roman;serif" w:hAnsi="Times New Roman;serif"/>
                <w:b/>
                <w:color w:val="000000"/>
                <w:sz w:val="20"/>
                <w:u w:val="single"/>
              </w:rPr>
              <w:t>Jurisdiction of Incorporation</w:t>
            </w:r>
          </w:p>
        </w:tc>
      </w:tr>
      <w:tr>
        <w:trPr/>
        <w:tc>
          <w:tcPr>
            <w:tcW w:w="37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XpressConnect Supply Colombia S.A.S.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37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Xpress Connect Supply Hong Kong Limited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37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XpressConnect Supply, LLC </w:t>
            </w:r>
          </w:p>
        </w:tc>
        <w:tc>
          <w:tcPr>
            <w:tcW w:w="26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XpressConnect Supply Mexico S.A. de C.V.</w:t>
            </w:r>
          </w:p>
        </w:tc>
        <w:tc>
          <w:tcPr>
            <w:tcW w:w="26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Mexico</w:t>
            </w:r>
          </w:p>
        </w:tc>
      </w:tr>
    </w:tbl>
    <w:p>
      <w:pPr>
        <w:pStyle w:val="TextBody"/>
        <w:bidi w:val="0"/>
        <w:spacing w:before="0" w:after="40"/>
        <w:ind w:left="0" w:right="0" w:hanging="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1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(Nos. 333-257748, 333-249125, 333-188979, 333-188978, 333-172531, 333-91187, 333-81841, 333-81847, 333-81857 and 333-218541) of WESCO International, Inc. of our report dated February 13, 2026 relating to the financial statements, financial statement schedule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Pittsburgh, Pennsylvania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13,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31.1</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I, John J. Engel, certify that: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1. I have reviewed this Annual Report on Form 10-K for the fiscal year ended December 31, 2025, of WESCO International, Inc.;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center"/>
        <w:rPr/>
      </w:pPr>
      <w:r>
        <w:rPr/>
      </w:r>
    </w:p>
    <w:tbl>
      <w:tblPr>
        <w:tblW w:w="710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64"/>
        <w:gridCol w:w="164"/>
        <w:gridCol w:w="166"/>
        <w:gridCol w:w="682"/>
        <w:gridCol w:w="682"/>
        <w:gridCol w:w="682"/>
        <w:gridCol w:w="682"/>
        <w:gridCol w:w="682"/>
        <w:gridCol w:w="68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31.2</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I, David S. Schulz, certify that: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1. I have reviewed this Annual Report on Form 10-K for the fiscal year ended December 31, 2025, of WESCO International, Inc.;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center"/>
        <w:rPr/>
      </w:pPr>
      <w:r>
        <w:rPr/>
      </w:r>
    </w:p>
    <w:tbl>
      <w:tblPr>
        <w:tblW w:w="7449"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64"/>
        <w:gridCol w:w="164"/>
        <w:gridCol w:w="166"/>
        <w:gridCol w:w="739"/>
        <w:gridCol w:w="739"/>
        <w:gridCol w:w="739"/>
        <w:gridCol w:w="739"/>
        <w:gridCol w:w="739"/>
        <w:gridCol w:w="744"/>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32.1</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of WESCO International, Inc. (the “Company”) on Form 10-K for the fiscal year ended December 31, 2025,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 of the Company.  </w:t>
      </w:r>
    </w:p>
    <w:p>
      <w:pPr>
        <w:pStyle w:val="TextBody"/>
        <w:bidi w:val="0"/>
        <w:spacing w:before="0" w:after="0"/>
        <w:jc w:val="center"/>
        <w:rPr/>
      </w:pPr>
      <w:r>
        <w:rPr/>
      </w:r>
    </w:p>
    <w:tbl>
      <w:tblPr>
        <w:tblW w:w="710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64"/>
        <w:gridCol w:w="164"/>
        <w:gridCol w:w="166"/>
        <w:gridCol w:w="682"/>
        <w:gridCol w:w="682"/>
        <w:gridCol w:w="682"/>
        <w:gridCol w:w="682"/>
        <w:gridCol w:w="682"/>
        <w:gridCol w:w="68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32.2</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of WESCO International, Inc. (the “Company”) on Form 10-K for the fiscal year ended December 31, 2025,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 of the Company.  </w:t>
      </w:r>
    </w:p>
    <w:p>
      <w:pPr>
        <w:pStyle w:val="TextBody"/>
        <w:bidi w:val="0"/>
        <w:spacing w:before="0" w:after="0"/>
        <w:jc w:val="center"/>
        <w:rPr/>
      </w:pPr>
      <w:r>
        <w:rPr/>
      </w:r>
    </w:p>
    <w:tbl>
      <w:tblPr>
        <w:tblW w:w="7449"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64"/>
        <w:gridCol w:w="164"/>
        <w:gridCol w:w="166"/>
        <w:gridCol w:w="739"/>
        <w:gridCol w:w="739"/>
        <w:gridCol w:w="739"/>
        <w:gridCol w:w="739"/>
        <w:gridCol w:w="739"/>
        <w:gridCol w:w="744"/>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929008/000114036120000664/nc10007564x1_ex2-1.htm" TargetMode="External"/><Relationship Id="rId5" Type="http://schemas.openxmlformats.org/officeDocument/2006/relationships/hyperlink" Target="https://www.sec.gov/Archives/edgar/data/929008/000119312525161240/d94104dex32.htm" TargetMode="External"/><Relationship Id="rId6" Type="http://schemas.openxmlformats.org/officeDocument/2006/relationships/hyperlink" Target="https://www.sec.gov/Archives/edgar/data/929008/000119312525161240/d94104dex33.htm" TargetMode="External"/><Relationship Id="rId7" Type="http://schemas.openxmlformats.org/officeDocument/2006/relationships/hyperlink" Target="https://www.sec.gov/Archives/edgar/data/929008/000119312525161240/d94104dex33.htm" TargetMode="External"/><Relationship Id="rId8" Type="http://schemas.openxmlformats.org/officeDocument/2006/relationships/hyperlink" Target="https://www.sec.gov/Archives/edgar/data/929008/000119312525161240/d94104dex33.htm" TargetMode="External"/><Relationship Id="rId9" Type="http://schemas.openxmlformats.org/officeDocument/2006/relationships/hyperlink" Target="https://www.sec.gov/Archives/edgar/data/929008/000119312525161240/d94104dex33.htm" TargetMode="External"/><Relationship Id="rId10" Type="http://schemas.openxmlformats.org/officeDocument/2006/relationships/hyperlink" Target="https://www.sec.gov/Archives/edgar/data/929008/000119312525161240/d94104dex33.htm" TargetMode="External"/><Relationship Id="rId11" Type="http://schemas.openxmlformats.org/officeDocument/2006/relationships/hyperlink" Target="https://www.sec.gov/Archives/edgar/data/929008/000114036120013677/ex4_1.htm" TargetMode="External"/><Relationship Id="rId12" Type="http://schemas.openxmlformats.org/officeDocument/2006/relationships/hyperlink" Target="https://www.sec.gov/Archives/edgar/data/929008/000114036120013677/ex4_1.htm" TargetMode="External"/><Relationship Id="rId13" Type="http://schemas.openxmlformats.org/officeDocument/2006/relationships/hyperlink" Target="https://www.sec.gov/Archives/edgar/data/929008/000114036120013677/ex4_1.htm" TargetMode="External"/><Relationship Id="rId14" Type="http://schemas.openxmlformats.org/officeDocument/2006/relationships/hyperlink" Target="https://www.sec.gov/Archives/edgar/data/929008/000114036120013677/ex4_1.htm" TargetMode="External"/><Relationship Id="rId15" Type="http://schemas.openxmlformats.org/officeDocument/2006/relationships/hyperlink" Target="https://www.sec.gov/Archives/edgar/data/929008/000114036120013677/ex4_1.htm" TargetMode="External"/><Relationship Id="rId16" Type="http://schemas.openxmlformats.org/officeDocument/2006/relationships/hyperlink" Target="https://www.sec.gov/Archives/edgar/data/929008/000114036120014340/ex4_2.htm" TargetMode="External"/><Relationship Id="rId17" Type="http://schemas.openxmlformats.org/officeDocument/2006/relationships/hyperlink" Target="https://www.sec.gov/Archives/edgar/data/929008/000119312524063782/d765127dex41.htm" TargetMode="External"/><Relationship Id="rId18" Type="http://schemas.openxmlformats.org/officeDocument/2006/relationships/hyperlink" Target="https://www.sec.gov/Archives/edgar/data/929008/000119312525048516/d861758dex41.htm" TargetMode="External"/><Relationship Id="rId19" Type="http://schemas.openxmlformats.org/officeDocument/2006/relationships/hyperlink" Target="https://www.sec.gov/Archives/edgar/data/929008/000119312525048516/d861758dex41.htm" TargetMode="External"/><Relationship Id="rId20" Type="http://schemas.openxmlformats.org/officeDocument/2006/relationships/hyperlink" Target="https://www.sec.gov/Archives/edgar/data/929008/000119312525048516/d861758dex41.htm" TargetMode="External"/><Relationship Id="rId21" Type="http://schemas.openxmlformats.org/officeDocument/2006/relationships/hyperlink" Target="https://www.sec.gov/Archives/edgar/data/929008/000119312525048516/d861758dex41.htm" TargetMode="External"/><Relationship Id="rId22" Type="http://schemas.openxmlformats.org/officeDocument/2006/relationships/hyperlink" Target="https://www.sec.gov/Archives/edgar/data/929008/000119312525048516/d861758dex41.htm" TargetMode="External"/><Relationship Id="rId23" Type="http://schemas.openxmlformats.org/officeDocument/2006/relationships/hyperlink" Target="https://www.sec.gov/Archives/edgar/data/929008/000119312525048516/d861758dex41.htm" TargetMode="External"/><Relationship Id="rId24" Type="http://schemas.openxmlformats.org/officeDocument/2006/relationships/hyperlink" Target="https://www.sec.gov/Archives/edgar/data/929008/000092900812000010/wcc-12312011xex105.htm" TargetMode="External"/><Relationship Id="rId25" Type="http://schemas.openxmlformats.org/officeDocument/2006/relationships/hyperlink" Target="https://www.sec.gov/Archives/edgar/data/929008/000092900812000010/wcc-12312011xex107.htm" TargetMode="External"/><Relationship Id="rId26" Type="http://schemas.openxmlformats.org/officeDocument/2006/relationships/hyperlink" Target="https://www.sec.gov/Archives/edgar/data/929008/000095012309059338/l38005exv10w2.htm" TargetMode="External"/><Relationship Id="rId27" Type="http://schemas.openxmlformats.org/officeDocument/2006/relationships/hyperlink" Target="https://www.sec.gov/Archives/edgar/data/929008/000119312513155588/d476054ddef14a.htm" TargetMode="External"/><Relationship Id="rId28" Type="http://schemas.openxmlformats.org/officeDocument/2006/relationships/hyperlink" Target="https://www.sec.gov/Archives/edgar/data/929008/000092900815000006/a1033-2015approvedxformofs.htm" TargetMode="External"/><Relationship Id="rId29" Type="http://schemas.openxmlformats.org/officeDocument/2006/relationships/hyperlink" Target="https://www.sec.gov/Archives/edgar/data/929008/000092900815000032/wescofourtharreceivablespu.htm" TargetMode="External"/><Relationship Id="rId30" Type="http://schemas.openxmlformats.org/officeDocument/2006/relationships/hyperlink" Target="https://www.sec.gov/Archives/edgar/data/929008/000092900816000049/ex-1024.htm" TargetMode="External"/><Relationship Id="rId31" Type="http://schemas.openxmlformats.org/officeDocument/2006/relationships/hyperlink" Target="https://www.sec.gov/Archives/edgar/data/929008/000092900816000075/ex101firstamend4tharrpa.htm" TargetMode="External"/><Relationship Id="rId32" Type="http://schemas.openxmlformats.org/officeDocument/2006/relationships/hyperlink" Target="https://www.sec.gov/Archives/edgar/data/929008/000092900816000075/ex102secondamend4tharrpa.htm" TargetMode="External"/><Relationship Id="rId33" Type="http://schemas.openxmlformats.org/officeDocument/2006/relationships/hyperlink" Target="https://www.sec.gov/Archives/edgar/data/929008/000092900816000075/ex103thirdamend4tharrpa.htm" TargetMode="External"/><Relationship Id="rId34" Type="http://schemas.openxmlformats.org/officeDocument/2006/relationships/hyperlink" Target="https://www.sec.gov/Archives/edgar/data/929008/000092900816000075/ex104fourthamend4tharrpa.htm" TargetMode="External"/><Relationship Id="rId35" Type="http://schemas.openxmlformats.org/officeDocument/2006/relationships/hyperlink" Target="https://www.sec.gov/Archives/edgar/data/929008/000092900817000031/wcc-5thamendmentto4thrpa.htm" TargetMode="External"/><Relationship Id="rId36" Type="http://schemas.openxmlformats.org/officeDocument/2006/relationships/hyperlink" Target="https://www.sec.gov/Archives/edgar/data/929008/000092900818000004/wccex1022sixthamendmentto4.htm" TargetMode="External"/><Relationship Id="rId37" Type="http://schemas.openxmlformats.org/officeDocument/2006/relationships/hyperlink" Target="https://www.sec.gov/Archives/edgar/data/929008/000092900818000004/wccex1022sixthamendmentto4.htm" TargetMode="External"/><Relationship Id="rId38" Type="http://schemas.openxmlformats.org/officeDocument/2006/relationships/hyperlink" Target="https://www.sec.gov/Archives/edgar/data/929008/000092900818000004/wccex1022sixthamendmentto4.htm" TargetMode="External"/><Relationship Id="rId39" Type="http://schemas.openxmlformats.org/officeDocument/2006/relationships/hyperlink" Target="https://www.sec.gov/Archives/edgar/data/929008/000092900818000004/wccex1023nonemployeersuagr.htm" TargetMode="External"/><Relationship Id="rId40" Type="http://schemas.openxmlformats.org/officeDocument/2006/relationships/hyperlink" Target="https://www.sec.gov/Archives/edgar/data/929008/000092900818000004/wccex1024employeersuagreem.htm" TargetMode="External"/><Relationship Id="rId41" Type="http://schemas.openxmlformats.org/officeDocument/2006/relationships/hyperlink" Target="https://www.sec.gov/Archives/edgar/data/929008/000092900818000004/wccex1025employeesarsagree.htm" TargetMode="External"/><Relationship Id="rId42" Type="http://schemas.openxmlformats.org/officeDocument/2006/relationships/hyperlink" Target="https://www.sec.gov/Archives/edgar/data/929008/000092900818000004/wccex1026formofnoticeofpsu.htm" TargetMode="External"/><Relationship Id="rId43" Type="http://schemas.openxmlformats.org/officeDocument/2006/relationships/hyperlink" Target="https://www.sec.gov/Archives/edgar/data/929008/000092900818000004/wccex1026formofnoticeofpsu.htm" TargetMode="External"/><Relationship Id="rId44" Type="http://schemas.openxmlformats.org/officeDocument/2006/relationships/hyperlink" Target="https://www.sec.gov/Archives/edgar/data/929008/000092900818000004/wccex1026formofnoticeofpsu.htm" TargetMode="External"/><Relationship Id="rId45" Type="http://schemas.openxmlformats.org/officeDocument/2006/relationships/hyperlink" Target="https://www.sec.gov/Archives/edgar/data/929008/000119312517125272/d323870ddef14a.htm" TargetMode="External"/><Relationship Id="rId46" Type="http://schemas.openxmlformats.org/officeDocument/2006/relationships/hyperlink" Target="https://www.sec.gov/Archives/edgar/data/929008/000092900818000034/wcc-7thamendmentto4tharr.htm" TargetMode="External"/><Relationship Id="rId47" Type="http://schemas.openxmlformats.org/officeDocument/2006/relationships/hyperlink" Target="https://www.sec.gov/Archives/edgar/data/929008/000092900818000034/wcc-7thamendmentto4tharr.htm" TargetMode="External"/><Relationship Id="rId48" Type="http://schemas.openxmlformats.org/officeDocument/2006/relationships/hyperlink" Target="https://www.sec.gov/Archives/edgar/data/929008/000092900818000034/wcc-7thamendmentto4tharr.htm" TargetMode="External"/><Relationship Id="rId49" Type="http://schemas.openxmlformats.org/officeDocument/2006/relationships/hyperlink" Target="https://www.sec.gov/Archives/edgar/data/929008/000092900819000006/wcc-ex1030_8thamendto4th.htm" TargetMode="External"/><Relationship Id="rId50" Type="http://schemas.openxmlformats.org/officeDocument/2006/relationships/hyperlink" Target="https://www.sec.gov/Archives/edgar/data/929008/000092900819000006/wcc-ex1030_8thamendto4th.htm" TargetMode="External"/><Relationship Id="rId51" Type="http://schemas.openxmlformats.org/officeDocument/2006/relationships/hyperlink" Target="https://www.sec.gov/Archives/edgar/data/929008/000092900819000006/wcc-ex1030_8thamendto4th.htm" TargetMode="External"/><Relationship Id="rId52" Type="http://schemas.openxmlformats.org/officeDocument/2006/relationships/hyperlink" Target="https://www.sec.gov/Archives/edgar/data/929008/000092900819000027/wcc-ex101creditagree.htm" TargetMode="External"/><Relationship Id="rId53" Type="http://schemas.openxmlformats.org/officeDocument/2006/relationships/hyperlink" Target="https://www.sec.gov/Archives/edgar/data/929008/000092900819000027/wcc-ex102fourthrpa.htm" TargetMode="External"/><Relationship Id="rId54" Type="http://schemas.openxmlformats.org/officeDocument/2006/relationships/hyperlink" Target="https://www.sec.gov/Archives/edgar/data/929008/000119312520177778/d947977dex101.htm" TargetMode="External"/><Relationship Id="rId55" Type="http://schemas.openxmlformats.org/officeDocument/2006/relationships/hyperlink" Target="https://www.sec.gov/Archives/edgar/data/929008/000119312520177778/d947977dex102.htm" TargetMode="External"/><Relationship Id="rId56" Type="http://schemas.openxmlformats.org/officeDocument/2006/relationships/hyperlink" Target="https://www.sec.gov/Archives/edgar/data/929008/000092900820000052/wcc-ex100120200622.htm" TargetMode="External"/><Relationship Id="rId57" Type="http://schemas.openxmlformats.org/officeDocument/2006/relationships/hyperlink" Target="https://www.sec.gov/Archives/edgar/data/929008/000092900820000052/wcc-ex100120200622.htm" TargetMode="External"/><Relationship Id="rId58" Type="http://schemas.openxmlformats.org/officeDocument/2006/relationships/hyperlink" Target="https://www.sec.gov/Archives/edgar/data/929008/000092900820000052/wcc-ex100220200622.htm" TargetMode="External"/><Relationship Id="rId59" Type="http://schemas.openxmlformats.org/officeDocument/2006/relationships/hyperlink" Target="https://www.sec.gov/Archives/edgar/data/929008/000092900820000067/wcc-2q20ex101.htm" TargetMode="External"/><Relationship Id="rId60" Type="http://schemas.openxmlformats.org/officeDocument/2006/relationships/hyperlink" Target="https://www.sec.gov/Archives/edgar/data/929008/000092900820000067/wcc-2q20ex102.htm" TargetMode="External"/><Relationship Id="rId61" Type="http://schemas.openxmlformats.org/officeDocument/2006/relationships/hyperlink" Target="https://www.sec.gov/Archives/edgar/data/929008/000092900820000067/wcc-2q20ex103.htm" TargetMode="External"/><Relationship Id="rId62" Type="http://schemas.openxmlformats.org/officeDocument/2006/relationships/hyperlink" Target="https://www.sec.gov/Archives/edgar/data/929008/000092900820000067/wcc-2q20ex104.htm" TargetMode="External"/><Relationship Id="rId63" Type="http://schemas.openxmlformats.org/officeDocument/2006/relationships/hyperlink" Target="https://www.sec.gov/Archives/edgar/data/929008/000092900821000006/wcc-2020exx1040.htm" TargetMode="External"/><Relationship Id="rId64" Type="http://schemas.openxmlformats.org/officeDocument/2006/relationships/hyperlink" Target="https://www.sec.gov/Archives/edgar/data/929008/000092900821000006/wcc-2020exx1040.htm" TargetMode="External"/><Relationship Id="rId65" Type="http://schemas.openxmlformats.org/officeDocument/2006/relationships/hyperlink" Target="https://www.sec.gov/Archives/edgar/data/929008/000092900821000006/wcc-2020exx1040.htm" TargetMode="External"/><Relationship Id="rId66" Type="http://schemas.openxmlformats.org/officeDocument/2006/relationships/hyperlink" Target="https://www.sec.gov/Archives/edgar/data/929008/000092900821000006/wcc-2020exx1040.htm" TargetMode="External"/><Relationship Id="rId67" Type="http://schemas.openxmlformats.org/officeDocument/2006/relationships/hyperlink" Target="https://www.sec.gov/Archives/edgar/data/929008/000092900821000006/wcc-2020exx1040.htm" TargetMode="External"/><Relationship Id="rId68" Type="http://schemas.openxmlformats.org/officeDocument/2006/relationships/hyperlink" Target="https://www.sec.gov/Archives/edgar/data/929008/000092900821000006/wcc-2020exx1040.htm" TargetMode="External"/><Relationship Id="rId69" Type="http://schemas.openxmlformats.org/officeDocument/2006/relationships/hyperlink" Target="https://www.sec.gov/Archives/edgar/data/929008/000092900821000006/wcc-2020exx1040.htm" TargetMode="External"/><Relationship Id="rId70" Type="http://schemas.openxmlformats.org/officeDocument/2006/relationships/hyperlink" Target="https://www.sec.gov/Archives/edgar/data/929008/000092900821000006/wcc-2020exx1041.htm" TargetMode="External"/><Relationship Id="rId71" Type="http://schemas.openxmlformats.org/officeDocument/2006/relationships/hyperlink" Target="https://www.sec.gov/Archives/edgar/data/929008/000092900821000006/wcc-2020exx1041.htm" TargetMode="External"/><Relationship Id="rId72" Type="http://schemas.openxmlformats.org/officeDocument/2006/relationships/hyperlink" Target="https://www.sec.gov/Archives/edgar/data/929008/000092900821000006/wcc-2020exx1041.htm" TargetMode="External"/><Relationship Id="rId73" Type="http://schemas.openxmlformats.org/officeDocument/2006/relationships/hyperlink" Target="https://www.sec.gov/Archives/edgar/data/929008/000092900821000006/wcc-2020exx1041.htm" TargetMode="External"/><Relationship Id="rId74" Type="http://schemas.openxmlformats.org/officeDocument/2006/relationships/hyperlink" Target="https://www.sec.gov/Archives/edgar/data/929008/000092900821000006/wcc-2020exx1041.htm" TargetMode="External"/><Relationship Id="rId75" Type="http://schemas.openxmlformats.org/officeDocument/2006/relationships/hyperlink" Target="https://www.sec.gov/Archives/edgar/data/929008/000092900821000006/wcc-2020exx1041.htm" TargetMode="External"/><Relationship Id="rId76" Type="http://schemas.openxmlformats.org/officeDocument/2006/relationships/hyperlink" Target="https://www.sec.gov/Archives/edgar/data/929008/000092900821000006/wcc-2020exx1041.htm" TargetMode="External"/><Relationship Id="rId77" Type="http://schemas.openxmlformats.org/officeDocument/2006/relationships/hyperlink" Target="https://www.sec.gov/Archives/edgar/data/929008/000119312521113153/d32084ddef14a.htm" TargetMode="External"/><Relationship Id="rId78" Type="http://schemas.openxmlformats.org/officeDocument/2006/relationships/hyperlink" Target="https://www.sec.gov/Archives/edgar/data/929008/000092900821000012/wcc-1q21ex102.htm" TargetMode="External"/><Relationship Id="rId79" Type="http://schemas.openxmlformats.org/officeDocument/2006/relationships/hyperlink" Target="https://www.sec.gov/Archives/edgar/data/929008/000092900821000018/wcc-ex102rsuagreement.htm" TargetMode="External"/><Relationship Id="rId80" Type="http://schemas.openxmlformats.org/officeDocument/2006/relationships/hyperlink" Target="https://www.sec.gov/Archives/edgar/data/929008/000092900821000018/wcc-ex103rsuagreement.htm" TargetMode="External"/><Relationship Id="rId81" Type="http://schemas.openxmlformats.org/officeDocument/2006/relationships/hyperlink" Target="https://www.sec.gov/Archives/edgar/data/929008/000092900821000018/wcc-ex104saragreement.htm" TargetMode="External"/><Relationship Id="rId82" Type="http://schemas.openxmlformats.org/officeDocument/2006/relationships/hyperlink" Target="https://www.sec.gov/Archives/edgar/data/929008/000092900821000031/wcc-2q21exx101.htm" TargetMode="External"/><Relationship Id="rId83" Type="http://schemas.openxmlformats.org/officeDocument/2006/relationships/hyperlink" Target="https://www.sec.gov/Archives/edgar/data/929008/000092900821000031/wcc-2q21exx101.htm" TargetMode="External"/><Relationship Id="rId84" Type="http://schemas.openxmlformats.org/officeDocument/2006/relationships/hyperlink" Target="https://www.sec.gov/Archives/edgar/data/0000929008/000092900822000006/wcc-101x2162022.htm" TargetMode="External"/><Relationship Id="rId85" Type="http://schemas.openxmlformats.org/officeDocument/2006/relationships/hyperlink" Target="https://www.sec.gov/Archives/edgar/data/0000929008/000092900822000006/wcc-102x2162022.htm" TargetMode="External"/><Relationship Id="rId86" Type="http://schemas.openxmlformats.org/officeDocument/2006/relationships/hyperlink" Target="https://www.sec.gov/Archives/edgar/data/929008/000119312522063077/d687836dex101.htm" TargetMode="External"/><Relationship Id="rId87" Type="http://schemas.openxmlformats.org/officeDocument/2006/relationships/hyperlink" Target="https://www.sec.gov/Archives/edgar/data/929008/000119312522063077/d687836dex102.htm" TargetMode="External"/><Relationship Id="rId88" Type="http://schemas.openxmlformats.org/officeDocument/2006/relationships/hyperlink" Target="https://www.sec.gov/Archives/edgar/data/929008/000092900822000014/wcc-1q22exx101.htm" TargetMode="External"/><Relationship Id="rId89" Type="http://schemas.openxmlformats.org/officeDocument/2006/relationships/hyperlink" Target="https://www.sec.gov/Archives/edgar/data/929008/000119312522211314/d384544dex101.htm" TargetMode="External"/><Relationship Id="rId90" Type="http://schemas.openxmlformats.org/officeDocument/2006/relationships/hyperlink" Target="https://www.sec.gov/Archives/edgar/data/929008/000119312522211314/d384544dex102.htm" TargetMode="External"/><Relationship Id="rId91" Type="http://schemas.openxmlformats.org/officeDocument/2006/relationships/hyperlink" Target="https://www.sec.gov/Archives/edgar/data/929008/000119312522275820/d390959dex101.htm" TargetMode="External"/><Relationship Id="rId92" Type="http://schemas.openxmlformats.org/officeDocument/2006/relationships/hyperlink" Target="https://www.sec.gov/Archives/edgar/data/929008/000119312522275820/d390959dex102.htm" TargetMode="External"/><Relationship Id="rId93" Type="http://schemas.openxmlformats.org/officeDocument/2006/relationships/hyperlink" Target="https://www.sec.gov/Archives/edgar/data/929008/000092900823000006/wcc-2022ex1049.htm" TargetMode="External"/><Relationship Id="rId94" Type="http://schemas.openxmlformats.org/officeDocument/2006/relationships/hyperlink" Target="https://www.sec.gov/Archives/edgar/data/929008/000092900823000011/wcc-1q23exx101.htm" TargetMode="External"/><Relationship Id="rId95" Type="http://schemas.openxmlformats.org/officeDocument/2006/relationships/hyperlink" Target="https://www.sec.gov/Archives/edgar/data/929008/000092900824000013/wcc-1q24exx101.htm" TargetMode="External"/><Relationship Id="rId96" Type="http://schemas.openxmlformats.org/officeDocument/2006/relationships/hyperlink" Target="https://www.sec.gov/Archives/edgar/data/929008/000092900824000013/wcc-1q24exx102.htm" TargetMode="External"/><Relationship Id="rId97" Type="http://schemas.openxmlformats.org/officeDocument/2006/relationships/hyperlink" Target="https://www.sec.gov/Archives/edgar/data/929008/000092900824000013/wcc-1q24exx103.htm" TargetMode="External"/><Relationship Id="rId98" Type="http://schemas.openxmlformats.org/officeDocument/2006/relationships/hyperlink" Target="https://www.sec.gov/Archives/edgar/data/929008/000092900824000013/wcc-1q24exx104.htm" TargetMode="External"/><Relationship Id="rId99" Type="http://schemas.openxmlformats.org/officeDocument/2006/relationships/hyperlink" Target="https://www.sec.gov/Archives/edgar/data/929008/000119312524063782/d765127dex101.htm" TargetMode="External"/><Relationship Id="rId100" Type="http://schemas.openxmlformats.org/officeDocument/2006/relationships/hyperlink" Target="https://www.sec.gov/Archives/edgar/data/929008/000119312525048516/d861758dex101.htm" TargetMode="External"/><Relationship Id="rId101" Type="http://schemas.openxmlformats.org/officeDocument/2006/relationships/hyperlink" Target="https://www.sec.gov/Archives/edgar/data/929008/000119312525048516/d861758dex101.htm" TargetMode="External"/><Relationship Id="rId102" Type="http://schemas.openxmlformats.org/officeDocument/2006/relationships/hyperlink" Target="https://www.sec.gov/Archives/edgar/data/929008/000119312525048516/d861758dex101.htm" TargetMode="External"/><Relationship Id="rId103" Type="http://schemas.openxmlformats.org/officeDocument/2006/relationships/hyperlink" Target="https://www.sec.gov/Archives/edgar/data/929008/000119312525048516/d861758dex101.htm" TargetMode="External"/><Relationship Id="rId104" Type="http://schemas.openxmlformats.org/officeDocument/2006/relationships/hyperlink" Target="https://www.sec.gov/Archives/edgar/data/929008/000119312525048516/d861758dex101.htm" TargetMode="External"/><Relationship Id="rId105" Type="http://schemas.openxmlformats.org/officeDocument/2006/relationships/hyperlink" Target="https://www.sec.gov/Archives/edgar/data/929008/000119312525048516/d861758dex101.htm" TargetMode="External"/><Relationship Id="rId106" Type="http://schemas.openxmlformats.org/officeDocument/2006/relationships/hyperlink" Target="https://www.sec.gov/Archives/edgar/data/929008/000119312525048516/d861758dex101.htm" TargetMode="External"/><Relationship Id="rId107" Type="http://schemas.openxmlformats.org/officeDocument/2006/relationships/hyperlink" Target="https://www.sec.gov/Archives/edgar/data/929008/000119312525048516/d861758dex101.htm" TargetMode="External"/><Relationship Id="rId108" Type="http://schemas.openxmlformats.org/officeDocument/2006/relationships/hyperlink" Target="https://www.sec.gov/Archives/edgar/data/929008/000119312525048516/d861758dex101.htm" TargetMode="External"/><Relationship Id="rId109" Type="http://schemas.openxmlformats.org/officeDocument/2006/relationships/hyperlink" Target="https://www.sec.gov/Archives/edgar/data/929008/000119312525048516/d861758dex101.htm" TargetMode="External"/><Relationship Id="rId110" Type="http://schemas.openxmlformats.org/officeDocument/2006/relationships/hyperlink" Target="https://www.sec.gov/Archives/edgar/data/929008/000119312525048516/d861758dex101.htm" TargetMode="External"/><Relationship Id="rId111" Type="http://schemas.openxmlformats.org/officeDocument/2006/relationships/hyperlink" Target="https://www.sec.gov/Archives/edgar/data/929008/000119312525048516/d861758dex102.htm" TargetMode="External"/><Relationship Id="rId112" Type="http://schemas.openxmlformats.org/officeDocument/2006/relationships/hyperlink" Target="https://www.sec.gov/Archives/edgar/data/929008/000119312525048516/d861758dex102.htm" TargetMode="External"/><Relationship Id="rId113" Type="http://schemas.openxmlformats.org/officeDocument/2006/relationships/hyperlink" Target="https://www.sec.gov/Archives/edgar/data/929008/000119312525048516/d861758dex102.htm" TargetMode="External"/><Relationship Id="rId114" Type="http://schemas.openxmlformats.org/officeDocument/2006/relationships/hyperlink" Target="https://www.sec.gov/Archives/edgar/data/929008/000119312525048516/d861758dex102.htm" TargetMode="External"/><Relationship Id="rId115" Type="http://schemas.openxmlformats.org/officeDocument/2006/relationships/hyperlink" Target="https://www.sec.gov/Archives/edgar/data/929008/000119312525048516/d861758dex102.htm" TargetMode="External"/><Relationship Id="rId116" Type="http://schemas.openxmlformats.org/officeDocument/2006/relationships/hyperlink" Target="https://www.sec.gov/Archives/edgar/data/929008/000119312525048516/d861758dex102.htm" TargetMode="External"/><Relationship Id="rId117" Type="http://schemas.openxmlformats.org/officeDocument/2006/relationships/hyperlink" Target="https://www.sec.gov/Archives/edgar/data/929008/000119312525048516/d861758dex102.htm" TargetMode="External"/><Relationship Id="rId118" Type="http://schemas.openxmlformats.org/officeDocument/2006/relationships/hyperlink" Target="https://www.sec.gov/Archives/edgar/data/929008/000119312525048516/d861758dex102.htm" TargetMode="External"/><Relationship Id="rId119" Type="http://schemas.openxmlformats.org/officeDocument/2006/relationships/hyperlink" Target="https://www.sec.gov/Archives/edgar/data/929008/000119312525048516/d861758dex102.htm" TargetMode="External"/><Relationship Id="rId120" Type="http://schemas.openxmlformats.org/officeDocument/2006/relationships/hyperlink" Target="https://www.sec.gov/Archives/edgar/data/929008/000119312525048516/d861758dex102.htm" TargetMode="External"/><Relationship Id="rId121" Type="http://schemas.openxmlformats.org/officeDocument/2006/relationships/hyperlink" Target="https://www.sec.gov/Archives/edgar/data/929008/000119312525048516/d861758dex102.htm" TargetMode="External"/><Relationship Id="rId122" Type="http://schemas.openxmlformats.org/officeDocument/2006/relationships/hyperlink" Target="https://www.sec.gov/Archives/edgar/data/929008/000119312525048516/d861758dex102.htm" TargetMode="External"/><Relationship Id="rId123" Type="http://schemas.openxmlformats.org/officeDocument/2006/relationships/hyperlink" Target="https://www.sec.gov/Archives/edgar/data/929008/000092900825000012/wcc-1q25exx101.htm" TargetMode="External"/><Relationship Id="rId124" Type="http://schemas.openxmlformats.org/officeDocument/2006/relationships/hyperlink" Target="https://www.sec.gov/Archives/edgar/data/929008/000092900825000012/wcc-1q25exx101.htm" TargetMode="External"/><Relationship Id="rId125" Type="http://schemas.openxmlformats.org/officeDocument/2006/relationships/hyperlink" Target="https://www.sec.gov/Archives/edgar/data/929008/000092900825000012/wcc-1q25exx101.htm" TargetMode="External"/><Relationship Id="rId126" Type="http://schemas.openxmlformats.org/officeDocument/2006/relationships/hyperlink" Target="https://www.sec.gov/Archives/edgar/data/929008/000092900825000034/wcc-3q25exx101.htm" TargetMode="External"/><Relationship Id="rId127" Type="http://schemas.openxmlformats.org/officeDocument/2006/relationships/hyperlink" Target="https://www.sec.gov/Archives/edgar/data/929008/000092900825000034/wcc-3q25exx101.htm" TargetMode="External"/><Relationship Id="rId128" Type="http://schemas.openxmlformats.org/officeDocument/2006/relationships/hyperlink" Target="https://www.sec.gov/Archives/edgar/data/929008/000092900825000034/wcc-3q25exx101.htm" TargetMode="External"/><Relationship Id="rId129" Type="http://schemas.openxmlformats.org/officeDocument/2006/relationships/hyperlink" Target="https://www.sec.gov/Archives/edgar/data/929008/000092900825000034/wcc-3q25exx101.htm" TargetMode="External"/><Relationship Id="rId130" Type="http://schemas.openxmlformats.org/officeDocument/2006/relationships/hyperlink" Target="https://www.sec.gov/Archives/edgar/data/929008/000092900825000034/wcc-3q25exx101.htm" TargetMode="External"/><Relationship Id="rId131" Type="http://schemas.openxmlformats.org/officeDocument/2006/relationships/hyperlink" Target="https://www.sec.gov/Archives/edgar/data/929008/000092900825000034/wcc-3q25exx101.htm" TargetMode="External"/><Relationship Id="rId132" Type="http://schemas.openxmlformats.org/officeDocument/2006/relationships/hyperlink" Target="https://www.sec.gov/Archives/edgar/data/929008/000092900825000005/wcc-2024ex191.htm" TargetMode="External"/><Relationship Id="rId133" Type="http://schemas.openxmlformats.org/officeDocument/2006/relationships/hyperlink" Target="https://www.sec.gov/Archives/edgar/data/929008/000092900824000005/wcc-2023ex97.htm" TargetMode="External"/><Relationship Id="rId134" Type="http://schemas.openxmlformats.org/officeDocument/2006/relationships/fontTable" Target="fontTable.xml"/><Relationship Id="rId1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65687</Words>
  <Characters>375679</Characters>
  <CharactersWithSpaces>437605</CharactersWithSpaces>
  <Paragraphs>6229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