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680720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706120</wp:posOffset>
            </wp:positionV>
            <wp:extent cx="7003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89" w:lineRule="exact"/>
        <w:rPr>
          <w:sz w:val="24"/>
          <w:szCs w:val="24"/>
          <w:color w:val="auto"/>
        </w:rPr>
      </w:pPr>
    </w:p>
    <w:p>
      <w:pPr>
        <w:ind w:left="560" w:right="1339" w:hanging="437"/>
        <w:spacing w:after="0" w:line="382" w:lineRule="auto"/>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 xml:space="preserve">ANNUAL REPORT PURSUANT TO SECTION 15(d) OF THE SECURITIES EXCHANGE ACT OF 1934 </w:t>
      </w:r>
      <w:r>
        <w:rPr>
          <w:rFonts w:ascii="Times New Roman" w:cs="Times New Roman" w:eastAsia="Times New Roman" w:hAnsi="Times New Roman"/>
          <w:sz w:val="18"/>
          <w:szCs w:val="18"/>
          <w:color w:val="auto"/>
        </w:rPr>
        <w:t>For the fiscal year ended December 31, 2025</w:t>
      </w: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40" w:lineRule="exact"/>
        <w:rPr>
          <w:sz w:val="24"/>
          <w:szCs w:val="24"/>
          <w:color w:val="auto"/>
        </w:rPr>
      </w:pPr>
    </w:p>
    <w:p>
      <w:pPr>
        <w:ind w:left="560" w:hanging="439"/>
        <w:spacing w:after="0"/>
        <w:tabs>
          <w:tab w:leader="none" w:pos="56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144" w:lineRule="exact"/>
        <w:rPr>
          <w:sz w:val="24"/>
          <w:szCs w:val="24"/>
          <w:color w:val="auto"/>
        </w:rPr>
      </w:pPr>
    </w:p>
    <w:p>
      <w:pPr>
        <w:ind w:left="560"/>
        <w:spacing w:after="0"/>
        <w:tabs>
          <w:tab w:leader="none" w:pos="3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1737360</wp:posOffset>
            </wp:positionH>
            <wp:positionV relativeFrom="paragraph">
              <wp:posOffset>-7620</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1-14989</w:t>
      </w:r>
    </w:p>
    <w:p>
      <w:pPr>
        <w:spacing w:after="0" w:line="175"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Full title of the plan and address of the plan, if different from that of the issuer named below:</w:t>
      </w:r>
    </w:p>
    <w:p>
      <w:pPr>
        <w:spacing w:after="0" w:line="160" w:lineRule="exact"/>
        <w:rPr>
          <w:sz w:val="24"/>
          <w:szCs w:val="24"/>
          <w:color w:val="auto"/>
        </w:rPr>
      </w:pPr>
    </w:p>
    <w:p>
      <w:pPr>
        <w:jc w:val="right"/>
        <w:ind w:right="919"/>
        <w:spacing w:after="0"/>
        <w:rPr>
          <w:sz w:val="20"/>
          <w:szCs w:val="20"/>
          <w:color w:val="auto"/>
        </w:rPr>
      </w:pPr>
      <w:r>
        <w:rPr>
          <w:rFonts w:ascii="Times New Roman" w:cs="Times New Roman" w:eastAsia="Times New Roman" w:hAnsi="Times New Roman"/>
          <w:sz w:val="25"/>
          <w:szCs w:val="25"/>
          <w:b w:val="1"/>
          <w:bCs w:val="1"/>
          <w:color w:val="auto"/>
        </w:rPr>
        <w:t>WESCO DISTRIBUTION, INC. RETIREMENT SAVINGS PLAN</w:t>
      </w:r>
    </w:p>
    <w:p>
      <w:pPr>
        <w:spacing w:after="0" w:line="182" w:lineRule="exact"/>
        <w:rPr>
          <w:sz w:val="24"/>
          <w:szCs w:val="24"/>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WESCO International, Inc.</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225 West Station Square Drive</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Suite 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Pittsburgh, Pennsylvania 15219-1122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348615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374650</wp:posOffset>
            </wp:positionV>
            <wp:extent cx="7003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45"/>
        </w:trPr>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2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0000FF"/>
              </w:rPr>
              <w:t>1</w:t>
            </w:r>
          </w:p>
        </w:tc>
        <w:tc>
          <w:tcPr>
            <w:tcW w:w="420" w:type="dxa"/>
            <w:vAlign w:val="bottom"/>
          </w:tcPr>
          <w:p>
            <w:pPr>
              <w:spacing w:after="0"/>
              <w:rPr>
                <w:sz w:val="24"/>
                <w:szCs w:val="24"/>
                <w:color w:val="auto"/>
              </w:rPr>
            </w:pPr>
          </w:p>
        </w:tc>
      </w:tr>
      <w:tr>
        <w:trPr>
          <w:trHeight w:val="520"/>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52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0000FF"/>
              </w:rPr>
              <w:t>2</w:t>
            </w:r>
          </w:p>
        </w:tc>
        <w:tc>
          <w:tcPr>
            <w:tcW w:w="420" w:type="dxa"/>
            <w:vAlign w:val="bottom"/>
          </w:tcPr>
          <w:p>
            <w:pPr>
              <w:spacing w:after="0"/>
              <w:rPr>
                <w:sz w:val="24"/>
                <w:szCs w:val="24"/>
                <w:color w:val="auto"/>
              </w:rPr>
            </w:pPr>
          </w:p>
        </w:tc>
      </w:tr>
      <w:tr>
        <w:trPr>
          <w:trHeight w:val="479"/>
        </w:trPr>
        <w:tc>
          <w:tcPr>
            <w:tcW w:w="340" w:type="dxa"/>
            <w:vAlign w:val="bottom"/>
          </w:tcPr>
          <w:p>
            <w:pPr>
              <w:spacing w:after="0"/>
              <w:rPr>
                <w:sz w:val="24"/>
                <w:szCs w:val="24"/>
                <w:color w:val="auto"/>
              </w:rPr>
            </w:pPr>
          </w:p>
        </w:tc>
        <w:tc>
          <w:tcPr>
            <w:tcW w:w="59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Statements of Changes in Net Assets Available for Benefits for the Years Ended</w:t>
            </w:r>
          </w:p>
        </w:tc>
        <w:tc>
          <w:tcPr>
            <w:tcW w:w="39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1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December 31, 2025 and 2024</w:t>
            </w:r>
          </w:p>
        </w:tc>
        <w:tc>
          <w:tcPr>
            <w:tcW w:w="3420" w:type="dxa"/>
            <w:vAlign w:val="bottom"/>
            <w:tcBorders>
              <w:top w:val="single" w:sz="8" w:color="0000FF"/>
            </w:tcBorders>
            <w:gridSpan w:val="2"/>
          </w:tcPr>
          <w:p>
            <w:pPr>
              <w:spacing w:after="0"/>
              <w:rPr>
                <w:sz w:val="18"/>
                <w:szCs w:val="18"/>
                <w:color w:val="auto"/>
              </w:rPr>
            </w:pPr>
          </w:p>
        </w:tc>
        <w:tc>
          <w:tcPr>
            <w:tcW w:w="416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18"/>
                <w:szCs w:val="18"/>
                <w:color w:val="auto"/>
              </w:rPr>
            </w:pPr>
          </w:p>
        </w:tc>
      </w:tr>
      <w:tr>
        <w:trPr>
          <w:trHeight w:val="480"/>
        </w:trPr>
        <w:tc>
          <w:tcPr>
            <w:tcW w:w="3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52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H (Form 5500), line 4(i) - Schedule of Assets (Held at End of Year) as of December 31, 2025*</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80"/>
        </w:trPr>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0"/>
        </w:trPr>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92" w:lineRule="exact"/>
        <w:rPr>
          <w:sz w:val="20"/>
          <w:szCs w:val="20"/>
          <w:color w:val="auto"/>
        </w:rPr>
      </w:pPr>
    </w:p>
    <w:p>
      <w:pPr>
        <w:ind w:right="20" w:firstLine="6"/>
        <w:spacing w:after="0" w:line="237"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required by Section 2520.103-10 of the Department of Labor’s Rules and Regulations for Reporting and Disclosure under the Employee Retirement Income Security Act of 1974 have been omitted because they are 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EXHIBITS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Exhibit 23 –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1187450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49"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right="5540"/>
        <w:spacing w:after="0" w:line="266" w:lineRule="auto"/>
        <w:rPr>
          <w:sz w:val="20"/>
          <w:szCs w:val="20"/>
          <w:color w:val="auto"/>
        </w:rPr>
      </w:pPr>
      <w:r>
        <w:rPr>
          <w:rFonts w:ascii="Times New Roman" w:cs="Times New Roman" w:eastAsia="Times New Roman" w:hAnsi="Times New Roman"/>
          <w:sz w:val="18"/>
          <w:szCs w:val="18"/>
          <w:color w:val="auto"/>
        </w:rPr>
        <w:t>To the Plan Administrator, Plan Participants and Benefits Fiduciary Committee WESCO Distribution, Inc. Retirement Savings Plan Pittsburgh, Pennsylvania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WESCO Distribution, Inc. Retirement Savings Plan (the “Plan”) as of December 31, 2025 and 2024, the related statements of changes in net assets available for benefits for the years ended December 31, 2025 and 2024,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years ended December 31, 2025 and 2024,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supplemental information in the accompanying ERISA-required Supplemental Schedule H, line 4i -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auto"/>
        </w:rPr>
        <w:t>WESCO Distribution,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Savings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at fair value (Notes 2 and 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2,104,334,221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1,796,948,887</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Investment at contract value (Note 5)</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85,404,701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92,795,035</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2,189,738,922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1,889,743,922</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 contributions (Note 1)</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3,084,727</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Notes receivable from participants (Note 6)</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24,540,339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22,600,711</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receivables</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28,515,900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25,685,438</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2,218,254,822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1,915,429,360</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60" w:top="907" w:right="1119" w:bottom="1440" w:gutter="0" w:footer="0" w:header="0"/>
        </w:sectPr>
      </w:pPr>
    </w:p>
    <w:bookmarkStart w:id="4" w:name="page5"/>
    <w:bookmarkEnd w:id="4"/>
    <w:p>
      <w:pPr>
        <w:ind w:left="100"/>
        <w:spacing w:after="0"/>
        <w:rPr>
          <w:sz w:val="20"/>
          <w:szCs w:val="20"/>
          <w:color w:val="auto"/>
        </w:rPr>
      </w:pPr>
      <w:r>
        <w:rPr>
          <w:rFonts w:ascii="Times New Roman" w:cs="Times New Roman" w:eastAsia="Times New Roman" w:hAnsi="Times New Roman"/>
          <w:sz w:val="25"/>
          <w:szCs w:val="25"/>
          <w:b w:val="1"/>
          <w:bCs w:val="1"/>
          <w:color w:val="auto"/>
        </w:rPr>
        <w:t>WESCO Distribution, Inc.</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5"/>
          <w:szCs w:val="25"/>
          <w:b w:val="1"/>
          <w:bCs w:val="1"/>
          <w:color w:val="auto"/>
        </w:rPr>
        <w:t>Retirement Savings Plan</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contributions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110,784,221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99,723,931</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rollovers (Note 1)</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19,499,572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14,569,465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57,232,172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51,547,700</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273,485,827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233,163,157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on notes receivable from participants (Note 6)</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1,560,743</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and other income</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20,073,602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16,461,650</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additions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483,054,593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417,026,646</w:t>
            </w:r>
          </w:p>
        </w:tc>
        <w:tc>
          <w:tcPr>
            <w:tcW w:w="0" w:type="dxa"/>
            <w:vAlign w:val="bottom"/>
          </w:tcPr>
          <w:p>
            <w:pPr>
              <w:spacing w:after="0"/>
              <w:rPr>
                <w:sz w:val="1"/>
                <w:szCs w:val="1"/>
                <w:color w:val="auto"/>
              </w:rPr>
            </w:pPr>
          </w:p>
        </w:tc>
      </w:tr>
      <w:tr>
        <w:trPr>
          <w:trHeight w:val="250"/>
        </w:trPr>
        <w:tc>
          <w:tcPr>
            <w:tcW w:w="7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203,061,836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202,528,600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1,474,854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1,265,618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deductions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204,536,690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203,794,218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before transfers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278,517,903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213,232,428</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Transfers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transfers in to (out of) plan (Note 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24,307,559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(13,774,178)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after transfers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302,825,462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199,458,250</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1,915,429,360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1,715,971,110</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2,218,254,822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1,915,429,360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54" w:lineRule="exact"/>
        <w:rPr>
          <w:sz w:val="20"/>
          <w:szCs w:val="20"/>
          <w:color w:val="auto"/>
        </w:rPr>
      </w:pPr>
    </w:p>
    <w:p>
      <w:pPr>
        <w:ind w:left="500" w:right="9260" w:hanging="492"/>
        <w:spacing w:after="0" w:line="534" w:lineRule="auto"/>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 General</w:t>
      </w: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WESCO Distribution, Inc. Retirement Savings Plan (the “Plan”) was established as of February 28, 1994 (the “date of inception”). At the date of inception, certain employees of the predecessor company became employees of WESCO Distribution, Inc. (the “Company” or the “Plan Sponsor”) and participants in the Plan, and all funds held by the prior plans of the predecessor company were transferred to the Plan. The Plan is administered by the Benefits Fiduciary Committee (the “Plan Administrator”). The Plan Administrator is responsible for directing the Plan's administrative activities and oversees the selection of funds available to participants of the Plan for investment and reinvestment of the assets in the Plan's trust.</w:t>
      </w:r>
    </w:p>
    <w:p>
      <w:pPr>
        <w:spacing w:after="0" w:line="214"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a participant-directed defined contribution plan covering certain employees of the Company and former employees with a fund balance of at least $5,000 who elected to maintain their funds in the Plan. Former employees cannot make contributions to the Plan.</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Participation for eligible employees, as defined in the plan document, requires an employee to be paid through the Plan Sponsor's payroll system.</w:t>
      </w:r>
    </w:p>
    <w:p>
      <w:pPr>
        <w:spacing w:after="0" w:line="2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Trustee</w:t>
      </w:r>
    </w:p>
    <w:p>
      <w:pPr>
        <w:spacing w:after="0" w:line="256"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of the Plan is Fidelity Management Trust Company and the recordkeeper of the Plan is Fidelity Workplace Services, LLC (collectively, “Fidelity”).</w:t>
      </w:r>
    </w:p>
    <w:p>
      <w:pPr>
        <w:spacing w:after="0" w:line="15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Plan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22, 2024, the Plan Sponsor entered into a definitive agreement to sell 100% of the equity interests of its Wesco Integrated Supply (“WIS”) business. On April 1, 2024, the Plan Sponsor completed this sale. On June 3, 2024, all plan assets of participants employed by the WIS business totaling $33.5 million, inclusive of notes receivable from participants of $0.5 million, were transferred out of the Plan.</w:t>
      </w:r>
    </w:p>
    <w:p>
      <w:pPr>
        <w:spacing w:after="0" w:line="175"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December 31, 2024, the Rahi Systems 401(k) Plan (“Rahi Plan”) merged into the Plan. The net assets of the Rahi Plan totaling $19.7 million, inclusive of notes receivable from participants of $0.2 million, were transferred into the Plan on December 31, 2024.</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December 31, 2025, the Ascent, LLC 401(k) Plan (“Ascent Plan”) and the Industrial Software Solutions I, LLC 401(k) Profit Sharing Plan and Trust (“ISS Plan”) merged into the Plan. The net assets of the Ascent Plan and the ISS Plan totaling $21.6 million and $2.8 million, respectively, were transferred into the Plan on December 31, 2025.</w:t>
      </w:r>
    </w:p>
    <w:p>
      <w:pPr>
        <w:spacing w:after="0" w:line="17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subject to the Employee Retirement Income Security Act of 1974, as amended (“ERISA”). For 2025, the Plan permitted participants to make both tax deferred and Roth contributions up to the lesser of 75% of their eligible compensation or $23,500. For 2024, the Plan permitted participants to make both tax deferred and Roth contributions up to the lesser of 75% of their eligible compensation or $23,000. Participant contributions are recorded when they are withheld from the participant's wages.</w:t>
      </w:r>
    </w:p>
    <w:p>
      <w:pPr>
        <w:spacing w:after="0" w:line="179" w:lineRule="exact"/>
        <w:rPr>
          <w:rFonts w:ascii="Times New Roman" w:cs="Times New Roman" w:eastAsia="Times New Roman" w:hAnsi="Times New Roman"/>
          <w:sz w:val="18"/>
          <w:szCs w:val="18"/>
          <w:b w:val="1"/>
          <w:bCs w:val="1"/>
          <w:color w:val="auto"/>
        </w:rPr>
      </w:pPr>
    </w:p>
    <w:p>
      <w:pPr>
        <w:jc w:val="both"/>
        <w:ind w:left="50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who have attained age 50 before the close of the plan year are eligible to make catch-up contributions in addition to pre-tax contributions. A catch-up contribution is a pre-tax contribution that exceeds the annual deferral limit. For 2025 and 2024, a participant's total catch-up contribution could not exceed $7,500. For 2025, a participant between ages 60 through 63 can make catch-up contributions that could not exceed $11,250. The catch-up contribution limits are determined by the Internal Revenue Service (“IRS”) and then indexed for inflation. In addition to cash, in-kind contributions are permitted, which may consist of stocks, bonds, property or other securities.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58"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Company matches contributions made by employees into the Plan at an amount equal to 100% of a participant's eligible elective deferrals up to 3% of the participant's eligible compensation and 50% of the next 4% of eligible compensation. For certain highly compensated employees, matching contributions are made into a separate non-qualified deferred compensation plan instead of the Plan. The Company performs a true-up calculation at the end of each plan year so that the full employer matching contribution is made for all participants of the Plan. Any necessary additional matching contribution is made in the subsequent year. The true-up contributions for the years ended December 31, 2025 and 2024 were approximately $4.0 million and $3.1 million, respectively, and are recorded as employer contributions receivable in the accompanying Statements of Net Assets Available for Benefits.</w:t>
      </w:r>
    </w:p>
    <w:p>
      <w:pPr>
        <w:spacing w:after="0" w:line="175" w:lineRule="exact"/>
        <w:rPr>
          <w:sz w:val="20"/>
          <w:szCs w:val="20"/>
          <w:color w:val="auto"/>
        </w:rPr>
      </w:pPr>
    </w:p>
    <w:p>
      <w:pPr>
        <w:jc w:val="both"/>
        <w:ind w:left="500"/>
        <w:spacing w:after="0" w:line="250" w:lineRule="auto"/>
        <w:rPr>
          <w:sz w:val="20"/>
          <w:szCs w:val="20"/>
          <w:color w:val="auto"/>
        </w:rPr>
      </w:pPr>
      <w:r>
        <w:rPr>
          <w:rFonts w:ascii="Times New Roman" w:cs="Times New Roman" w:eastAsia="Times New Roman" w:hAnsi="Times New Roman"/>
          <w:sz w:val="18"/>
          <w:szCs w:val="18"/>
          <w:color w:val="auto"/>
        </w:rPr>
        <w:t>Participants may rollover into the Plan amounts representing distributions from other qualified retirement plans, an individual retirement account or an annuity. For the years ended December 31, 2025 and 2024, the Plan accepted employee rollover contributions of approximately $19.5 million and $14.6 million, respectively.</w:t>
      </w:r>
    </w:p>
    <w:p>
      <w:pPr>
        <w:spacing w:after="0" w:line="204" w:lineRule="exact"/>
        <w:rPr>
          <w:sz w:val="20"/>
          <w:szCs w:val="20"/>
          <w:color w:val="auto"/>
        </w:rPr>
      </w:pPr>
    </w:p>
    <w:p>
      <w:pPr>
        <w:jc w:val="both"/>
        <w:ind w:left="500"/>
        <w:spacing w:after="0" w:line="250" w:lineRule="auto"/>
        <w:rPr>
          <w:sz w:val="20"/>
          <w:szCs w:val="20"/>
          <w:color w:val="auto"/>
        </w:rPr>
      </w:pPr>
      <w:r>
        <w:rPr>
          <w:rFonts w:ascii="Times New Roman" w:cs="Times New Roman" w:eastAsia="Times New Roman" w:hAnsi="Times New Roman"/>
          <w:sz w:val="18"/>
          <w:szCs w:val="18"/>
          <w:color w:val="auto"/>
        </w:rPr>
        <w:t>In 2024, excess plan assets of $8.9 million from the termination of the Anixter Inc. Pension Plan were transferred to the Plan as a transfer to a qualified replacement plan. The transfer was used to fund certain of the Company’s matching contributions to the Plan during 2024 and is included in employer contributions in the accompanying Statement of Changes in Net Assets Available for Benefits.</w:t>
      </w:r>
    </w:p>
    <w:p>
      <w:pPr>
        <w:spacing w:after="0" w:line="217"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Plan includes a negative enrollment policy. Under this policy, if an individual does not submit an automatic enrollment waiver or elect a deferral rate, the employee will be automatically enrolled in the Plan at a 3% deferral rate with the ability to opt-out.</w:t>
      </w:r>
    </w:p>
    <w:p>
      <w:pPr>
        <w:spacing w:after="0" w:line="16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Under the Plan's annual increase program, participant contributions automatically increase at a rate of 1% annually each April 1 until the deferral rate equals 7%. Participants may opt-out of automatic annual increases, elect to continue automatic deferral rate increases after reaching the maximum deferral rate, or elect automatic increases at a different rate, up to a maximum of 3%.</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Participants are fully vested in the value of their contributions and related investment income at all times. Participants hired prior to January 1, 2022 vest in their allocated share of employer contributions at 0% for less than one year of service, 25% for one year of service, and 100% for two or more years of service. Participants hired on or after January 1, 2022 vest in their allocated share of employer contributions at 0% for less than two years of service and 100% for two or more years of service.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5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 participant may not withdraw any amount from their vested account balance unless they are age 59½, retire, become deceased or disabled, terminate employment, or experience financial hardship. A participant with at least five years of continuous service may withdraw matching contributions and earnings on matching contributions.</w:t>
      </w:r>
    </w:p>
    <w:p>
      <w:pPr>
        <w:spacing w:after="0" w:line="176"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Under present IRS rules, a “hardship” means an immediate and heavy need to draw on financial resources to meet obligations related to health, education, housing, or death of a family member.</w:t>
      </w:r>
    </w:p>
    <w:p>
      <w:pPr>
        <w:spacing w:after="0" w:line="16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Upon termination of service, distributions of a participant's vested account balance are made as either a single lump-sum payment, substantially equal monthly, quarterly, semi-annual or annual installments, or a transfer to the trustee or custodian of another eligible retirement plan.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25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Employer contributions forfeited by participants not vested at their termination date are used to reinstate previously forfeited account balances of former participants who have returned to the Company, reduce employer contributions in accordance with the Plan's provisions, pay Plan expenses or are allocated to participants' accounts. Total forfeitures that reduced employer contributions in 2025 and 2024 were approximately $3.0 million and $3.9 million, respectively. As of December 31, 2025 and 2024, a balance of approximately $0.3 million and $0.8 million, respectively, was available to reinstate previously forfeited account balances, reduce employer contributions, pay Plan expenses or allocate to participants' accounts.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5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An account is maintained for each participant, which is credited with the participant's and the employer's matching contributions, an allocation of employer's contributions, and plan earnings and charged with benefit payments and an allocation of plan losses and administrative expenses. Allocations are based on participant contributions or account balances, as defined by the Plan. The benefit to which a participant is entitled is the benefit that can be provided from the participant's vested account balance.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Participants are permitted to borrow against a portion of their vested account balance, pursuant to nondiscriminatory rules established by the Plan Administrator, up to a maximum of the lesser of $50,000 or 50% of their vested account balance. The loans are secured by the balance in the participant's account. Each loan is to be repaid over a period not to exceed five years, unless the loan is for the purchase of a participant's primary residence or the participant is absent due to military leave, in which case the Plan may allow for a longer repayment term. A participant may have only one loan outstanding at a time, may not refinance an existing loan, or apply for an additional loan for the purpose of paying off an existing loan. Refer to Note 6, "Notes Receivable From Participants" for additional information regarding notes receivable from participants.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25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Although the Company has not expressed any intent to do so, it has the right under the Plan to discontinue its contributions at any time and to terminate the Plan subject to the provisions of ERISA. In the event the Plan terminates, participants will become 100% vested in their accounts, and all vested assets shall be distributed to the participants in accordance with the terms of the Plan, or in such other manner, not inconsistent with the requirements of any applicable law or regulation, as the Company may in its sole discretion determine.</w:t>
      </w:r>
    </w:p>
    <w:p>
      <w:pPr>
        <w:spacing w:after="0" w:line="203" w:lineRule="exact"/>
        <w:rPr>
          <w:sz w:val="20"/>
          <w:szCs w:val="20"/>
          <w:color w:val="auto"/>
        </w:rPr>
      </w:pPr>
    </w:p>
    <w:p>
      <w:pPr>
        <w:ind w:left="500" w:right="7360" w:hanging="492"/>
        <w:spacing w:after="0" w:line="534" w:lineRule="auto"/>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Accounting Principles</w:t>
      </w: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of the Plan have been prepared in accordance with accounting principles generally accepted in the United States of America. The Plan's significant accounting policies are described below.</w:t>
      </w:r>
    </w:p>
    <w:p>
      <w:pPr>
        <w:spacing w:after="0" w:line="15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p>
    <w:p>
      <w:pPr>
        <w:spacing w:after="0" w:line="256"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of the Plan are maintained on the accrual basis of accounting.</w:t>
      </w:r>
    </w:p>
    <w:p>
      <w:pPr>
        <w:spacing w:after="0" w:line="2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56"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significant estimates and assumptions. These estimates may affect the reported amounts of assets and liabilities and the disclosure of contingent assets and liabilities as of the date of the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5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Investments held by the Plan are reported at fair value, except for the fully benefit-responsive contract associated with the Stable Value Fund, which is reported at contract value. Fair value is defined as the exchange price that would be received for an asset or paid to transfer a liability in the principal or most advantageous market for the asset or liability in an orderly transaction between market participants on the respective measurement date.</w:t>
      </w:r>
    </w:p>
    <w:p>
      <w:pPr>
        <w:spacing w:after="0" w:line="18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Plan has adopted a framework for measuring fair value that prioritizes the inputs to valuation techniques. The fair value hierarchy gives the highest priority to unadjusted quoted prices in active markets for identical assets or liabilities (Level 1) and the lowest priority to unobservable inputs (Level 3). Valuation techniques maximize the use of relevant observable inputs and minimize the use of unobservable inputs.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225" w:lineRule="exact"/>
        <w:rPr>
          <w:sz w:val="20"/>
          <w:szCs w:val="20"/>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investments the Plan has the ability to access.</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include:</w:t>
      </w:r>
    </w:p>
    <w:p>
      <w:pPr>
        <w:spacing w:after="0" w:line="252"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52"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252"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252"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52"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there is little or no market activity for the asset or liability, which requires the Plan to develop its own estimates and assumptions relating to the pricing of the asset or liability, including assumptions regarding risk.</w:t>
      </w:r>
    </w:p>
    <w:p>
      <w:pPr>
        <w:spacing w:after="0" w:line="189"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w:t>
      </w:r>
    </w:p>
    <w:p>
      <w:pPr>
        <w:spacing w:after="0" w:line="162"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Investments for which fair value is measured using the net asset value (“NAV”) per share (or its equivalent) practical expedient are not classified in the fair value hierarchy.</w:t>
      </w:r>
    </w:p>
    <w:p>
      <w:pPr>
        <w:spacing w:after="0" w:line="162"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methodologies used for assets measured at fair value. There have been no changes in the methodologies used as of December 31, 2025 and 2024.</w:t>
      </w:r>
    </w:p>
    <w:p>
      <w:pPr>
        <w:spacing w:after="0" w:line="189" w:lineRule="exact"/>
        <w:rPr>
          <w:sz w:val="20"/>
          <w:szCs w:val="20"/>
          <w:color w:val="auto"/>
        </w:rPr>
      </w:pPr>
    </w:p>
    <w:p>
      <w:pPr>
        <w:ind w:left="1140" w:hanging="322"/>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registered investment companies (mutual funds) and money market funds are valued at the NAV of shares held by the Plan as of December 31, 2025 and 2024. These funds held by the Plan are deemed to be actively traded.</w:t>
      </w:r>
    </w:p>
    <w:p>
      <w:pPr>
        <w:spacing w:after="0" w:line="188" w:lineRule="exact"/>
        <w:rPr>
          <w:rFonts w:ascii="Times New Roman" w:cs="Times New Roman" w:eastAsia="Times New Roman" w:hAnsi="Times New Roman"/>
          <w:sz w:val="18"/>
          <w:szCs w:val="18"/>
          <w:color w:val="auto"/>
        </w:rPr>
      </w:pPr>
    </w:p>
    <w:p>
      <w:pPr>
        <w:jc w:val="both"/>
        <w:ind w:left="1140" w:hanging="322"/>
        <w:spacing w:after="0" w:line="261"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Self-directed accounts consist of cash and cash equivalents, common stocks and mutual funds. Cash and cash equivalents are valued at cost plus accrued interest, which approximates fair value. Common stocks are valued at the closing price reported on the active market on which the individual securities are traded. Mutual funds are valued at the daily NAV as reported by the fund. These funds held by the Plan are deemed to be actively traded.</w:t>
      </w:r>
    </w:p>
    <w:p>
      <w:pPr>
        <w:spacing w:after="0" w:line="206"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Wesco Stock Fund consists of shares of WESCO International, Inc. common stock (“Wesco common stock”) and fractional shares resulting from normal trading activity that are invested in a short-term cash fund. Wesco common stock is valued at the quoted closing market price from a national securities exchange and the short-term cash investment is valued at cost, which approximates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140" w:hanging="322"/>
        <w:spacing w:after="0" w:line="254"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investment trust funds are valued at the NAV of units of each collective trust. These funds include the Loomis Sayles Large Cap Growth Trust Class C fund, various Capital Group target date retirement funds, the Spartan 500 Index Pool Class C fund, the Spartan Mid Cap Index Pool Class C fund, the Spartan Small Cap Index Pool Class C fund, and the Spartan Total International Index Pool Class C fund. The NAV, as provided by the trustees of each collective trust fund, is used as a practical expedient to estimate fair value. The NAV is based on the fair value of the underlying investments held by each fund less its liabilities. The Plan has the ability to redeem its investment in these funds at their NAV per unit. Participants are permitted to make redemptions from these funds on a daily basis and there is no redemption notice period for participant transactions. There were no unfunded commitments as of December 31, 2025 or 2024. These are direct filing entities.</w:t>
      </w:r>
    </w:p>
    <w:p>
      <w:pPr>
        <w:spacing w:after="0" w:line="19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as of the Plan's reporting date.</w:t>
      </w:r>
    </w:p>
    <w:p>
      <w:pPr>
        <w:spacing w:after="0" w:line="180"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Dividends are recorded on the ex-dividend date. Interest income is recorded on an accrual basis.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Net Appreciation in Fair Value of Investments</w:t>
      </w:r>
    </w:p>
    <w:p>
      <w:pPr>
        <w:spacing w:after="0" w:line="25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Plan presents in the Statements of Changes in Net Assets Available for Benefits the net appreciation in the fair value of its investments, consisting of realized gains (losses) and unrealized gains (losses) in the registered investment companies, the collective trust funds, the Wesco Stock Fund and self-directed accounts.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Plan provides for various investment options in any combination of stocks, bonds, fixed income securities and other investment securities. Investment securities are exposed to various risks, such as interest rate, market and credit risk. Due to the level of risk associated with certain investment securities and the level of uncertainty related to changes in the value of investment securities, it is at least reasonably possible that changes in the near-term could materially affect participants' account balances, and the amounts reported in the Statements of Net Assets Available for Benefits and the Statements of Changes in Net Assets Available for Benefits.</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5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Administrative expenses incurred by the Plan during the years ended December 31, 2025 and 2024 were charged to and paid from Plan assets. The Plan permits the application of forfeited assets to pay administrative expenses. Under the Plan’s current recordkeeping services agreement, the Plan Administrator utilizes the lowest gross expense ratio options for Plan investments.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Accounting pronouncements recently issued by the FASB or other applicable authoritative accounting standards groups with future effective dates are either not applicable or are not expected to be significant to the Plan's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5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56"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May 4, 2022, the Plan Sponsor adopted a pre-approved plan provided by Fidelity. Fidelity obtained a letter dated June 30, 2020, in which the IRS stated its opinion that the form of the Fidelity pre-approved plan is acceptable under Section 401 of the Internal Revenue Code (“IRC”) for use by employers for the benefit of their employees. Although the Plan has been amended since receiving the determination letter, the Plan Administrator believes that the Plan is designed, and is currently being operated, in compliance with the applicable requirements of the IRC and, therefore, believes that the Plan is still qualified. Accordingly, no provision for income taxes has been included in the Plan's financial statements.</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a taxing authority. The Plan is subject to routine audits by taxing jurisdictions; however, there are currently no audits for any tax periods in progress.</w:t>
      </w:r>
    </w:p>
    <w:p>
      <w:pPr>
        <w:spacing w:after="0" w:line="198"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56" w:lineRule="exact"/>
        <w:rPr>
          <w:rFonts w:ascii="Times New Roman" w:cs="Times New Roman" w:eastAsia="Times New Roman" w:hAnsi="Times New Roman"/>
          <w:sz w:val="18"/>
          <w:szCs w:val="18"/>
          <w:b w:val="1"/>
          <w:bCs w:val="1"/>
          <w:color w:val="auto"/>
        </w:rPr>
      </w:pPr>
    </w:p>
    <w:p>
      <w:pPr>
        <w:ind w:left="5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investments measured at fair value on a recurring basis within the fair value hierarchy level, as described in Note 2, "Summary of Significant Accounting Policies", were as follows: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45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registered investment companies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238,982,904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238,982,904</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accounts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51,179,570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51,179,570</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33,848,462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33,848,462</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Wesco Stock Fund</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14,278,347</w:t>
            </w:r>
          </w:p>
        </w:tc>
      </w:tr>
      <w:tr>
        <w:trPr>
          <w:trHeight w:val="223"/>
        </w:trPr>
        <w:tc>
          <w:tcPr>
            <w:tcW w:w="4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338,289,283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338,289,283</w:t>
            </w:r>
          </w:p>
        </w:tc>
      </w:tr>
      <w:tr>
        <w:trPr>
          <w:trHeight w:val="128"/>
        </w:trPr>
        <w:tc>
          <w:tcPr>
            <w:tcW w:w="4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75"/>
        </w:trPr>
        <w:tc>
          <w:tcPr>
            <w:tcW w:w="4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measured at NAV per share practical</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5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expedient</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1,766,044,938</w:t>
            </w:r>
          </w:p>
        </w:tc>
      </w:tr>
      <w:tr>
        <w:trPr>
          <w:trHeight w:val="22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338,289,283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2,104,334,221</w:t>
            </w:r>
          </w:p>
        </w:tc>
      </w:tr>
      <w:tr>
        <w:trPr>
          <w:trHeight w:val="21"/>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43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registered investment companies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198,696,818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198,696,818</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accounts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35,737,562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35,737,562</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33,756,683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33,756,683</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Wesco Stock Fund</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11,417,041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11,417,041</w:t>
            </w:r>
          </w:p>
        </w:tc>
      </w:tr>
      <w:tr>
        <w:trPr>
          <w:trHeight w:val="223"/>
        </w:trPr>
        <w:tc>
          <w:tcPr>
            <w:tcW w:w="4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279,608,104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279,608,104</w:t>
            </w:r>
          </w:p>
        </w:tc>
      </w:tr>
      <w:tr>
        <w:trPr>
          <w:trHeight w:val="129"/>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measured at NAV per share practical</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3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expedient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1,517,340,783</w:t>
            </w:r>
          </w:p>
        </w:tc>
      </w:tr>
      <w:tr>
        <w:trPr>
          <w:trHeight w:val="22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279,608,104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1,796,948,887</w:t>
            </w: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left="660" w:right="240" w:hanging="166"/>
        <w:spacing w:after="0" w:line="271" w:lineRule="auto"/>
        <w:tabs>
          <w:tab w:leader="none" w:pos="751"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investments are comprised of various collective investment trust funds, which are measured at fair value using the NAV per share as a practical expedient, and therefore have not been classified in the fair value hierarchy as of December 31, 2025 and 2024. These funds include the Loomis Sayles Large Cap Growth Trust Class C fund, various Capital Group target date retirement funds, the Spartan 500 Index Pool Class C fund, the Spartan Mid Cap Index Pool Class C fund, the Spartan Small Cap Index Pool Class C fund, and the Spartan Total International Index Pool Class C fund. The fair value of these funds is presented in the table above to permit reconciliation of the fair value hierarchy to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54"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Stable Value Fund</w:t>
      </w:r>
    </w:p>
    <w:p>
      <w:pPr>
        <w:spacing w:after="0" w:line="256"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offers a Stable Value Fund investment option to participants. The Lincoln Stable Value Fund is a fixed annuity contract issued by an insurance company that provides a guarantee of principal and interest backed by a general account of the issuing company. The general account consists of all the assets of the insurance company, including fixed income, equities, real estate, cash and others.</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issuing insurance company is contractually obligated to repay principal and interest at a specified rate to the Plan. There are no reserves against contract value for credit risk of the contract issuer or otherwise. Participants invested in the Stable Value Fund have a beneficial interest in the fixed annuity contract. Participants may ordinarily direct the withdrawal or transfer of all or a portion of their investment at contract value.</w:t>
      </w:r>
    </w:p>
    <w:p>
      <w:pPr>
        <w:spacing w:after="0" w:line="175"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premature termination of the contract by the Plan or plan termination, the insurance company may not cause the contract to be terminated at an amount other than contract value. The Plan Sponsor has not expressed any intention to take either of these actions.</w:t>
      </w:r>
    </w:p>
    <w:p>
      <w:pPr>
        <w:spacing w:after="0" w:line="161"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Lincoln Stable Value Fund is deemed to qualify as a fully benefit-responsive investment contract; therefore, contract value is the relevant measurement attribute.</w:t>
      </w:r>
    </w:p>
    <w:p>
      <w:pPr>
        <w:spacing w:after="0" w:line="18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Interest income is recognized on the accrual basis. Fees are recorded as administrative expenses and are recognized when they are incurred.</w:t>
      </w:r>
    </w:p>
    <w:p>
      <w:pPr>
        <w:spacing w:after="0" w:line="188"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applied to participant loans is established each month by the Plan Administrator at 1% above the prime interest rate. Principal and interest payments are generally made through monthly payroll deductions and are credited to the participant's individual account.</w:t>
      </w:r>
    </w:p>
    <w:p>
      <w:pPr>
        <w:spacing w:after="0" w:line="188"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of approximately $13.6 million and $14.5 million were made from the Plan and loan principal repayments of approximately $11.8 million and $10.9 million were received by the Plan during the years ended December 31, 2025 and 2024, respectively. Interest on promissory notes of approximately $2.0 million and $1.6 million was earned by the Plan for the years ended December 31, 2025 and 2024, respectively.</w:t>
      </w:r>
    </w:p>
    <w:p>
      <w:pPr>
        <w:spacing w:after="0" w:line="198"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and Party-In-Interest Transactions</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invests in certain mutual funds that are managed by Fidelity, the Plan's trustee. Transactions involving Fidelity funds qualify as party-in-interest.</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WESCO International, Inc. owns 100% of WESCO Distribution, Inc., the Plan Sponsor. The Plan held shares of the Wesco Stock Fund, which holds shares of common stock of WESCO International, Inc. as of December 31, 2025 and 2024. Therefore, transactions with this investment qualify as party-in-interest.</w:t>
      </w:r>
    </w:p>
    <w:p>
      <w:pPr>
        <w:spacing w:after="0" w:line="202"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Disbursements from the Wesco Stock Fund were approximately $0.8 million and $1.4 million for the years ended December 31, 2025 and 2024, respectively. Transfers out of the Wesco Stock Fund were approximately $0.2 million and $1.3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WESCO Distribution,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54"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56"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lawsuits or claims have been or may be asserted against the Plan. The outcome of any litigation cannot be predicted with certainty, and some lawsuits may be determined adversely to the Plan. However, the Plan Administrator does not believe that the ultimate outcome of any such pending matters is likely to have a material adverse effect on the Plan's net assets available for benefits, although the resolution in any fiscal period of one or more of these matters may have a material adverse effect on the Plan's net assets available for benefits for that period.</w:t>
      </w:r>
    </w:p>
    <w:p>
      <w:pPr>
        <w:spacing w:after="0" w:line="206"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26, 2021, an ERISA class action complaint was filed in U.S. District Court for the Western District of Pennsylvania (the “Court”) against WESCO Distribution, Inc., the Plan Administrator, and John and Jane Does 1-30 (collectively, the “Defendants”) alleging breach of fiduciary duties to participants of the Plan regarding the administrative fees being paid under the Plan. The alleged class includes participants from March 26, 2015 forward. The complaint sought injunctive relief and recovery of alleged damages. While the Company continues to deny all allegations, to avoid protracted litigation, they agreed to a settlement of $2.3 million in connection with the ERISA class action complaint. In November 2024, a settlement in principle was reached at mediation, and after receiving court approval, the effective date of the settlement agreement was July 23, 2025. The settlement payments were deposited in the participants' accounts on November 4, 2025 and are included in the Employee contributions line of the Statements of Changes in Net Assets Available for Benefits. The settlement was paid entirely by the Company's insurance carrier.</w:t>
      </w:r>
    </w:p>
    <w:p>
      <w:pPr>
        <w:spacing w:after="0" w:line="21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6"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Sponsor evaluated subsequent events for recognition or disclosure in these financial statements through June 18, 2026, the day these financial statements were available to be issued, and determined there were no subsequent events that would require recognition in these financial statements or disclosure in the notes thereto.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WESCO Distribution,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H (Form 5500), line 4(i) - Schedule of Assets (Held at End of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EIN 25-1723345, Plan Number 001</w:t>
      </w:r>
    </w:p>
    <w:p>
      <w:pPr>
        <w:spacing w:after="0" w:line="145"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w:t>
            </w:r>
          </w:p>
        </w:tc>
        <w:tc>
          <w:tcPr>
            <w:tcW w:w="28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w:t>
            </w:r>
          </w:p>
        </w:tc>
        <w:tc>
          <w:tcPr>
            <w:tcW w:w="50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w:t>
            </w:r>
          </w:p>
        </w:tc>
        <w:tc>
          <w:tcPr>
            <w:tcW w:w="9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(d)</w:t>
            </w:r>
          </w:p>
        </w:tc>
        <w:tc>
          <w:tcPr>
            <w:tcW w:w="12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r>
      <w:tr>
        <w:trPr>
          <w:trHeight w:val="203"/>
        </w:trPr>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8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50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Including Maturity Date,</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8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Borrower, Lessor or</w:t>
            </w:r>
          </w:p>
        </w:tc>
        <w:tc>
          <w:tcPr>
            <w:tcW w:w="50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Rate of Interest, Collateral,</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Current</w:t>
            </w:r>
          </w:p>
        </w:tc>
      </w:tr>
      <w:tr>
        <w:trPr>
          <w:trHeight w:val="226"/>
        </w:trPr>
        <w:tc>
          <w:tcPr>
            <w:tcW w:w="30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5040" w:type="dxa"/>
            <w:vAlign w:val="bottom"/>
            <w:tcBorders>
              <w:bottom w:val="single" w:sz="8" w:color="CCEEFF"/>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Par, or Maturity Value</w:t>
            </w:r>
          </w:p>
        </w:tc>
        <w:tc>
          <w:tcPr>
            <w:tcW w:w="980" w:type="dxa"/>
            <w:vAlign w:val="bottom"/>
            <w:tcBorders>
              <w:bottom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8"/>
                <w:szCs w:val="18"/>
                <w:b w:val="1"/>
                <w:bCs w:val="1"/>
                <w:color w:val="auto"/>
                <w:vertAlign w:val="superscript"/>
              </w:rPr>
              <w:t>(1)</w:t>
            </w:r>
          </w:p>
        </w:tc>
        <w:tc>
          <w:tcPr>
            <w:tcW w:w="12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3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GABELLI</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Gabelli U.S. Treasury Money Market Fund Class AAA</w:t>
            </w: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33,848,462</w:t>
            </w:r>
          </w:p>
        </w:tc>
      </w:tr>
      <w:tr>
        <w:trPr>
          <w:trHeight w:val="94"/>
        </w:trPr>
        <w:tc>
          <w:tcPr>
            <w:tcW w:w="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03"/>
        </w:trPr>
        <w:tc>
          <w:tcPr>
            <w:tcW w:w="3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BARON FUNDS</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Baron Small Cap Fund Class R-6</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15,841,050</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COHEN &amp; STEERS</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Cohen &amp; Steers Global Realty Shares, Inc. Class Z</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3,291,053</w:t>
            </w:r>
          </w:p>
        </w:tc>
      </w:tr>
      <w:tr>
        <w:trPr>
          <w:trHeight w:val="210"/>
        </w:trPr>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FIDELITY</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Fidelity Inflation-Protected Bond Index Fund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5,513,192</w:t>
            </w:r>
          </w:p>
        </w:tc>
      </w:tr>
      <w:tr>
        <w:trPr>
          <w:trHeight w:val="195"/>
        </w:trPr>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FIDELITY</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Fidelity U.S. Bond Index Fund</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29,957,259</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HARTFORD FUNDS</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Hartford International Opportunities Fund Class R6</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71,010,098</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MFS FAMILY OF FUNDS</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MFS Value Fund (Class R6)</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46,900,764</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NATIXIS FUNDS</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Loomis Sayles Investment Grade Bond Fund Class 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44,370,439</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PIMCO</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PIMCO High Yield Fund Institutional Class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5,604,379</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UNDISCOVERED MANAGERS</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Undiscovered Managers Behavioral Value Fund Class R6</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12,836,513</w:t>
            </w:r>
          </w:p>
        </w:tc>
      </w:tr>
      <w:tr>
        <w:trPr>
          <w:trHeight w:val="196"/>
        </w:trPr>
        <w:tc>
          <w:tcPr>
            <w:tcW w:w="30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VANGUARD</w:t>
            </w:r>
          </w:p>
        </w:tc>
        <w:tc>
          <w:tcPr>
            <w:tcW w:w="5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International Bond Index Fund Admiral</w:t>
            </w:r>
          </w:p>
        </w:tc>
        <w:tc>
          <w:tcPr>
            <w:tcW w:w="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3,658,157</w:t>
            </w:r>
          </w:p>
        </w:tc>
      </w:tr>
      <w:tr>
        <w:trPr>
          <w:trHeight w:val="196"/>
        </w:trPr>
        <w:tc>
          <w:tcPr>
            <w:tcW w:w="30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Registered Investment Companies Total</w:t>
            </w:r>
          </w:p>
        </w:tc>
        <w:tc>
          <w:tcPr>
            <w:tcW w:w="5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238,982,904</w:t>
            </w:r>
          </w:p>
        </w:tc>
      </w:tr>
      <w:tr>
        <w:trPr>
          <w:trHeight w:val="81"/>
        </w:trPr>
        <w:tc>
          <w:tcPr>
            <w:tcW w:w="3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5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03"/>
        </w:trPr>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WESCO INTERNATIONAL, INC.</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Wesco Stock Fund</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14,278,347</w:t>
            </w:r>
          </w:p>
        </w:tc>
      </w:tr>
      <w:tr>
        <w:trPr>
          <w:trHeight w:val="94"/>
        </w:trPr>
        <w:tc>
          <w:tcPr>
            <w:tcW w:w="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03"/>
        </w:trPr>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FIDELITY</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8,572,556</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19,771,923</w:t>
            </w:r>
          </w:p>
        </w:tc>
      </w:tr>
      <w:tr>
        <w:trPr>
          <w:trHeight w:val="210"/>
        </w:trPr>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Mutual Funds</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22,835,091</w:t>
            </w:r>
          </w:p>
        </w:tc>
      </w:tr>
      <w:tr>
        <w:trPr>
          <w:trHeight w:val="190"/>
        </w:trPr>
        <w:tc>
          <w:tcPr>
            <w:tcW w:w="30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Self-Directed Accounts Total</w:t>
            </w:r>
          </w:p>
        </w:tc>
        <w:tc>
          <w:tcPr>
            <w:tcW w:w="50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51,179,570</w:t>
            </w:r>
          </w:p>
        </w:tc>
      </w:tr>
      <w:tr>
        <w:trPr>
          <w:trHeight w:val="81"/>
        </w:trPr>
        <w:tc>
          <w:tcPr>
            <w:tcW w:w="30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50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LOOMIS SAYLES</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Loomis Sayles Large Cap Growth Trust Class C</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287,571,617</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Great Gray Capital Group 2010 Target Date Trust Class 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6,775,539</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Great Gray Capital Group 2015 Target Date Trust Class MS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6,911,204</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Great Gray Capital Group 2020 Target Date Trust Class 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36,478,385</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Great Gray Capital Group 2025 Target Date Trust Class MS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94,805,984</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Great Gray Capital Group 2030 Target Date Trust Class 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218,752,302</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Great Gray Capital Group 2035 Target Date Trust Class MS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183,530,535</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Great Gray Capital Group 2040 Target Date Trust Class 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185,439,648</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Great Gray Capital Group 2045 Target Date Trust Class MS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131,164,596</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Great Gray Capital Group 2050 Target Date Trust Class 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97,104,808</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Great Gray Capital Group 2055 Target Date Trust Class MS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77,549,894</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Great Gray Capital Group 2060 Target Date Trust Class 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38,807,129</w:t>
            </w: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Great Gray Capital Group 2065 Target Date Trust Class MS</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16,495,187</w:t>
            </w:r>
          </w:p>
        </w:tc>
      </w:tr>
      <w:tr>
        <w:trPr>
          <w:trHeight w:val="210"/>
        </w:trPr>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CAPITALGROUP</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Great Gray Capital Group 2070 Target Date Trust Class 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139,396</w:t>
            </w:r>
          </w:p>
        </w:tc>
      </w:tr>
      <w:tr>
        <w:trPr>
          <w:trHeight w:val="195"/>
        </w:trPr>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SPARTAN</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Spartan 500 Index Pool Class C</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213,195,324</w:t>
            </w:r>
          </w:p>
        </w:tc>
      </w:tr>
      <w:tr>
        <w:trPr>
          <w:trHeight w:val="210"/>
        </w:trPr>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SPARTAN</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Spartan Mid Cap Index Pool Class C</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118,462,133</w:t>
            </w:r>
          </w:p>
        </w:tc>
      </w:tr>
      <w:tr>
        <w:trPr>
          <w:trHeight w:val="195"/>
        </w:trPr>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SPARTAN</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Spartan Small Cap Index Pool Class C</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21,117,593</w:t>
            </w:r>
          </w:p>
        </w:tc>
      </w:tr>
      <w:tr>
        <w:trPr>
          <w:trHeight w:val="210"/>
        </w:trPr>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SPARTAN</w:t>
            </w: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Spartan Total International Index Pool Class C</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31,743,664</w:t>
            </w:r>
          </w:p>
        </w:tc>
      </w:tr>
      <w:tr>
        <w:trPr>
          <w:trHeight w:val="190"/>
        </w:trPr>
        <w:tc>
          <w:tcPr>
            <w:tcW w:w="30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Collective Investment Trust Fund Total</w:t>
            </w:r>
          </w:p>
        </w:tc>
        <w:tc>
          <w:tcPr>
            <w:tcW w:w="50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1,766,044,938</w:t>
            </w:r>
          </w:p>
        </w:tc>
      </w:tr>
      <w:tr>
        <w:trPr>
          <w:trHeight w:val="81"/>
        </w:trPr>
        <w:tc>
          <w:tcPr>
            <w:tcW w:w="30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50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195"/>
        </w:trPr>
        <w:tc>
          <w:tcPr>
            <w:tcW w:w="300" w:type="dxa"/>
            <w:vAlign w:val="bottom"/>
          </w:tcPr>
          <w:p>
            <w:pPr>
              <w:spacing w:after="0"/>
              <w:rPr>
                <w:sz w:val="16"/>
                <w:szCs w:val="16"/>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Stable Value Fund (Lincoln)</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Fully Benefit-Responsive Investment Contract</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85,404,701</w:t>
            </w:r>
          </w:p>
        </w:tc>
      </w:tr>
      <w:tr>
        <w:trPr>
          <w:trHeight w:val="102"/>
        </w:trPr>
        <w:tc>
          <w:tcPr>
            <w:tcW w:w="3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50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95"/>
        </w:trPr>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Participant Loans</w:t>
            </w:r>
          </w:p>
        </w:tc>
        <w:tc>
          <w:tcPr>
            <w:tcW w:w="5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3.25% - 10.50% with maturity dates through 2031</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24,540,339</w:t>
            </w:r>
          </w:p>
        </w:tc>
      </w:tr>
      <w:tr>
        <w:trPr>
          <w:trHeight w:val="102"/>
        </w:trPr>
        <w:tc>
          <w:tcPr>
            <w:tcW w:w="300" w:type="dxa"/>
            <w:vAlign w:val="bottom"/>
            <w:shd w:val="clear" w:color="auto" w:fill="CCEEFF"/>
          </w:tcPr>
          <w:p>
            <w:pPr>
              <w:spacing w:after="0"/>
              <w:rPr>
                <w:sz w:val="8"/>
                <w:szCs w:val="8"/>
                <w:color w:val="auto"/>
              </w:rPr>
            </w:pPr>
          </w:p>
        </w:tc>
        <w:tc>
          <w:tcPr>
            <w:tcW w:w="2800" w:type="dxa"/>
            <w:vAlign w:val="bottom"/>
            <w:shd w:val="clear" w:color="auto" w:fill="CCEEFF"/>
          </w:tcPr>
          <w:p>
            <w:pPr>
              <w:spacing w:after="0"/>
              <w:rPr>
                <w:sz w:val="8"/>
                <w:szCs w:val="8"/>
                <w:color w:val="auto"/>
              </w:rPr>
            </w:pPr>
          </w:p>
        </w:tc>
        <w:tc>
          <w:tcPr>
            <w:tcW w:w="50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r>
      <w:tr>
        <w:trPr>
          <w:trHeight w:val="196"/>
        </w:trPr>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Investments</w:t>
            </w:r>
          </w:p>
        </w:tc>
        <w:tc>
          <w:tcPr>
            <w:tcW w:w="5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2,214,279,261</w:t>
            </w:r>
          </w:p>
        </w:tc>
      </w:tr>
      <w:tr>
        <w:trPr>
          <w:trHeight w:val="20"/>
        </w:trPr>
        <w:tc>
          <w:tcPr>
            <w:tcW w:w="3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2"/>
        </w:trPr>
        <w:tc>
          <w:tcPr>
            <w:tcW w:w="30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50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bl>
    <w:p>
      <w:pPr>
        <w:ind w:left="520" w:right="5480" w:hanging="48"/>
        <w:spacing w:after="0" w:line="295" w:lineRule="auto"/>
        <w:tabs>
          <w:tab w:leader="none" w:pos="74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for participant directed investments is not required and therefore omitted. * Denotes a party-in-interest to the Plan.</w:t>
      </w:r>
    </w:p>
    <w:p>
      <w:pPr>
        <w:ind w:left="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All investments are stated at fair value as of December 31, 2025 with the exception of the Stable Value Fund (Lincoln), which is stated at contract value.</w:t>
      </w:r>
    </w:p>
    <w:p>
      <w:pPr>
        <w:spacing w:after="0" w:line="3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80" w:top="650" w:right="7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WESCO Distribution, Inc.</w:t>
            </w:r>
          </w:p>
        </w:tc>
      </w:tr>
      <w:tr>
        <w:trPr>
          <w:trHeight w:val="234"/>
        </w:trPr>
        <w:tc>
          <w:tcPr>
            <w:tcW w:w="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Retirement Savings Plan</w:t>
            </w:r>
          </w:p>
        </w:tc>
      </w:tr>
      <w:tr>
        <w:trPr>
          <w:trHeight w:val="228"/>
        </w:trPr>
        <w:tc>
          <w:tcPr>
            <w:tcW w:w="4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Plan)</w:t>
            </w:r>
          </w:p>
        </w:tc>
      </w:tr>
      <w:tr>
        <w:trPr>
          <w:trHeight w:val="34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June 18, 2026</w:t>
            </w:r>
          </w:p>
        </w:tc>
        <w:tc>
          <w:tcPr>
            <w:tcW w:w="7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By: /s/ Matthew S. Kulasa</w:t>
            </w:r>
          </w:p>
        </w:tc>
      </w:tr>
      <w:tr>
        <w:trPr>
          <w:trHeight w:val="218"/>
        </w:trPr>
        <w:tc>
          <w:tcPr>
            <w:tcW w:w="44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S. Kulasa</w:t>
            </w:r>
          </w:p>
        </w:tc>
      </w:tr>
      <w:tr>
        <w:trPr>
          <w:trHeight w:val="229"/>
        </w:trPr>
        <w:tc>
          <w:tcPr>
            <w:tcW w:w="4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Corporate Controller and Chief Accounting Officer</w:t>
            </w:r>
          </w:p>
        </w:tc>
      </w:tr>
      <w:tr>
        <w:trPr>
          <w:trHeight w:val="234"/>
        </w:trPr>
        <w:tc>
          <w:tcPr>
            <w:tcW w:w="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Plan's Benefits Fiduciary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or incorporated as part of this report:</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spacing w:after="0" w:line="42" w:lineRule="exact"/>
        <w:rPr>
          <w:sz w:val="20"/>
          <w:szCs w:val="20"/>
          <w:color w:val="auto"/>
        </w:rPr>
      </w:pPr>
    </w:p>
    <w:p>
      <w:pPr>
        <w:ind w:left="160"/>
        <w:spacing w:after="0"/>
        <w:tabs>
          <w:tab w:leader="none" w:pos="98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0719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 w:lineRule="exact"/>
        <w:rPr>
          <w:sz w:val="20"/>
          <w:szCs w:val="20"/>
          <w:color w:val="auto"/>
        </w:rPr>
      </w:pPr>
    </w:p>
    <w:p>
      <w:pPr>
        <w:ind w:left="1000" w:hanging="69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BDO USA, P.C. (filed herewith)</w:t>
      </w:r>
    </w:p>
    <w:p>
      <w:pPr>
        <w:spacing w:after="0" w:line="292"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color w:val="auto"/>
        </w:rPr>
        <w:t>Interactive Data File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39"/>
          </w:cols>
          <w:pgMar w:left="320" w:top="1211"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333-188979) of WESCO International, Inc. of our report dated June 18, 2026, relating to the financial statements and supplemental schedule of the WESCO Distribution, Inc. Retirement Savings Plan, which appear in this Form 11-K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upperLetter"/>
      <w:start w:val="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decimal"/>
      <w:start w:val="8"/>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2026-06-18T15:51:04Z</dcterms:created>
  <dcterms:modified xsi:type="dcterms:W3CDTF">2026-06-18T15:51:04Z</dcterms:modified>
</cp:coreProperties>
</file>