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6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May 26, 2020</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WESCO International,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535" w:right="339" w:bottom="1440" w:gutter="0" w:footer="0" w:header="0"/>
        </w:sectPr>
      </w:pPr>
    </w:p>
    <w:p>
      <w:pPr>
        <w:spacing w:after="0" w:line="232"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001-14989</w:t>
      </w:r>
    </w:p>
    <w:p>
      <w:pPr>
        <w:spacing w:after="0" w:line="27" w:lineRule="exact"/>
        <w:rPr>
          <w:sz w:val="24"/>
          <w:szCs w:val="24"/>
          <w:color w:val="auto"/>
        </w:rPr>
      </w:pPr>
    </w:p>
    <w:p>
      <w:pPr>
        <w:jc w:val="center"/>
        <w:ind w:right="8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25-1723342</w:t>
      </w:r>
    </w:p>
    <w:p>
      <w:pPr>
        <w:spacing w:after="0" w:line="27" w:lineRule="exact"/>
        <w:rPr>
          <w:sz w:val="24"/>
          <w:szCs w:val="24"/>
          <w:color w:val="auto"/>
        </w:rPr>
      </w:pPr>
    </w:p>
    <w:p>
      <w:pPr>
        <w:jc w:val="center"/>
        <w:ind w:right="62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3920" w:space="720"/>
            <w:col w:w="2800" w:space="720"/>
            <w:col w:w="3080"/>
          </w:cols>
          <w:pgMar w:left="320" w:top="535" w:right="339" w:bottom="1440" w:gutter="0" w:footer="0" w:header="0"/>
          <w:type w:val="continuous"/>
        </w:sectPr>
      </w:pPr>
    </w:p>
    <w:p>
      <w:pPr>
        <w:spacing w:after="0" w:line="57" w:lineRule="exact"/>
        <w:rPr>
          <w:sz w:val="24"/>
          <w:szCs w:val="24"/>
          <w:color w:val="auto"/>
        </w:rPr>
      </w:pPr>
    </w:p>
    <w:p>
      <w:pPr>
        <w:jc w:val="center"/>
        <w:ind w:right="1860"/>
        <w:spacing w:after="0"/>
        <w:rPr>
          <w:sz w:val="20"/>
          <w:szCs w:val="20"/>
          <w:color w:val="auto"/>
        </w:rPr>
      </w:pPr>
      <w:r>
        <w:rPr>
          <w:rFonts w:ascii="Arial" w:cs="Arial" w:eastAsia="Arial" w:hAnsi="Arial"/>
          <w:sz w:val="16"/>
          <w:szCs w:val="16"/>
          <w:b w:val="1"/>
          <w:bCs w:val="1"/>
          <w:color w:val="auto"/>
        </w:rPr>
        <w:t>225 West Station Square Drive</w:t>
      </w:r>
      <w:r>
        <w:rPr>
          <w:rFonts w:ascii="Arial" w:cs="Arial" w:eastAsia="Arial" w:hAnsi="Arial"/>
          <w:sz w:val="16"/>
          <w:szCs w:val="16"/>
          <w:color w:val="auto"/>
        </w:rPr>
        <w:t>,</w:t>
      </w:r>
      <w:r>
        <w:rPr>
          <w:rFonts w:ascii="Arial" w:cs="Arial" w:eastAsia="Arial" w:hAnsi="Arial"/>
          <w:sz w:val="16"/>
          <w:szCs w:val="16"/>
          <w:b w:val="1"/>
          <w:bCs w:val="1"/>
          <w:color w:val="auto"/>
        </w:rPr>
        <w:t xml:space="preserve"> Suite 700</w:t>
      </w:r>
    </w:p>
    <w:p>
      <w:pPr>
        <w:spacing w:after="0" w:line="50"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Pittsburgh, Pennsylvania</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15219</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438" w:lineRule="exact"/>
        <w:rPr>
          <w:sz w:val="24"/>
          <w:szCs w:val="24"/>
          <w:color w:val="auto"/>
        </w:rPr>
      </w:pPr>
    </w:p>
    <w:p>
      <w:pPr>
        <w:sectPr>
          <w:pgSz w:w="11900" w:h="16838" w:orient="portrait"/>
          <w:cols w:equalWidth="0" w:num="2">
            <w:col w:w="7380" w:space="720"/>
            <w:col w:w="3140"/>
          </w:cols>
          <w:pgMar w:left="320" w:top="535" w:right="339" w:bottom="1440" w:gutter="0" w:footer="0" w:header="0"/>
          <w:type w:val="continuous"/>
        </w:sectPr>
      </w:pP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(412) 454-2200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4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Title of Class</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Trading Symbol(s)</w:t>
            </w:r>
          </w:p>
        </w:tc>
        <w:tc>
          <w:tcPr>
            <w:tcW w:w="454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Exchange on which registered</w:t>
            </w:r>
          </w:p>
        </w:tc>
      </w:tr>
      <w:tr>
        <w:trPr>
          <w:trHeight w:val="230"/>
        </w:trPr>
        <w:tc>
          <w:tcPr>
            <w:tcW w:w="4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240" w:type="dxa"/>
            <w:vAlign w:val="bottom"/>
          </w:tcPr>
          <w:p>
            <w:pPr>
              <w:spacing w:after="0"/>
              <w:rPr>
                <w:sz w:val="20"/>
                <w:szCs w:val="20"/>
                <w:color w:val="auto"/>
              </w:rPr>
            </w:pPr>
          </w:p>
        </w:tc>
        <w:tc>
          <w:tcPr>
            <w:tcW w:w="1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WCC</w:t>
            </w:r>
          </w:p>
        </w:tc>
        <w:tc>
          <w:tcPr>
            <w:tcW w:w="100" w:type="dxa"/>
            <w:vAlign w:val="bottom"/>
          </w:tcPr>
          <w:p>
            <w:pPr>
              <w:spacing w:after="0"/>
              <w:rPr>
                <w:sz w:val="20"/>
                <w:szCs w:val="20"/>
                <w:color w:val="auto"/>
              </w:rPr>
            </w:pPr>
          </w:p>
        </w:tc>
        <w:tc>
          <w:tcPr>
            <w:tcW w:w="4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14"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4" w:lineRule="exact"/>
        <w:rPr>
          <w:sz w:val="24"/>
          <w:szCs w:val="24"/>
          <w:color w:val="auto"/>
        </w:rPr>
      </w:pPr>
    </w:p>
    <w:p>
      <w:pPr>
        <w:spacing w:after="0" w:line="207" w:lineRule="exact"/>
        <w:tabs>
          <w:tab w:leader="none" w:pos="250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326"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Notes Offering</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May 26, 2020, WESCO International, Inc. (the “Company”) announced that its wholly owned subsidiary, WESCO Distribution, Inc. (the “Issuer”), intends to offer (the “Offering”) to eligible purchasers, subject to market and other conditions, $1,825 million aggregate principal amount of senior notes due 2025 and $1,000 million aggregate principal amount of senior notes due 2028 (collectively, the “Notes”).</w:t>
      </w:r>
    </w:p>
    <w:p>
      <w:pPr>
        <w:spacing w:after="0" w:line="21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Company intends to use the net proceeds from this Offering, together with borrowings under its new and existing credit facilities and existing cash on hand, to finance the previously announced merger (the “Merger”) of WESCO and Anixter International Inc. (“Anixter”) and the other transactions contemplated by the Agreement and Plan of Merger, dated as of January 10, 2020 (the “Merger Agreement”), by and among the Company, Anixter and Warrior Merger Sub, Inc., including (i) paying the cash portion of the Merger consideration to stockholders of Anixter, (ii) refinancing certain existing indebtedness of Anixter contemplated by the Merger Agreement, including financing the satisfaction and discharge, defeasance, redemption or other repayment in full of the 5.125% Senior Notes due 2021 of Anixter Inc., a wholly owned subsidiary of Anixter, financing payments in connection with the consent solicitations and tender offers in respect of Anixter Inc.’s 5.50% Senior Notes due 2023 and Anixter Inc.’s 6.00% Senior Notes due 2025, (iii) refinancing other indebtedness of the Company, and (iv) paying the fees, costs and expenses in connection with the foregoing. The Notes will be unsecured and unsubordinated obligations of the Issuer and will be guaranteed on an unsecured, unsubordinated basis by the Company and, promptly following the consummation of the Merger, Anixter Inc.</w:t>
      </w:r>
    </w:p>
    <w:p>
      <w:pPr>
        <w:spacing w:after="0" w:line="21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copy of the press release announcing the launch of the Offering is being filed as Exhibit 99.1 to this Current Report on Form 8-K and is incorporated in this Item 8.01 by reference.</w:t>
      </w:r>
    </w:p>
    <w:p>
      <w:pPr>
        <w:spacing w:after="0" w:line="19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This Current Report on Form 8-K does not and will not constitute an offer to sell, or the solicitation of an offer to buy, the Notes or any other securities, nor will there be any sale of the Notes or any other securities, in any state or other jurisdiction in which such offer, sale or solicitation would be unlawful. Any offer will be made only by means of a private offering memorandum.</w:t>
      </w:r>
    </w:p>
    <w:p>
      <w:pPr>
        <w:spacing w:after="0" w:line="21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Notes of each series and related guarantees will be offered only to qualified institutional buyers under Rule 144A of the Securities Act of 1933 as amended (the “Securities Act”), and to non-U.S. persons in transactions outside the United States under Regulation S of the Securities Act. The Notes of each series have not been, and will not be, registered under the Securities Act and may not be offered or sold in the United States absent registration or an applicable exemption from, or in a transaction not subject to, the registration requirements of the Securities Act and other applicable securities laws.</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5"/>
          <w:szCs w:val="15"/>
          <w:b w:val="1"/>
          <w:bCs w:val="1"/>
          <w:color w:val="auto"/>
        </w:rPr>
        <w:t>Regulation FD Disclosures.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Updates in Connection with the Offering</w:t>
      </w:r>
    </w:p>
    <w:p>
      <w:pPr>
        <w:spacing w:after="0" w:line="25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connection with the Offering, the Company and the Issuer are providing an update regarding the impact of the COVID-19 pandemic on the Company’s financial performance since the release of its financial results for the first quarter of 2020. Based on the Company’s preliminary estimates, the impact of COVID-19 was the primary factor contributing to an approximately 17% decline in net sales (16% decline in organic sales) for April 2020 as compared to net sales for April 2019. Similarly, the impact of COVID-19 was the primary factor contributing to an approximately 16% decline in sales for the period from May 1, 2020 through May 21, 2020 as compared to sales for the period from May 1, 2019 through May 21, 2019. However, the Company’s backlog as of April 30, 2020 increased approximately 4% as compared to as of March 31, 2020, resulting in the highest backlog in the Company’s history. Additionally, sales from May 1, 2020 through May 21, 2020 increased approximately 3% as compared to the period from April 1, 2020 through April 21, 2020. Liquidity remains strong as cash collections and bad debt experience continue to be in line with historical results.</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the Company and the Issuer have disclosed that the Merger had been approved under the antitrust laws of Chile.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Financial Information</w:t>
      </w:r>
    </w:p>
    <w:p>
      <w:pPr>
        <w:spacing w:after="0" w:line="25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connection with the Offering, the Company and the Issuer have updated the unaudited pro forma condensed combined financial information (i) as of March 31, 2020, (ii) for the three-month period ended March 31, 2020, (iii) for the year ended December 31, 2019 and (iv) for the twelve-month period ended March 31, 2020, as well as explanatory notes thereto (collectively, the “Unaudited Pro Forma Condensed Combined Financial Information”). The Unaudited Pro Forma Condensed Combined Financial Information is derived from the audited historical financial statements of the Company and its consolidated subsidiaries and of Anixter and its consolidated subsidiaries and from the unaudited historical financial statements of the Company and its consolidated subsidiaries and of Anixter and its consolidated subsidiaries, and adjusted to give effect to the Offering, the Merger and the related financing transactions (collectively, the “Transactions”).</w:t>
      </w:r>
    </w:p>
    <w:p>
      <w:pPr>
        <w:spacing w:after="0" w:line="22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pro forma adjustments are preliminary and have been made solely for informational purposes. As a result, the Unaudited Pro Forma Condensed Combined Financial Information is not intended to represent and does not purport to be indicative of what the combined company financial condition or results of operations would have been had the Transactions occurred at an earlier date. In addition, the Unaudited Pro Forma Condensed Combined Financial Information does not purport to project the future financial condition and results of operations of the combined company. The actual results of the combined company may differ significantly from those reflected in the Unaudited Pro Forma Condensed Combined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both"/>
        <w:ind w:firstLine="324"/>
        <w:spacing w:after="0" w:line="257" w:lineRule="auto"/>
        <w:rPr>
          <w:sz w:val="20"/>
          <w:szCs w:val="20"/>
          <w:color w:val="auto"/>
        </w:rPr>
      </w:pPr>
      <w:r>
        <w:rPr>
          <w:rFonts w:ascii="Arial" w:cs="Arial" w:eastAsia="Arial" w:hAnsi="Arial"/>
          <w:sz w:val="18"/>
          <w:szCs w:val="18"/>
          <w:color w:val="auto"/>
        </w:rPr>
        <w:t>The Unaudited Pro Forma Condensed Combined Financial Information is being furnished as Exhibit 99.2 to this Current Report on Form 8-K and incorporated in this Item 7.01 by reference. The information furnished pursuant to this Item 7.01, including Exhibits 99.2, shall not be deemed to be “filed” for purposes of Section 18 of, or otherwise regarded as filed under, the Securities Exchange Act of 1934, as amended (the “Exchange Act”), nor shall it be deemed incorporated by reference into any filing under the Securities Act or in the Exchange Act, except as shall be expressly set forth by specific reference in such filing.</w:t>
      </w:r>
    </w:p>
    <w:p>
      <w:pPr>
        <w:spacing w:after="0" w:line="21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Upon completion of the Offering, the Company expects to update the unaudited pro forma condensed combined financial information furnished as Exhibit 99.2 hereto, to give effect to the terms of the Offering, and will file that updated unaudited pro forma condensed combined financial information on a Current Report on Form 8-K.</w:t>
      </w:r>
    </w:p>
    <w:p>
      <w:pPr>
        <w:spacing w:after="0" w:line="20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2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9420" w:type="dxa"/>
            <w:vAlign w:val="bottom"/>
          </w:tcPr>
          <w:p>
            <w:pPr>
              <w:spacing w:after="0"/>
              <w:rPr>
                <w:sz w:val="20"/>
                <w:szCs w:val="20"/>
                <w:color w:val="auto"/>
              </w:rPr>
            </w:pPr>
          </w:p>
        </w:tc>
      </w:tr>
      <w:tr>
        <w:trPr>
          <w:trHeight w:val="466"/>
        </w:trPr>
        <w:tc>
          <w:tcPr>
            <w:tcW w:w="1820" w:type="dxa"/>
            <w:vAlign w:val="bottom"/>
            <w:gridSpan w:val="2"/>
          </w:tcPr>
          <w:p>
            <w:pPr>
              <w:spacing w:after="0"/>
              <w:rPr>
                <w:sz w:val="20"/>
                <w:szCs w:val="20"/>
                <w:color w:val="auto"/>
              </w:rPr>
            </w:pPr>
            <w:r>
              <w:rPr>
                <w:rFonts w:ascii="Arial" w:cs="Arial" w:eastAsia="Arial" w:hAnsi="Arial"/>
                <w:sz w:val="18"/>
                <w:szCs w:val="18"/>
                <w:color w:val="auto"/>
              </w:rPr>
              <w:t>Exhibit Number</w:t>
            </w:r>
          </w:p>
        </w:tc>
        <w:tc>
          <w:tcPr>
            <w:tcW w:w="9420" w:type="dxa"/>
            <w:vAlign w:val="bottom"/>
          </w:tcPr>
          <w:p>
            <w:pPr>
              <w:spacing w:after="0"/>
              <w:rPr>
                <w:sz w:val="20"/>
                <w:szCs w:val="20"/>
                <w:color w:val="auto"/>
              </w:rPr>
            </w:pPr>
            <w:r>
              <w:rPr>
                <w:rFonts w:ascii="Arial" w:cs="Arial" w:eastAsia="Arial" w:hAnsi="Arial"/>
                <w:sz w:val="18"/>
                <w:szCs w:val="18"/>
                <w:color w:val="auto"/>
              </w:rPr>
              <w:t>Description</w:t>
            </w:r>
          </w:p>
        </w:tc>
      </w:tr>
      <w:tr>
        <w:trPr>
          <w:trHeight w:val="202"/>
        </w:trPr>
        <w:tc>
          <w:tcPr>
            <w:tcW w:w="1700" w:type="dxa"/>
            <w:vAlign w:val="bottom"/>
            <w:tcBorders>
              <w:top w:val="single" w:sz="8" w:color="auto"/>
            </w:tcBorders>
          </w:tcPr>
          <w:p>
            <w:pPr>
              <w:spacing w:after="0" w:line="201" w:lineRule="exact"/>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99.1</w:t>
              </w:r>
            </w:hyperlink>
          </w:p>
        </w:tc>
        <w:tc>
          <w:tcPr>
            <w:tcW w:w="120" w:type="dxa"/>
            <w:vAlign w:val="bottom"/>
          </w:tcPr>
          <w:p>
            <w:pPr>
              <w:spacing w:after="0"/>
              <w:rPr>
                <w:sz w:val="17"/>
                <w:szCs w:val="17"/>
                <w:color w:val="auto"/>
              </w:rPr>
            </w:pPr>
          </w:p>
        </w:tc>
        <w:tc>
          <w:tcPr>
            <w:tcW w:w="94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Press Release, dated May 26, 2020 by WESCO International, Inc.</w:t>
            </w:r>
          </w:p>
        </w:tc>
      </w:tr>
      <w:tr>
        <w:trPr>
          <w:trHeight w:val="216"/>
        </w:trPr>
        <w:tc>
          <w:tcPr>
            <w:tcW w:w="1700" w:type="dxa"/>
            <w:vAlign w:val="bottom"/>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99.2</w:t>
              </w:r>
            </w:hyperlink>
          </w:p>
        </w:tc>
        <w:tc>
          <w:tcPr>
            <w:tcW w:w="12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Unaudited Pro Forma Condensed Combined Financial Information</w:t>
            </w:r>
          </w:p>
        </w:tc>
      </w:tr>
      <w:tr>
        <w:trPr>
          <w:trHeight w:val="230"/>
        </w:trPr>
        <w:tc>
          <w:tcPr>
            <w:tcW w:w="170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All statements made herein that are not historical facts should be considered as forward-looking statements within the meaning of the Private Securities Litigation Reform Act of 1995. Such statements involve known and unknown risks, uncertainties and other factors that may cause actual results to differ materially. These forward-looking statements are identified by words such as anticipate, plan, believe, estimate, intend, expect, project, will and similar words, phrases or expressions. These forward-looking statements are based on current expectations and beliefs of WESCO’s management as well as assumptions made by, and information currently available to, WESCO’s management, current market trends and market conditions and involve risks and uncertainties, many of which are outside of WESCO’s and WESCO’s management's control, and which may cause actual results to differ materially from those contained in forward-looking statements. Accordingly, you should not place undue reliance on such statements. Certain of these risks are set forth in WESCO’s Annual Report on Form 10-K for the fiscal year ended December 31, 2019, WESCO’s Quarterly Report on Form 10-Q for the quarterly period ended March 31, 2020, as well as WESCO’s other reports filed with the U.S. Securities and Exchange Commission.</w:t>
      </w:r>
    </w:p>
    <w:p>
      <w:pPr>
        <w:spacing w:after="0" w:line="19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These risks, uncertainties and assumptions also include the impact of natural disasters, health epidemics and other outbreaks, especially the outbreak of COVID-19 since December 2019, which may have a material adverse effect on WESCO, Anixter or the combined company’s business, results of operations and financial condition, the timing, receipt and terms and conditions of any required governmental and regulatory approvals of the Merger that could reduce anticipated benefits or cause the parties to abandon the proposed transaction, the occurrence of any event, change or other circumstances that could give rise to the termination of the merger agreement, the risk that the parties may not be able to satisfy the conditions to the proposed transaction in a timely manner or at all, risks related to disruption of management time from ongoing business operations due to the proposed transaction, the risk that any announcements relating to the proposed transaction could have adverse effects on the market price of WESCO’s common stock, the risk of any unexpected costs or expenses resulting from the proposed transaction, the risk of any litigation relating to the proposed transaction, the risk that the proposed transaction and its announcement could have an adverse effect on the ability of WESCO or Anixter to retain customers and retain and hire key personnel and maintain relationships with their suppliers, customers and other business relationships and on their operating results and businesses generally, the risk that the pending proposed transaction could distract management of both entities and they will incur substantial costs, the risk that problems may arise in successfully integrating the businesses of the companies, which may result in the combined company not operating as effectively and efficiently as expected, the risk that the combined company may be unable to achieve synergies or other anticipated benefits of the proposed transaction or it may take longer than expected to achieve those synergies or benefits, the risk that leverage of the combined company may be higher than anticipated and other important factors that could cause actual results to differ materially from those projected. All such factors are difficult to predict and are beyond WESCO’s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5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In connection with the Merger, on each of March 4, 2020 and March 9, 2020, WESCO filed with the SEC an amendment to the registration statement originally filed on February 7, 2020, which includes a prospectus of WESCO and a proxy statement of Anixter, and each party will file other documents regarding the proposed transaction with the SEC. The registration statement was declared effective by the SEC on March 11, 2020 and the proxy statement/prospectus has been mailed to Anixter’s stockholders. INVESTORS AND SECURITY HOLDERS OF WESCO AND ANIXTER ARE URGED TO READ THE REGISTRATION STATEMENT, PROXY STATEMENT/PROSPECTUS AND OTHER RELEVANT DOCUMENTS FILED WITH THE SEC CAREFULLY AND IN THEIR ENTIRETY WHEN THEY BECOME AVAILABLE, BECAUSE THEY WILL CONTAIN IMPORTANT INFORMATION ABOUT WESCO, ANIXTER AND THE PROPOSED TRANSACTION. Investors and security holders will be able to obtain free copies of the registration statement, proxy statement/prospectus and other documents filed with the SEC by WESCO or Anixter through the website maintained by the SEC at http://www.sec.gov. Copies of the documents filed with the SEC by WESCO will be available free of charge on WESCO’s website at http://wesco.investorroom.com/sec-filings and copies of the documents filed with the SEC by Anixter will be available free of charge on Anixter's website at http://investors.anixter.com/financials/sec-filings.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2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WESCO International, Inc.</w:t>
            </w:r>
          </w:p>
        </w:tc>
        <w:tc>
          <w:tcPr>
            <w:tcW w:w="1120" w:type="dxa"/>
            <w:vAlign w:val="bottom"/>
          </w:tcPr>
          <w:p>
            <w:pPr>
              <w:spacing w:after="0"/>
              <w:rPr>
                <w:sz w:val="20"/>
                <w:szCs w:val="20"/>
                <w:color w:val="auto"/>
              </w:rPr>
            </w:pPr>
          </w:p>
        </w:tc>
      </w:tr>
      <w:tr>
        <w:trPr>
          <w:trHeight w:val="202"/>
        </w:trPr>
        <w:tc>
          <w:tcPr>
            <w:tcW w:w="226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920" w:type="dxa"/>
            <w:vAlign w:val="bottom"/>
          </w:tcPr>
          <w:p>
            <w:pPr>
              <w:jc w:val="center"/>
              <w:spacing w:after="0" w:line="201" w:lineRule="exact"/>
              <w:rPr>
                <w:sz w:val="20"/>
                <w:szCs w:val="20"/>
                <w:color w:val="auto"/>
              </w:rPr>
            </w:pPr>
            <w:r>
              <w:rPr>
                <w:rFonts w:ascii="Arial" w:cs="Arial" w:eastAsia="Arial" w:hAnsi="Arial"/>
                <w:sz w:val="18"/>
                <w:szCs w:val="18"/>
                <w:color w:val="auto"/>
                <w:w w:val="91"/>
              </w:rPr>
              <w:t>(Registrant)</w:t>
            </w:r>
          </w:p>
        </w:tc>
        <w:tc>
          <w:tcPr>
            <w:tcW w:w="1120" w:type="dxa"/>
            <w:vAlign w:val="bottom"/>
          </w:tcPr>
          <w:p>
            <w:pPr>
              <w:spacing w:after="0"/>
              <w:rPr>
                <w:sz w:val="17"/>
                <w:szCs w:val="17"/>
                <w:color w:val="auto"/>
              </w:rPr>
            </w:pPr>
          </w:p>
        </w:tc>
      </w:tr>
      <w:tr>
        <w:trPr>
          <w:trHeight w:val="237"/>
        </w:trPr>
        <w:tc>
          <w:tcPr>
            <w:tcW w:w="2260" w:type="dxa"/>
            <w:vAlign w:val="bottom"/>
          </w:tcPr>
          <w:p>
            <w:pPr>
              <w:spacing w:after="0"/>
              <w:rPr>
                <w:sz w:val="20"/>
                <w:szCs w:val="20"/>
                <w:color w:val="auto"/>
              </w:rPr>
            </w:pPr>
          </w:p>
        </w:tc>
        <w:tc>
          <w:tcPr>
            <w:tcW w:w="3380" w:type="dxa"/>
            <w:vAlign w:val="bottom"/>
          </w:tcPr>
          <w:p>
            <w:pPr>
              <w:jc w:val="center"/>
              <w:spacing w:after="0"/>
              <w:rPr>
                <w:sz w:val="20"/>
                <w:szCs w:val="20"/>
                <w:color w:val="auto"/>
              </w:rPr>
            </w:pPr>
            <w:r>
              <w:rPr>
                <w:rFonts w:ascii="Arial" w:cs="Arial" w:eastAsia="Arial" w:hAnsi="Arial"/>
                <w:sz w:val="18"/>
                <w:szCs w:val="18"/>
                <w:color w:val="auto"/>
                <w:w w:val="93"/>
              </w:rPr>
              <w:t>May 26, 2020</w:t>
            </w:r>
          </w:p>
        </w:tc>
        <w:tc>
          <w:tcPr>
            <w:tcW w:w="4480" w:type="dxa"/>
            <w:vAlign w:val="bottom"/>
            <w:gridSpan w:val="2"/>
          </w:tcPr>
          <w:p>
            <w:pPr>
              <w:ind w:left="280"/>
              <w:spacing w:after="0"/>
              <w:rPr>
                <w:sz w:val="20"/>
                <w:szCs w:val="20"/>
                <w:color w:val="auto"/>
              </w:rPr>
            </w:pPr>
            <w:r>
              <w:rPr>
                <w:rFonts w:ascii="Arial" w:cs="Arial" w:eastAsia="Arial" w:hAnsi="Arial"/>
                <w:sz w:val="18"/>
                <w:szCs w:val="18"/>
                <w:color w:val="auto"/>
              </w:rPr>
              <w:t>By:/s/ David S. Schulz</w:t>
            </w:r>
          </w:p>
        </w:tc>
        <w:tc>
          <w:tcPr>
            <w:tcW w:w="1120" w:type="dxa"/>
            <w:vAlign w:val="bottom"/>
          </w:tcPr>
          <w:p>
            <w:pPr>
              <w:spacing w:after="0"/>
              <w:rPr>
                <w:sz w:val="20"/>
                <w:szCs w:val="20"/>
                <w:color w:val="auto"/>
              </w:rPr>
            </w:pPr>
          </w:p>
        </w:tc>
      </w:tr>
      <w:tr>
        <w:trPr>
          <w:trHeight w:val="202"/>
        </w:trPr>
        <w:tc>
          <w:tcPr>
            <w:tcW w:w="2260" w:type="dxa"/>
            <w:vAlign w:val="bottom"/>
          </w:tcPr>
          <w:p>
            <w:pPr>
              <w:spacing w:after="0"/>
              <w:rPr>
                <w:sz w:val="17"/>
                <w:szCs w:val="17"/>
                <w:color w:val="auto"/>
              </w:rPr>
            </w:pPr>
          </w:p>
        </w:tc>
        <w:tc>
          <w:tcPr>
            <w:tcW w:w="33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(Date)</w:t>
            </w:r>
          </w:p>
        </w:tc>
        <w:tc>
          <w:tcPr>
            <w:tcW w:w="560" w:type="dxa"/>
            <w:vAlign w:val="bottom"/>
          </w:tcPr>
          <w:p>
            <w:pPr>
              <w:spacing w:after="0"/>
              <w:rPr>
                <w:sz w:val="17"/>
                <w:szCs w:val="17"/>
                <w:color w:val="auto"/>
              </w:rPr>
            </w:pPr>
          </w:p>
        </w:tc>
        <w:tc>
          <w:tcPr>
            <w:tcW w:w="39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David S. Schulz</w:t>
            </w:r>
          </w:p>
        </w:tc>
        <w:tc>
          <w:tcPr>
            <w:tcW w:w="1120" w:type="dxa"/>
            <w:vAlign w:val="bottom"/>
          </w:tcPr>
          <w:p>
            <w:pPr>
              <w:spacing w:after="0"/>
              <w:rPr>
                <w:sz w:val="17"/>
                <w:szCs w:val="17"/>
                <w:color w:val="auto"/>
              </w:rPr>
            </w:pPr>
          </w:p>
        </w:tc>
      </w:tr>
      <w:tr>
        <w:trPr>
          <w:trHeight w:val="230"/>
        </w:trPr>
        <w:tc>
          <w:tcPr>
            <w:tcW w:w="22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w w:val="99"/>
              </w:rPr>
              <w:t>Senior Vice President and Chief Financial Officer</w:t>
            </w:r>
          </w:p>
        </w:tc>
        <w:tc>
          <w:tcPr>
            <w:tcW w:w="1120" w:type="dxa"/>
            <w:vAlign w:val="bottom"/>
          </w:tcPr>
          <w:p>
            <w:pPr>
              <w:spacing w:after="0"/>
              <w:rPr>
                <w:sz w:val="20"/>
                <w:szCs w:val="20"/>
                <w:color w:val="auto"/>
              </w:rPr>
            </w:pPr>
          </w:p>
        </w:tc>
      </w:tr>
      <w:tr>
        <w:trPr>
          <w:trHeight w:val="601"/>
        </w:trPr>
        <w:tc>
          <w:tcPr>
            <w:tcW w:w="226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985520" cy="8915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85520"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1779270</wp:posOffset>
            </wp:positionH>
            <wp:positionV relativeFrom="paragraph">
              <wp:posOffset>14605</wp:posOffset>
            </wp:positionV>
            <wp:extent cx="535749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57495" cy="17145"/>
                    </a:xfrm>
                    <a:prstGeom prst="rect">
                      <a:avLst/>
                    </a:prstGeom>
                    <a:noFill/>
                  </pic:spPr>
                </pic:pic>
              </a:graphicData>
            </a:graphic>
          </wp:anchor>
        </w:drawing>
      </w:r>
    </w:p>
    <w:p>
      <w:pPr>
        <w:spacing w:after="0" w:line="16" w:lineRule="exact"/>
        <w:rPr>
          <w:sz w:val="20"/>
          <w:szCs w:val="20"/>
          <w:color w:val="auto"/>
        </w:rPr>
      </w:pPr>
    </w:p>
    <w:p>
      <w:pPr>
        <w:ind w:left="2800"/>
        <w:spacing w:after="0"/>
        <w:rPr>
          <w:sz w:val="20"/>
          <w:szCs w:val="20"/>
          <w:color w:val="auto"/>
        </w:rPr>
      </w:pPr>
      <w:r>
        <w:rPr>
          <w:rFonts w:ascii="Arial" w:cs="Arial" w:eastAsia="Arial" w:hAnsi="Arial"/>
          <w:sz w:val="18"/>
          <w:szCs w:val="18"/>
          <w:i w:val="1"/>
          <w:iCs w:val="1"/>
          <w:color w:val="auto"/>
        </w:rPr>
        <w:t>WESCO International, Inc. / Suite 700, 225 West Station Square Drive / Pittsburgh, PA 15219</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Announces Commencement of Private Offering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Notes Due 2025 and Senior Notes Due 2028</w:t>
      </w:r>
    </w:p>
    <w:p>
      <w:pPr>
        <w:spacing w:after="0" w:line="234"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b w:val="1"/>
          <w:bCs w:val="1"/>
          <w:color w:val="auto"/>
        </w:rPr>
        <w:t xml:space="preserve">PITTSBURGH, May 26, 2020 </w:t>
      </w:r>
      <w:r>
        <w:rPr>
          <w:rFonts w:ascii="Arial" w:cs="Arial" w:eastAsia="Arial" w:hAnsi="Arial"/>
          <w:sz w:val="17"/>
          <w:szCs w:val="17"/>
          <w:color w:val="auto"/>
        </w:rPr>
        <w:t>/PRNewswire/ -- WESCO International, Inc. (NYSE: WCC) (“WESCO”), a leading provider of electrical, industrial, and</w:t>
      </w:r>
      <w:r>
        <w:rPr>
          <w:rFonts w:ascii="Arial" w:cs="Arial" w:eastAsia="Arial" w:hAnsi="Arial"/>
          <w:sz w:val="17"/>
          <w:szCs w:val="17"/>
          <w:b w:val="1"/>
          <w:bCs w:val="1"/>
          <w:color w:val="auto"/>
        </w:rPr>
        <w:t xml:space="preserve"> </w:t>
      </w:r>
      <w:r>
        <w:rPr>
          <w:rFonts w:ascii="Arial" w:cs="Arial" w:eastAsia="Arial" w:hAnsi="Arial"/>
          <w:sz w:val="17"/>
          <w:szCs w:val="17"/>
          <w:color w:val="auto"/>
        </w:rPr>
        <w:t>communications MRO and OEM products, construction materials, and advanced supply chain management and logistics services, today announced that its wholly owned subsidiary, WESCO Distribution, Inc. (“WESCO Distribution”), intends to offer (the “Offering”) to eligible purchasers, subject to market and other conditions, $1,825 million aggregate principal amount of senior notes due 2025 (the “5-Year Notes”) and $1,000 million aggregate principal amount of senior notes due 2028 (the “8-Year Notes” and, together with the 5-Year Notes, the “Notes” and, each, a “series”).</w:t>
      </w:r>
    </w:p>
    <w:p>
      <w:pPr>
        <w:spacing w:after="0" w:line="19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WESCO intends to use the net proceeds from this offering, together with borrowings under its new and existing credit facilities and existing cash on hand, to finance the previously announced merger (the “Merger”) of WESCO and Anixter International Inc. (“Anixter”) and the other transactions contemplated by the Agreement and Plan of Merger, dated as of January 10, 2020 (the “Merger Agreement”), by and among WESCO, Anixter and Warrior Merger Sub, Inc., including (i) paying the cash portion of the Merger consideration to stockholders of Anixter, (ii) refinancing certain existing indebtedness of Anixter contemplated by the Merger Agreement, including financing the satisfaction and discharge, defeasance, redemption or other repayment in full of Anixter Inc.’s 5.125% Senior Notes due 2021, financing payments in connection with the consent solicitations and tender offers in respect of Anixter Inc.’s 5.50% Senior Notes due 2023 and Anixter Inc.’s 6.00% Senior Notes due 2025, (iii) refinancing other indebtedness of WESCO, and (iv) paying the fees, costs and expenses in connection with the foregoing.</w:t>
      </w:r>
    </w:p>
    <w:p>
      <w:pPr>
        <w:spacing w:after="0" w:line="20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Each series of Notes will be unsecured, unsubordinated debt obligations of WESCO Distribution, and will rank equally with WESCO Distribution’s other existing and future unsecured, unsubordinated obligations. Initially, each series of Notes will be guaranteed on an unsecured, unsubordinated basis by WESCO (the “Parent Guarantee”). Promptly following the consummation of the Merger, each series of Notes will be guaranteed on an unsecured, unsubordinated basis by Anixter Inc., which will be a wholly owned subsidiary of WESCO Distribution (the “Subsidiary Guarantee” and, together with the Parent Guarantee, the “Guarantees”).</w:t>
      </w:r>
    </w:p>
    <w:p>
      <w:pPr>
        <w:spacing w:after="0" w:line="215"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The Notes of each series and related Guarantees will be offered only to qualified institutional buyers under Rule 144A of the Securities Act of 1933, as amended (the “Securities Act”), and to non-U.S. persons in transactions outside the United States under Regulation S of the Securities Act. The Notes of each series have not been, and will not be, registered under the Securities Act and may not be offered or sold in the United States absent registration or an applicable exemption from, or in a transaction not subject to, the registration requirements of the Securities Act and other applicable securities laws.</w:t>
      </w:r>
    </w:p>
    <w:p>
      <w:pPr>
        <w:spacing w:after="0" w:line="18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This press release does not and will not constitute an offer to sell, or the solicitation of an offer to buy, the Notes or any other securities, nor will there be any sale of the Notes or other securities, in any state or other jurisdiction in which such offer, sale or solicitation would be unlawful. Any offer will be made only by means of a private offering memorandum.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52"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i w:val="1"/>
          <w:iCs w:val="1"/>
          <w:color w:val="auto"/>
        </w:rPr>
        <w:t>All statements made herein that are not historical facts should be considered as forward-looking statements within the meaning of the Private Securities Litigation Reform Act of 1995. Such statements involve known and unknown risks, uncertainties and other factors that may cause actual results to differ materially. These forward-looking statements are identified by words such as anticipate, plan, believe, estimate, intend, expect, project, will and similar words, phrases or expressions. These forward-looking statements are based on current expectations and beliefs of WESCO's management as well as assumptions made by, and information currently available to, WESCO's management, current market trends and market conditions and involve risks and uncertainties, many of which are outside of WESCO's and WESCO's management's control, and which may cause actual results to differ materially from those contained in forward-looking statements. Accordingly, you should not place undue reliance on such statements. Certain of these risks are set forth in WESCO's Annual Report on Form 10-K for the fiscal year ended December 31, 2019, WESCO’s Quarterly Report on Form 10-Q for the quarterly period ended March 31, 2020, as well as WESCO's other reports filed with the U.S. Securities and Exchange Commission (the "SEC").</w:t>
      </w:r>
    </w:p>
    <w:p>
      <w:pPr>
        <w:spacing w:after="0" w:line="193"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These risks, uncertainties and assumptions also include impact of natural disasters, health epidemics and other outbreaks, especially the outbreak of COVID- 19 since December 2019, which may have a material adverse effect on WESCO, Anixter and/or the combined company’s business, results of operations and financial condition, the timing, receipt and terms and conditions of any required governmental and regulatory approvals of the Merger that could reduce anticipated benefits or cause the parties to abandon the proposed transaction, the occurrence of any event, change or other circumstances that could give rise to the termination of the merger agreement, the risk that the parties may not be able to satisfy the conditions to the proposed transaction in a timely manner or at all, risks related to disruption of management time from ongoing business operations due to the proposed transaction, the risk that any announcements relating to the proposed transaction could have adverse effects on the market price of WESCO's common stock, the risk of any unexpected costs or expenses resulting from the proposed transaction, the risk of any litigation relating to the proposed transaction, the risk that the proposed transaction and its announcement could have an adverse effect on the ability of WESCO or Anixter to retain customers and retain and hire key personnel and maintain relationships with their suppliers, customers and other business relationships and on their operating results and businesses generally, the risk that the pending proposed transaction could distract management of both entities and they will incur substantial costs, the risk that problems may arise in successfully integrating the businesses of the companies, which may result in the combined company not operating as effectively and efficiently as expected, the risk that the combined company may be unable to achieve synergies or other anticipated benefits of the proposed transaction or it may take longer than expected to achieve those synergies or benefits, the risk that leverage of the combined company may be higher than anticipated and other important factors that could cause actual results to differ materially from those projected. All such factors are difficult to predict and are beyond WESCO's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Additional Information and Where to Find It</w:t>
      </w:r>
    </w:p>
    <w:p>
      <w:pPr>
        <w:spacing w:after="0" w:line="252"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In connection with the Merger, on each of March 4, 2020 and March 9, 2020, WESCO filed with the SEC an amendment to the registration statement originally filed on February 7, 2020, which includes a prospectus of WESCO and a proxy statement of Anixter, and each party will file other documents regarding the proposed transaction with the SEC. The registration statement was declared effective by the SEC on March 11, 2020 and the proxy statement/prospectus has been mailed to Anixter’s stockholders. INVESTORS AND SECURITY HOLDERS OF WESCO AND ANIXTER ARE URGED TO READ THE REGISTRATION STATEMENT, PROXY STATEMENT/PROSPECTUS AND OTHER RELEVANT DOCUMENTS FILED WITH THE SEC CAREFULLY AND IN THEIR ENTIRETY WHEN THEY BECOME AVAILABLE, BECAUSE THEY WILL CONTAIN IMPORTANT INFORMATION ABOUT WESCO, ANIXTER AND THE PROPOSED TRANSACTION. Investors and security holders will be able to obtain free copies of the registration statement, proxy statement/prospectus and other documents filed with the SEC by WESCO or Anixter through the website maintained by the SEC at http://www.sec.gov. Copies of the documents filed with the SEC by WESCO will be available free of charge on WESCO's website at http://wesco.investorroom.com/sec-filings and copies of the documents filed with the SEC by Anixter will be available free of charge on Anixter's website at http://investors.anixter.com/financials/sec-filings.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WESCO Contact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Will Ruthrauff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 and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WESCO International,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investorrelations@wescodist.com</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PRO FORMA CONDENSED COMBINED FINANCIAL INFORMATION</w:t>
      </w:r>
    </w:p>
    <w:p>
      <w:pPr>
        <w:spacing w:after="0" w:line="215"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The following unaudited pro forma condensed combined financial information has been prepared to illustrate the estimated effects of the following transactions (collectively, the “Transactions”):</w:t>
      </w:r>
    </w:p>
    <w:p>
      <w:pPr>
        <w:spacing w:after="0" w:line="209" w:lineRule="exact"/>
        <w:rPr>
          <w:sz w:val="20"/>
          <w:szCs w:val="20"/>
          <w:color w:val="auto"/>
        </w:rPr>
      </w:pPr>
    </w:p>
    <w:p>
      <w:pPr>
        <w:jc w:val="both"/>
        <w:ind w:left="980" w:hanging="324"/>
        <w:spacing w:after="0" w:line="275"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proposed acquisition of Anixter International Inc., a Delaware corporation (“Anixter”), by WESCO International, Inc., a Delaware corporation (“WESCO”), pursuant to the Agreement and Plan of Merger, dated as of January 10, 2020 (as it may be amended, modified or supplemented from time to time, the “Merger Agreement”), by and among WESCO, Anixter and Warrior Merger Sub, Inc., a Delaware corporation and a wholly owned subsidiary of WESCO (“Merger Sub”), pursuant to which Merger Sub will be merged with and into Anixter (the “Merger”), with Anixter surviving the Merger as a wholly owned subsidiary of WESCO;</w:t>
      </w:r>
    </w:p>
    <w:p>
      <w:pPr>
        <w:spacing w:after="0" w:line="203"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offering by WESCO Distribution, Inc. (the “Issuer”), a wholly owned subsidiary of WESCO, of $1,825,000,000 senior notes due 2025 (the “5-Year Notes”) and $1,000,000,000 senior notes due 2028 (the “8 Year Notes” and, together with the 5 Year Notes, the “notes”), as described in the Current Report on Form 8-K to which this Exhibit is attached;</w:t>
      </w:r>
    </w:p>
    <w:p>
      <w:pPr>
        <w:spacing w:after="0" w:line="210" w:lineRule="exact"/>
        <w:rPr>
          <w:rFonts w:ascii="Arial" w:cs="Arial" w:eastAsia="Arial" w:hAnsi="Arial"/>
          <w:sz w:val="18"/>
          <w:szCs w:val="18"/>
          <w:color w:val="auto"/>
        </w:rPr>
      </w:pPr>
    </w:p>
    <w:p>
      <w:pPr>
        <w:jc w:val="both"/>
        <w:ind w:left="980" w:hanging="324"/>
        <w:spacing w:after="0" w:line="220" w:lineRule="exact"/>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refinancing of certain indebtedness of WESCO, including the replacement of WESCO’s existing asset-based revolving credit facility (the “Existing ABL Facility”) with a senior secured asset</w:t>
      </w:r>
      <w:r>
        <w:rPr>
          <w:rFonts w:ascii="MS PGothic" w:cs="MS PGothic" w:eastAsia="MS PGothic" w:hAnsi="MS PGothic"/>
          <w:sz w:val="18"/>
          <w:szCs w:val="18"/>
          <w:color w:val="auto"/>
        </w:rPr>
        <w:t>‑</w:t>
      </w:r>
      <w:r>
        <w:rPr>
          <w:rFonts w:ascii="Arial" w:cs="Arial" w:eastAsia="Arial" w:hAnsi="Arial"/>
          <w:sz w:val="18"/>
          <w:szCs w:val="18"/>
          <w:color w:val="auto"/>
        </w:rPr>
        <w:t>based revolving credit facility in aggregate principal amount of approximately $1.1 billion (the “New ABL Facility”), and the increase in WESCO’s borrowing capacity under its accounts receivable securitization facility (the “Receivables Facility”) by $375 million to $975 million; and</w:t>
      </w:r>
    </w:p>
    <w:p>
      <w:pPr>
        <w:spacing w:after="0" w:line="230" w:lineRule="exact"/>
        <w:rPr>
          <w:rFonts w:ascii="Arial" w:cs="Arial" w:eastAsia="Arial" w:hAnsi="Arial"/>
          <w:sz w:val="18"/>
          <w:szCs w:val="18"/>
          <w:color w:val="auto"/>
        </w:rPr>
      </w:pPr>
    </w:p>
    <w:p>
      <w:pPr>
        <w:jc w:val="both"/>
        <w:ind w:left="980" w:hanging="324"/>
        <w:spacing w:after="0" w:line="279"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refinancing of certain existing indebtedness of Anixter contemplated by the Merger Agreement, including financing the satisfaction and discharge, defeasance, redemption or other repayment in full of Anixter Inc.’s 5.125% Senior Notes due 2021 (the “Anixter 2021 Notes”), and financing any amounts payable in connection with the consent solicitations and tender offers in respect of Anixter Inc.’s 5.50% Senior Notes due 2023 (the “Anixter 2023 Notes”) and Anixter Inc.’s 6.00% Senior Notes due 2025 (the “Anixter 2025 Notes”).</w:t>
      </w:r>
    </w:p>
    <w:p>
      <w:pPr>
        <w:spacing w:after="0" w:line="198"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6"/>
          <w:szCs w:val="16"/>
          <w:color w:val="auto"/>
        </w:rPr>
        <w:t>Under the terms of the Merger Agreement, at the effective time of the Merger, each share of Anixter common stock will be converted into the right to receive (i) $70.00 in cash, without interest, subject to adjustment as set forth in the Merger Agreement and as further described below (the “cash consideration”), (ii) 0.2397 shares of WESCO common stock, subject to adjustment as set forth in the Merger Agreement and as further described below (the “common stock consideration”) and (iii) 0.6356 depositary shares, each representing a 1/1,000th interest in a share of newly issued WESCO Series A fixed</w:t>
      </w:r>
      <w:r>
        <w:rPr>
          <w:rFonts w:ascii="MS PGothic" w:cs="MS PGothic" w:eastAsia="MS PGothic" w:hAnsi="MS PGothic"/>
          <w:sz w:val="16"/>
          <w:szCs w:val="16"/>
          <w:color w:val="auto"/>
        </w:rPr>
        <w:t>‑</w:t>
      </w:r>
      <w:r>
        <w:rPr>
          <w:rFonts w:ascii="Arial" w:cs="Arial" w:eastAsia="Arial" w:hAnsi="Arial"/>
          <w:sz w:val="16"/>
          <w:szCs w:val="16"/>
          <w:color w:val="auto"/>
        </w:rPr>
        <w:t>rate reset cumulative perpetual preferred stock, $25,000 stated amount per whole preferred share (the “WESCO Series A preferred stock”), subject to adjustment as set forth in the Merger Agreement and as further described below (the “preferred stock consideration” and, together with the cash consideration and the common stock consideration, the “Merger Consideration”), in each case, less any applicable withholding taxes.</w:t>
      </w:r>
    </w:p>
    <w:p>
      <w:pPr>
        <w:spacing w:after="0" w:line="231"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8"/>
          <w:szCs w:val="18"/>
          <w:color w:val="auto"/>
        </w:rPr>
        <w:t>The Merger Agreement provides for downside protection for the value of WESCO common stock, such that if the average of the volume</w:t>
      </w:r>
      <w:r>
        <w:rPr>
          <w:rFonts w:ascii="MS PGothic" w:cs="MS PGothic" w:eastAsia="MS PGothic" w:hAnsi="MS PGothic"/>
          <w:sz w:val="18"/>
          <w:szCs w:val="18"/>
          <w:color w:val="auto"/>
        </w:rPr>
        <w:t>‑</w:t>
      </w:r>
      <w:r>
        <w:rPr>
          <w:rFonts w:ascii="Arial" w:cs="Arial" w:eastAsia="Arial" w:hAnsi="Arial"/>
          <w:sz w:val="18"/>
          <w:szCs w:val="18"/>
          <w:color w:val="auto"/>
        </w:rPr>
        <w:t>weighted trading prices of WESCO common stock on the NYSE during the 10 consecutive trading days ending three days prior to the effective time of the Merger, subject to adjustment as set forth in the Merger Agreement (the “average WESCO stock price”), is less than $58.88, the closing price of WESCO common stock on the NYSE on January 2, 2020, but greater than $47.10, the amount of the cash consideration will be increased to offset the decline in the value of the common stock consideration below $58.88, up to a maximum cash increase of $2.82 per share of Anixter common stock. If the average WESCO stock price is less than $47.10, Anixter stockholders will not receive the benefit of additional downside protection above the $2.82 of additional cash consideration.</w:t>
      </w:r>
    </w:p>
    <w:p>
      <w:pPr>
        <w:spacing w:after="0" w:line="234"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7"/>
          <w:szCs w:val="17"/>
          <w:color w:val="auto"/>
        </w:rPr>
        <w:t>The Merger Agreement also provides that WESCO may elect to substitute additional cash consideration to reduce the preferred stock consideration on a dollar</w:t>
      </w:r>
      <w:r>
        <w:rPr>
          <w:rFonts w:ascii="MS PGothic" w:cs="MS PGothic" w:eastAsia="MS PGothic" w:hAnsi="MS PGothic"/>
          <w:sz w:val="17"/>
          <w:szCs w:val="17"/>
          <w:color w:val="auto"/>
        </w:rPr>
        <w:t>‑</w:t>
      </w:r>
      <w:r>
        <w:rPr>
          <w:rFonts w:ascii="Arial" w:cs="Arial" w:eastAsia="Arial" w:hAnsi="Arial"/>
          <w:sz w:val="17"/>
          <w:szCs w:val="17"/>
          <w:color w:val="auto"/>
        </w:rPr>
        <w:t>for</w:t>
      </w:r>
      <w:r>
        <w:rPr>
          <w:rFonts w:ascii="MS PGothic" w:cs="MS PGothic" w:eastAsia="MS PGothic" w:hAnsi="MS PGothic"/>
          <w:sz w:val="17"/>
          <w:szCs w:val="17"/>
          <w:color w:val="auto"/>
        </w:rPr>
        <w:t>‑</w:t>
      </w:r>
      <w:r>
        <w:rPr>
          <w:rFonts w:ascii="Arial" w:cs="Arial" w:eastAsia="Arial" w:hAnsi="Arial"/>
          <w:sz w:val="17"/>
          <w:szCs w:val="17"/>
          <w:color w:val="auto"/>
        </w:rPr>
        <w:t>dollar basis (valuing the preferred stock consideration for this purpose based on the value of the liquidation preference of the underlying WESCO Series A preferred stock). WESCO may not, however, reduce the preferred stock consideration if the aggregate face amount of the preferred stock consideration issued would be less than $100 million, unless the preferred stock consideration issued is reduced to zero. As of the date of this offering memorandum, WESCO has not made any determination to reduce the amount of the preferred stock consideration.</w:t>
      </w:r>
    </w:p>
    <w:p>
      <w:pPr>
        <w:spacing w:after="0" w:line="23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Additionally, the Merger Agreement provides that the common stock consideration may be reduced and the cash consideration increased, in each case, to the minimum extent necessary to ensure that the issuance of WESCO common stock at closing does not exceed 19.9% of the issued and outstanding shares of WESCO common stock immediately prior to the effective time.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9" w:name="page10"/>
    <w:bookmarkEnd w:id="9"/>
    <w:p>
      <w:pPr>
        <w:ind w:left="660"/>
        <w:spacing w:after="0"/>
        <w:rPr>
          <w:sz w:val="20"/>
          <w:szCs w:val="20"/>
          <w:color w:val="auto"/>
        </w:rPr>
      </w:pPr>
      <w:r>
        <w:rPr>
          <w:rFonts w:ascii="Arial" w:cs="Arial" w:eastAsia="Arial" w:hAnsi="Arial"/>
          <w:sz w:val="22"/>
          <w:szCs w:val="22"/>
          <w:color w:val="auto"/>
        </w:rPr>
        <w:t>The unaudited pro forma condensed combined financial information was derived from the following items:</w:t>
      </w:r>
    </w:p>
    <w:p>
      <w:pPr>
        <w:spacing w:after="0" w:line="241" w:lineRule="exact"/>
        <w:rPr>
          <w:sz w:val="20"/>
          <w:szCs w:val="20"/>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audited consolidated financial statements of WESCO for the year ended December 31, 2019, incorporated by reference in this offering memorandum;</w:t>
      </w:r>
    </w:p>
    <w:p>
      <w:pPr>
        <w:spacing w:after="0" w:line="19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unaudited consolidated financial statements of WESCO for the three months ended March 31, 2020, incorporated by reference in this offering memorandum;</w:t>
      </w:r>
    </w:p>
    <w:p>
      <w:pPr>
        <w:spacing w:after="0" w:line="19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audited consolidated financial statements of Anixter for the year ended January 3, 2020, incorporated by reference in this offering memorandum; and</w:t>
      </w:r>
    </w:p>
    <w:p>
      <w:pPr>
        <w:spacing w:after="0" w:line="19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unaudited consolidated financial statements of Anixter for the three months ended April 3, 2020, incorporated by reference in this offering memorandum.</w:t>
      </w:r>
    </w:p>
    <w:p>
      <w:pPr>
        <w:spacing w:after="0" w:line="19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The unaudited pro forma condensed combined statement of income for the twelve-month period ended March 31, 2020 has been calculated by (1) adding the unaudited pro forma financial data for the year ended December 31, 2019 and the unaudited pro forma financial data for the three months ended March 31, 2020 and (2) then subtracting the unaudited pro forma financial data for the three months ended March 31, 2019. The unaudited pro forma condensed combined statement of income has been adjusted to give effect to the Transactions as if they occurred on January 1, 2019, the first day of WESCO’s 2019 fiscal year. The unaudited pro forma condensed combined balance sheet has been adjusted to give effect to the Transactions as if they occurred on March 31, 2020.</w:t>
      </w:r>
    </w:p>
    <w:p>
      <w:pPr>
        <w:spacing w:after="0" w:line="21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pro forma adjustments are based on the information available and certain assumptions that management believes are reasonable under the circumstances. The assumptions underlying the pro forma adjustments are described in the accompanying notes, which should be read in conjunction with the unaudited pro forma condensed combined financial statements.</w:t>
      </w:r>
    </w:p>
    <w:p>
      <w:pPr>
        <w:spacing w:after="0" w:line="16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The Merger has been accounted for as a business combination with WESCO acquiring Anixter in accordance with Accounting Standards Codification (“ASC”) 805 </w:t>
      </w:r>
      <w:r>
        <w:rPr>
          <w:rFonts w:ascii="Arial" w:cs="Arial" w:eastAsia="Arial" w:hAnsi="Arial"/>
          <w:sz w:val="22"/>
          <w:szCs w:val="22"/>
          <w:i w:val="1"/>
          <w:iCs w:val="1"/>
          <w:color w:val="auto"/>
        </w:rPr>
        <w:t>Business Combinations</w:t>
      </w:r>
      <w:r>
        <w:rPr>
          <w:rFonts w:ascii="Arial" w:cs="Arial" w:eastAsia="Arial" w:hAnsi="Arial"/>
          <w:sz w:val="22"/>
          <w:szCs w:val="22"/>
          <w:color w:val="auto"/>
        </w:rPr>
        <w:t>. Under the acquisition method of accounting, the acquisition date fair value will be allocated to the identified assets acquired and liabilities assumed based on their respective fair market value, with any excess allocated to goodwill.</w:t>
      </w:r>
    </w:p>
    <w:p>
      <w:pPr>
        <w:spacing w:after="0" w:line="21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The allocation of the purchase price used in the unaudited pro forma condensed combined financial information is based on preliminary estimates. The estimates and assumptions are subject to change at the effective time of the Merger. The final determination of the allocation of the purchase price will be based on the identification of Anixter’s assets acquired and liabilities assumed and their respective assigned fair values as of the effective time of the Merger.</w:t>
      </w:r>
    </w:p>
    <w:p>
      <w:pPr>
        <w:spacing w:after="0" w:line="201"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WESCO estimated the fair value of Anixter’s assets and liabilities based on discussions with Anixter’s management, preliminary valuation studies and financial due diligence. Accordingly, the final purchase accounting adjustments may be materially different from the preliminary unaudited adjustments presented herein.</w:t>
      </w:r>
    </w:p>
    <w:p>
      <w:pPr>
        <w:spacing w:after="0" w:line="21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The unaudited pro forma condensed combined financial information is presented for illustrative and informative purposes only and is not intended to represent or be indicative of what WESCO’s results of operations and financial position would have been had the Transactions actually occurred on the dates indicated, and it is neither representative of nor projects WESCO’s results of operations for any future period or WESCO’s financial condition at any future date. The unaudited pro forma condensed combined financial information should be read in conjunction with Anixter’s and WESCO’s audited and unaudited financial statements and the accompanying notes incorporated by reference in this offering memorandum, as well as the other financial information included and incorporated by reference herein.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jc w:val="center"/>
        <w:ind w:right="-59"/>
        <w:spacing w:after="0"/>
        <w:rPr>
          <w:sz w:val="20"/>
          <w:szCs w:val="20"/>
          <w:color w:val="auto"/>
        </w:rPr>
      </w:pPr>
      <w:r>
        <w:rPr>
          <w:rFonts w:ascii="Arial" w:cs="Arial" w:eastAsia="Arial" w:hAnsi="Arial"/>
          <w:sz w:val="22"/>
          <w:szCs w:val="22"/>
          <w:b w:val="1"/>
          <w:bCs w:val="1"/>
          <w:color w:val="auto"/>
        </w:rPr>
        <w:t>WESCO INTERNATIONAL,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PRO FORMA CONDENSED COMBINED BALANCE SHEET</w:t>
      </w:r>
    </w:p>
    <w:p>
      <w:pPr>
        <w:jc w:val="center"/>
        <w:spacing w:after="0" w:line="230" w:lineRule="auto"/>
        <w:rPr>
          <w:sz w:val="20"/>
          <w:szCs w:val="20"/>
          <w:color w:val="auto"/>
        </w:rPr>
      </w:pPr>
      <w:r>
        <w:rPr>
          <w:rFonts w:ascii="Arial" w:cs="Arial" w:eastAsia="Arial" w:hAnsi="Arial"/>
          <w:sz w:val="22"/>
          <w:szCs w:val="22"/>
          <w:b w:val="1"/>
          <w:bCs w:val="1"/>
          <w:color w:val="auto"/>
        </w:rPr>
        <w:t>AS OF MARCH 31, 2020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Anixter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w w:val="95"/>
              </w:rPr>
              <w:t>Pro Forma</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3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Historical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Merger</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center"/>
              <w:ind w:right="170"/>
              <w:spacing w:after="0"/>
              <w:rPr>
                <w:sz w:val="20"/>
                <w:szCs w:val="20"/>
                <w:color w:val="auto"/>
              </w:rPr>
            </w:pPr>
            <w:r>
              <w:rPr>
                <w:rFonts w:ascii="Arial" w:cs="Arial" w:eastAsia="Arial" w:hAnsi="Arial"/>
                <w:sz w:val="18"/>
                <w:szCs w:val="18"/>
                <w:b w:val="1"/>
                <w:bCs w:val="1"/>
                <w:color w:val="auto"/>
                <w:w w:val="92"/>
              </w:rPr>
              <w:t>Funding of</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center"/>
              <w:ind w:right="190"/>
              <w:spacing w:after="0"/>
              <w:rPr>
                <w:sz w:val="20"/>
                <w:szCs w:val="20"/>
                <w:color w:val="auto"/>
              </w:rPr>
            </w:pPr>
            <w:r>
              <w:rPr>
                <w:rFonts w:ascii="Arial" w:cs="Arial" w:eastAsia="Arial" w:hAnsi="Arial"/>
                <w:sz w:val="18"/>
                <w:szCs w:val="18"/>
                <w:b w:val="1"/>
                <w:bCs w:val="1"/>
                <w:color w:val="auto"/>
                <w:w w:val="99"/>
              </w:rPr>
              <w:t>WESCO</w:t>
            </w:r>
          </w:p>
        </w:tc>
      </w:tr>
      <w:tr>
        <w:trPr>
          <w:trHeight w:val="216"/>
        </w:trPr>
        <w:tc>
          <w:tcPr>
            <w:tcW w:w="3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b w:val="1"/>
                <w:bCs w:val="1"/>
                <w:color w:val="auto"/>
              </w:rPr>
              <w:t>WESCO</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(as of April 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Adjustments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the Merger</w:t>
            </w:r>
          </w:p>
        </w:tc>
        <w:tc>
          <w:tcPr>
            <w:tcW w:w="300" w:type="dxa"/>
            <w:vAlign w:val="bottom"/>
          </w:tcPr>
          <w:p>
            <w:pPr>
              <w:spacing w:after="0"/>
              <w:rPr>
                <w:sz w:val="18"/>
                <w:szCs w:val="18"/>
                <w:color w:val="auto"/>
              </w:rPr>
            </w:pPr>
          </w:p>
        </w:tc>
        <w:tc>
          <w:tcPr>
            <w:tcW w:w="134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1"/>
              </w:rPr>
              <w:t>Combined Pro</w:t>
            </w:r>
          </w:p>
        </w:tc>
      </w:tr>
      <w:tr>
        <w:trPr>
          <w:trHeight w:val="241"/>
        </w:trPr>
        <w:tc>
          <w:tcPr>
            <w:tcW w:w="3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7"/>
              </w:rPr>
              <w:t>Historical</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2020)</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2"/>
              </w:rPr>
              <w:t>(Note 3)</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2"/>
              </w:rPr>
              <w:t>(Note 3)</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4"/>
              </w:rPr>
              <w:t>Forma</w:t>
            </w:r>
          </w:p>
        </w:tc>
      </w:tr>
      <w:tr>
        <w:trPr>
          <w:trHeight w:val="198"/>
        </w:trPr>
        <w:tc>
          <w:tcPr>
            <w:tcW w:w="3640" w:type="dxa"/>
            <w:vAlign w:val="bottom"/>
          </w:tcPr>
          <w:p>
            <w:pPr>
              <w:spacing w:after="0" w:line="198" w:lineRule="exact"/>
              <w:rPr>
                <w:sz w:val="20"/>
                <w:szCs w:val="20"/>
                <w:color w:val="auto"/>
              </w:rPr>
            </w:pPr>
            <w:r>
              <w:rPr>
                <w:rFonts w:ascii="Arial" w:cs="Arial" w:eastAsia="Arial" w:hAnsi="Arial"/>
                <w:sz w:val="18"/>
                <w:szCs w:val="18"/>
                <w:b w:val="1"/>
                <w:bCs w:val="1"/>
                <w:color w:val="auto"/>
              </w:rPr>
              <w:t>Assets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4"/>
        </w:trPr>
        <w:tc>
          <w:tcPr>
            <w:tcW w:w="36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16"/>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342,560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282,032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(4,041,100)</w:t>
            </w:r>
          </w:p>
        </w:tc>
        <w:tc>
          <w:tcPr>
            <w:tcW w:w="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3,618,820</w:t>
            </w:r>
          </w:p>
        </w:tc>
        <w:tc>
          <w:tcPr>
            <w:tcW w:w="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202,312</w:t>
            </w:r>
          </w:p>
        </w:tc>
      </w:tr>
      <w:tr>
        <w:trPr>
          <w:trHeight w:val="216"/>
        </w:trPr>
        <w:tc>
          <w:tcPr>
            <w:tcW w:w="3640" w:type="dxa"/>
            <w:vAlign w:val="bottom"/>
          </w:tcPr>
          <w:p>
            <w:pPr>
              <w:ind w:left="180"/>
              <w:spacing w:after="0"/>
              <w:rPr>
                <w:sz w:val="20"/>
                <w:szCs w:val="20"/>
                <w:color w:val="auto"/>
              </w:rPr>
            </w:pPr>
            <w:r>
              <w:rPr>
                <w:rFonts w:ascii="Arial" w:cs="Arial" w:eastAsia="Arial" w:hAnsi="Arial"/>
                <w:sz w:val="18"/>
                <w:szCs w:val="18"/>
                <w:color w:val="auto"/>
              </w:rPr>
              <w:t>Trade accounts receivable, net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1,214,331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1,532,998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2,747,329</w:t>
            </w:r>
          </w:p>
        </w:tc>
      </w:tr>
      <w:tr>
        <w:trPr>
          <w:trHeight w:val="216"/>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accounts receivable</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77,691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77,691</w:t>
            </w:r>
          </w:p>
        </w:tc>
      </w:tr>
      <w:tr>
        <w:trPr>
          <w:trHeight w:val="216"/>
        </w:trPr>
        <w:tc>
          <w:tcPr>
            <w:tcW w:w="364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950,521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1,365,155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133,245</w:t>
            </w:r>
          </w:p>
        </w:tc>
        <w:tc>
          <w:tcPr>
            <w:tcW w:w="320" w:type="dxa"/>
            <w:vAlign w:val="bottom"/>
          </w:tcPr>
          <w:p>
            <w:pPr>
              <w:spacing w:after="0"/>
              <w:rPr>
                <w:sz w:val="20"/>
                <w:szCs w:val="20"/>
                <w:color w:val="auto"/>
              </w:rPr>
            </w:pPr>
            <w:r>
              <w:rPr>
                <w:rFonts w:ascii="Arial" w:cs="Arial" w:eastAsia="Arial" w:hAnsi="Arial"/>
                <w:sz w:val="18"/>
                <w:szCs w:val="18"/>
                <w:color w:val="auto"/>
              </w:rPr>
              <w:t>(b)</w:t>
            </w:r>
          </w:p>
        </w:tc>
        <w:tc>
          <w:tcPr>
            <w:tcW w:w="14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2,448,921</w:t>
            </w:r>
          </w:p>
        </w:tc>
      </w:tr>
      <w:tr>
        <w:trPr>
          <w:trHeight w:val="223"/>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192,375</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52,266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144,641</w:t>
            </w:r>
          </w:p>
        </w:tc>
      </w:tr>
      <w:tr>
        <w:trPr>
          <w:trHeight w:val="216"/>
        </w:trPr>
        <w:tc>
          <w:tcPr>
            <w:tcW w:w="36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 current assets</w:t>
            </w: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2,777,478</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3,232,451</w:t>
            </w: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(4,007,855)</w:t>
            </w: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3,618,820</w:t>
            </w: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5,620,894</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Property, buildings and equipment, net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183,997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174,755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358,752</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Operating lease assets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271,602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263,539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535,141</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267,628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342,943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1,107,057</w:t>
            </w:r>
          </w:p>
        </w:tc>
        <w:tc>
          <w:tcPr>
            <w:tcW w:w="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1,717,628</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Goodwill</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1,717,963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809,964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670,657</w:t>
            </w:r>
          </w:p>
        </w:tc>
        <w:tc>
          <w:tcPr>
            <w:tcW w:w="320" w:type="dxa"/>
            <w:vAlign w:val="bottom"/>
          </w:tcPr>
          <w:p>
            <w:pPr>
              <w:spacing w:after="0"/>
              <w:rPr>
                <w:sz w:val="20"/>
                <w:szCs w:val="20"/>
                <w:color w:val="auto"/>
              </w:rPr>
            </w:pPr>
            <w:r>
              <w:rPr>
                <w:rFonts w:ascii="Arial" w:cs="Arial" w:eastAsia="Arial" w:hAnsi="Arial"/>
                <w:sz w:val="18"/>
                <w:szCs w:val="18"/>
                <w:color w:val="auto"/>
              </w:rPr>
              <w:t>(e)</w:t>
            </w:r>
          </w:p>
        </w:tc>
        <w:tc>
          <w:tcPr>
            <w:tcW w:w="14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3,198,584</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12,288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126,838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(9,274)</w:t>
            </w:r>
          </w:p>
        </w:tc>
        <w:tc>
          <w:tcPr>
            <w:tcW w:w="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129,852</w:t>
            </w:r>
          </w:p>
        </w:tc>
      </w:tr>
      <w:tr>
        <w:trPr>
          <w:trHeight w:val="27"/>
        </w:trPr>
        <w:tc>
          <w:tcPr>
            <w:tcW w:w="36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40" w:type="dxa"/>
            <w:vAlign w:val="bottom"/>
            <w:tcBorders>
              <w:right w:val="single" w:sz="8" w:color="auto"/>
            </w:tcBorders>
            <w:shd w:val="clear" w:color="auto" w:fill="000000"/>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r>
      <w:tr>
        <w:trPr>
          <w:trHeight w:val="270"/>
        </w:trPr>
        <w:tc>
          <w:tcPr>
            <w:tcW w:w="364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5,230,956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4,950,490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69" w:lineRule="exact"/>
              <w:rPr>
                <w:sz w:val="20"/>
                <w:szCs w:val="20"/>
                <w:color w:val="auto"/>
              </w:rPr>
            </w:pPr>
            <w:r>
              <w:rPr>
                <w:rFonts w:ascii="Arial" w:cs="Arial" w:eastAsia="Arial" w:hAnsi="Arial"/>
                <w:sz w:val="17"/>
                <w:szCs w:val="17"/>
                <w:color w:val="auto"/>
              </w:rPr>
              <w:t>(2,239,415</w:t>
            </w:r>
            <w:r>
              <w:rPr>
                <w:rFonts w:ascii="Arial" w:cs="Arial" w:eastAsia="Arial" w:hAnsi="Arial"/>
                <w:sz w:val="31"/>
                <w:szCs w:val="31"/>
                <w:color w:val="auto"/>
                <w:vertAlign w:val="superscript"/>
              </w:rPr>
              <w:t>)</w:t>
            </w:r>
          </w:p>
        </w:tc>
        <w:tc>
          <w:tcPr>
            <w:tcW w:w="3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3,618,820</w:t>
            </w:r>
          </w:p>
        </w:tc>
        <w:tc>
          <w:tcPr>
            <w:tcW w:w="3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11,560,851</w:t>
            </w:r>
          </w:p>
        </w:tc>
      </w:tr>
      <w:tr>
        <w:trPr>
          <w:trHeight w:val="21"/>
        </w:trPr>
        <w:tc>
          <w:tcPr>
            <w:tcW w:w="3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09"/>
        </w:trPr>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804,330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1,104,759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1,909,089</w:t>
            </w:r>
          </w:p>
        </w:tc>
      </w:tr>
      <w:tr>
        <w:trPr>
          <w:trHeight w:val="216"/>
        </w:trPr>
        <w:tc>
          <w:tcPr>
            <w:tcW w:w="3640" w:type="dxa"/>
            <w:vAlign w:val="bottom"/>
          </w:tcPr>
          <w:p>
            <w:pPr>
              <w:ind w:left="180"/>
              <w:spacing w:after="0"/>
              <w:rPr>
                <w:sz w:val="20"/>
                <w:szCs w:val="20"/>
                <w:color w:val="auto"/>
              </w:rPr>
            </w:pPr>
            <w:r>
              <w:rPr>
                <w:rFonts w:ascii="Arial" w:cs="Arial" w:eastAsia="Arial" w:hAnsi="Arial"/>
                <w:sz w:val="18"/>
                <w:szCs w:val="18"/>
                <w:color w:val="auto"/>
              </w:rPr>
              <w:t>Accrued payroll and benefit costs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28,940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52,931</w:t>
            </w:r>
          </w:p>
        </w:tc>
        <w:tc>
          <w:tcPr>
            <w:tcW w:w="320" w:type="dxa"/>
            <w:vAlign w:val="bottom"/>
          </w:tcPr>
          <w:p>
            <w:pPr>
              <w:spacing w:after="0"/>
              <w:rPr>
                <w:sz w:val="20"/>
                <w:szCs w:val="20"/>
                <w:color w:val="auto"/>
              </w:rPr>
            </w:pPr>
            <w:r>
              <w:rPr>
                <w:rFonts w:ascii="Arial" w:cs="Arial" w:eastAsia="Arial" w:hAnsi="Arial"/>
                <w:sz w:val="18"/>
                <w:szCs w:val="18"/>
                <w:color w:val="auto"/>
              </w:rPr>
              <w:t>(g)</w:t>
            </w:r>
          </w:p>
        </w:tc>
        <w:tc>
          <w:tcPr>
            <w:tcW w:w="14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81,871</w:t>
            </w:r>
          </w:p>
        </w:tc>
      </w:tr>
      <w:tr>
        <w:trPr>
          <w:trHeight w:val="216"/>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debt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24,097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24,097</w:t>
            </w:r>
          </w:p>
        </w:tc>
      </w:tr>
      <w:tr>
        <w:trPr>
          <w:trHeight w:val="216"/>
        </w:trPr>
        <w:tc>
          <w:tcPr>
            <w:tcW w:w="3640" w:type="dxa"/>
            <w:vAlign w:val="bottom"/>
          </w:tcPr>
          <w:p>
            <w:pPr>
              <w:ind w:left="180"/>
              <w:spacing w:after="0"/>
              <w:rPr>
                <w:sz w:val="20"/>
                <w:szCs w:val="20"/>
                <w:color w:val="auto"/>
              </w:rPr>
            </w:pPr>
            <w:r>
              <w:rPr>
                <w:rFonts w:ascii="Arial" w:cs="Arial" w:eastAsia="Arial" w:hAnsi="Arial"/>
                <w:sz w:val="18"/>
                <w:szCs w:val="18"/>
                <w:color w:val="auto"/>
              </w:rPr>
              <w:t>Current portion of long-term debt, net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379</w:t>
            </w:r>
          </w:p>
        </w:tc>
      </w:tr>
      <w:tr>
        <w:trPr>
          <w:trHeight w:val="216"/>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Bank overdrafts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13,951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13,951</w:t>
            </w:r>
          </w:p>
        </w:tc>
      </w:tr>
      <w:tr>
        <w:trPr>
          <w:trHeight w:val="223"/>
        </w:trPr>
        <w:tc>
          <w:tcPr>
            <w:tcW w:w="364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168,808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316,087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(62,642)</w:t>
            </w:r>
          </w:p>
        </w:tc>
        <w:tc>
          <w:tcPr>
            <w:tcW w:w="320" w:type="dxa"/>
            <w:vAlign w:val="bottom"/>
          </w:tcPr>
          <w:p>
            <w:pPr>
              <w:spacing w:after="0"/>
              <w:rPr>
                <w:sz w:val="20"/>
                <w:szCs w:val="20"/>
                <w:color w:val="auto"/>
              </w:rPr>
            </w:pPr>
            <w:r>
              <w:rPr>
                <w:rFonts w:ascii="Arial" w:cs="Arial" w:eastAsia="Arial" w:hAnsi="Arial"/>
                <w:sz w:val="18"/>
                <w:szCs w:val="18"/>
                <w:color w:val="auto"/>
              </w:rPr>
              <w:t>(h)</w:t>
            </w:r>
          </w:p>
        </w:tc>
        <w:tc>
          <w:tcPr>
            <w:tcW w:w="14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422,253</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1,040,505</w:t>
            </w: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1,420,846</w:t>
            </w: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(9,711)</w:t>
            </w:r>
          </w:p>
        </w:tc>
        <w:tc>
          <w:tcPr>
            <w:tcW w:w="32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2,451,640</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Long-term debt, net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1,542,602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1,316,835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(1,350,702)</w:t>
            </w:r>
          </w:p>
        </w:tc>
        <w:tc>
          <w:tcPr>
            <w:tcW w:w="320" w:type="dxa"/>
            <w:vAlign w:val="bottom"/>
          </w:tcPr>
          <w:p>
            <w:pPr>
              <w:spacing w:after="0"/>
              <w:rPr>
                <w:sz w:val="20"/>
                <w:szCs w:val="20"/>
                <w:color w:val="auto"/>
              </w:rPr>
            </w:pPr>
            <w:r>
              <w:rPr>
                <w:rFonts w:ascii="Arial" w:cs="Arial" w:eastAsia="Arial" w:hAnsi="Arial"/>
                <w:sz w:val="18"/>
                <w:szCs w:val="18"/>
                <w:color w:val="auto"/>
              </w:rPr>
              <w:t>(i)</w:t>
            </w:r>
          </w:p>
        </w:tc>
        <w:tc>
          <w:tcPr>
            <w:tcW w:w="14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3,618,820</w:t>
            </w:r>
          </w:p>
        </w:tc>
        <w:tc>
          <w:tcPr>
            <w:tcW w:w="300" w:type="dxa"/>
            <w:vAlign w:val="bottom"/>
          </w:tcPr>
          <w:p>
            <w:pPr>
              <w:spacing w:after="0"/>
              <w:rPr>
                <w:sz w:val="20"/>
                <w:szCs w:val="20"/>
                <w:color w:val="auto"/>
              </w:rPr>
            </w:pPr>
            <w:r>
              <w:rPr>
                <w:rFonts w:ascii="Arial" w:cs="Arial" w:eastAsia="Arial" w:hAnsi="Arial"/>
                <w:sz w:val="18"/>
                <w:szCs w:val="18"/>
                <w:color w:val="auto"/>
              </w:rPr>
              <w:t>(a)</w:t>
            </w:r>
          </w:p>
        </w:tc>
        <w:tc>
          <w:tcPr>
            <w:tcW w:w="1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5,127,555</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213,172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209,226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422,398</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146,977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5,098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266,466</w:t>
            </w:r>
          </w:p>
        </w:tc>
        <w:tc>
          <w:tcPr>
            <w:tcW w:w="320" w:type="dxa"/>
            <w:vAlign w:val="bottom"/>
          </w:tcPr>
          <w:p>
            <w:pPr>
              <w:spacing w:after="0"/>
              <w:rPr>
                <w:sz w:val="20"/>
                <w:szCs w:val="20"/>
                <w:color w:val="auto"/>
              </w:rPr>
            </w:pPr>
            <w:r>
              <w:rPr>
                <w:rFonts w:ascii="Arial" w:cs="Arial" w:eastAsia="Arial" w:hAnsi="Arial"/>
                <w:sz w:val="18"/>
                <w:szCs w:val="18"/>
                <w:color w:val="auto"/>
              </w:rPr>
              <w:t>(j)</w:t>
            </w:r>
          </w:p>
        </w:tc>
        <w:tc>
          <w:tcPr>
            <w:tcW w:w="14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418,541</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85,574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165,145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517</w:t>
            </w:r>
          </w:p>
        </w:tc>
        <w:tc>
          <w:tcPr>
            <w:tcW w:w="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(k)</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251,236</w:t>
            </w:r>
          </w:p>
        </w:tc>
      </w:tr>
      <w:tr>
        <w:trPr>
          <w:trHeight w:val="27"/>
        </w:trPr>
        <w:tc>
          <w:tcPr>
            <w:tcW w:w="36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40" w:type="dxa"/>
            <w:vAlign w:val="bottom"/>
            <w:tcBorders>
              <w:right w:val="single" w:sz="8" w:color="auto"/>
            </w:tcBorders>
            <w:shd w:val="clear" w:color="auto" w:fill="000000"/>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3,028,830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3,117,150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(1,093,430)</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3,618,820</w:t>
            </w:r>
          </w:p>
        </w:tc>
        <w:tc>
          <w:tcPr>
            <w:tcW w:w="3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8,671,370</w:t>
            </w:r>
          </w:p>
        </w:tc>
      </w:tr>
      <w:tr>
        <w:trPr>
          <w:trHeight w:val="20"/>
        </w:trPr>
        <w:tc>
          <w:tcPr>
            <w:tcW w:w="3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3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at par value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Common stock, at par value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594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34,386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(34,304)</w:t>
            </w:r>
          </w:p>
        </w:tc>
        <w:tc>
          <w:tcPr>
            <w:tcW w:w="320" w:type="dxa"/>
            <w:vAlign w:val="bottom"/>
          </w:tcPr>
          <w:p>
            <w:pPr>
              <w:spacing w:after="0"/>
              <w:rPr>
                <w:sz w:val="20"/>
                <w:szCs w:val="20"/>
                <w:color w:val="auto"/>
              </w:rPr>
            </w:pPr>
            <w:r>
              <w:rPr>
                <w:rFonts w:ascii="Arial" w:cs="Arial" w:eastAsia="Arial" w:hAnsi="Arial"/>
                <w:sz w:val="18"/>
                <w:szCs w:val="18"/>
                <w:color w:val="auto"/>
              </w:rPr>
              <w:t>(l)</w:t>
            </w:r>
          </w:p>
        </w:tc>
        <w:tc>
          <w:tcPr>
            <w:tcW w:w="14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676</w:t>
            </w:r>
          </w:p>
        </w:tc>
      </w:tr>
      <w:tr>
        <w:trPr>
          <w:trHeight w:val="202"/>
        </w:trPr>
        <w:tc>
          <w:tcPr>
            <w:tcW w:w="3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Class B non-voting convertible common stock, at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tcBorders>
              <w:right w:val="single" w:sz="8" w:color="CCEEFF"/>
            </w:tcBorders>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par value</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Additional capital</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1,041,637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311,076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455,273</w:t>
            </w:r>
          </w:p>
        </w:tc>
        <w:tc>
          <w:tcPr>
            <w:tcW w:w="320" w:type="dxa"/>
            <w:vAlign w:val="bottom"/>
          </w:tcPr>
          <w:p>
            <w:pPr>
              <w:spacing w:after="0"/>
              <w:rPr>
                <w:sz w:val="20"/>
                <w:szCs w:val="20"/>
                <w:color w:val="auto"/>
              </w:rPr>
            </w:pPr>
            <w:r>
              <w:rPr>
                <w:rFonts w:ascii="Arial" w:cs="Arial" w:eastAsia="Arial" w:hAnsi="Arial"/>
                <w:sz w:val="18"/>
                <w:szCs w:val="18"/>
                <w:color w:val="auto"/>
              </w:rPr>
              <w:t>(l)</w:t>
            </w:r>
          </w:p>
        </w:tc>
        <w:tc>
          <w:tcPr>
            <w:tcW w:w="14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1,807,986</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2,565,597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1,819,496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(1,898,572)</w:t>
            </w:r>
          </w:p>
        </w:tc>
        <w:tc>
          <w:tcPr>
            <w:tcW w:w="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2,486,521</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Treasury stock</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(937,078)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(937,078)</w:t>
            </w:r>
          </w:p>
        </w:tc>
      </w:tr>
      <w:tr>
        <w:trPr>
          <w:trHeight w:val="223"/>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(461,623)</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(331,618)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331,618</w:t>
            </w:r>
          </w:p>
        </w:tc>
        <w:tc>
          <w:tcPr>
            <w:tcW w:w="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(461,623)</w:t>
            </w:r>
          </w:p>
        </w:tc>
      </w:tr>
      <w:tr>
        <w:trPr>
          <w:trHeight w:val="216"/>
        </w:trPr>
        <w:tc>
          <w:tcPr>
            <w:tcW w:w="36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 stockholders’ equity</w:t>
            </w: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2,209,170</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1,833,340</w:t>
            </w: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(1,145,985)</w:t>
            </w: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2,896,525</w:t>
            </w:r>
          </w:p>
        </w:tc>
      </w:tr>
      <w:tr>
        <w:trPr>
          <w:trHeight w:val="223"/>
        </w:trPr>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(7,044)</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right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(7,044)</w:t>
            </w:r>
          </w:p>
        </w:tc>
      </w:tr>
      <w:tr>
        <w:trPr>
          <w:trHeight w:val="216"/>
        </w:trPr>
        <w:tc>
          <w:tcPr>
            <w:tcW w:w="3640" w:type="dxa"/>
            <w:vAlign w:val="bottom"/>
          </w:tcPr>
          <w:p>
            <w:pPr>
              <w:spacing w:after="0"/>
              <w:rPr>
                <w:sz w:val="20"/>
                <w:szCs w:val="20"/>
                <w:color w:val="auto"/>
              </w:rPr>
            </w:pPr>
            <w:r>
              <w:rPr>
                <w:rFonts w:ascii="Arial" w:cs="Arial" w:eastAsia="Arial" w:hAnsi="Arial"/>
                <w:sz w:val="18"/>
                <w:szCs w:val="18"/>
                <w:b w:val="1"/>
                <w:bCs w:val="1"/>
                <w:color w:val="auto"/>
              </w:rPr>
              <w:t>Total equity</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2,202,126</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1,833,340</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(1,145,985)</w:t>
            </w: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2,889,481</w:t>
            </w:r>
          </w:p>
        </w:tc>
      </w:tr>
      <w:tr>
        <w:trPr>
          <w:trHeight w:val="20"/>
        </w:trPr>
        <w:tc>
          <w:tcPr>
            <w:tcW w:w="3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5,230,956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4,950,490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(2,239,415)</w:t>
            </w:r>
          </w:p>
        </w:tc>
        <w:tc>
          <w:tcPr>
            <w:tcW w:w="32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3,618,820</w:t>
            </w:r>
          </w:p>
        </w:tc>
        <w:tc>
          <w:tcPr>
            <w:tcW w:w="30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11,560,851</w:t>
            </w: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accompanying “Notes to Unaudited Pro Forma Condensed Combined Financial Information”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WESCO INTERNATIONAL,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PRO FORMA CONDENSED COMBINED STATEMENT OF INCOME</w:t>
      </w:r>
    </w:p>
    <w:p>
      <w:pPr>
        <w:jc w:val="center"/>
        <w:spacing w:after="0" w:line="230" w:lineRule="auto"/>
        <w:rPr>
          <w:sz w:val="20"/>
          <w:szCs w:val="20"/>
          <w:color w:val="auto"/>
        </w:rPr>
      </w:pPr>
      <w:r>
        <w:rPr>
          <w:rFonts w:ascii="Arial" w:cs="Arial" w:eastAsia="Arial" w:hAnsi="Arial"/>
          <w:sz w:val="22"/>
          <w:szCs w:val="22"/>
          <w:b w:val="1"/>
          <w:bCs w:val="1"/>
          <w:color w:val="auto"/>
        </w:rPr>
        <w:t>FOR THE THREE MONTHS ENDED MARCH 31, 2020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 thousands, except per share amounts)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Anixter</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Historical</w:t>
            </w:r>
          </w:p>
        </w:tc>
        <w:tc>
          <w:tcPr>
            <w:tcW w:w="240" w:type="dxa"/>
            <w:vAlign w:val="bottom"/>
          </w:tcPr>
          <w:p>
            <w:pPr>
              <w:spacing w:after="0"/>
              <w:rPr>
                <w:sz w:val="18"/>
                <w:szCs w:val="18"/>
                <w:color w:val="auto"/>
              </w:rPr>
            </w:pPr>
          </w:p>
        </w:tc>
        <w:tc>
          <w:tcPr>
            <w:tcW w:w="1280" w:type="dxa"/>
            <w:vAlign w:val="bottom"/>
          </w:tcPr>
          <w:p>
            <w:pPr>
              <w:jc w:val="center"/>
              <w:ind w:right="150"/>
              <w:spacing w:after="0"/>
              <w:rPr>
                <w:sz w:val="20"/>
                <w:szCs w:val="20"/>
                <w:color w:val="auto"/>
              </w:rPr>
            </w:pPr>
            <w:r>
              <w:rPr>
                <w:rFonts w:ascii="Arial" w:cs="Arial" w:eastAsia="Arial" w:hAnsi="Arial"/>
                <w:sz w:val="18"/>
                <w:szCs w:val="18"/>
                <w:b w:val="1"/>
                <w:bCs w:val="1"/>
                <w:color w:val="auto"/>
                <w:w w:val="93"/>
              </w:rPr>
              <w:t>Pro Forma</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(ThreeMonths</w:t>
            </w:r>
          </w:p>
        </w:tc>
        <w:tc>
          <w:tcPr>
            <w:tcW w:w="240" w:type="dxa"/>
            <w:vAlign w:val="bottom"/>
          </w:tcPr>
          <w:p>
            <w:pPr>
              <w:spacing w:after="0"/>
              <w:rPr>
                <w:sz w:val="18"/>
                <w:szCs w:val="18"/>
                <w:color w:val="auto"/>
              </w:rPr>
            </w:pPr>
          </w:p>
        </w:tc>
        <w:tc>
          <w:tcPr>
            <w:tcW w:w="128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Merger</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Funding of</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WESCO</w:t>
            </w:r>
          </w:p>
        </w:tc>
      </w:tr>
      <w:tr>
        <w:trPr>
          <w:trHeight w:val="216"/>
        </w:trPr>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WESCO</w:t>
            </w:r>
          </w:p>
        </w:tc>
        <w:tc>
          <w:tcPr>
            <w:tcW w:w="160" w:type="dxa"/>
            <w:vAlign w:val="bottom"/>
          </w:tcPr>
          <w:p>
            <w:pPr>
              <w:spacing w:after="0"/>
              <w:rPr>
                <w:sz w:val="18"/>
                <w:szCs w:val="18"/>
                <w:color w:val="auto"/>
              </w:rPr>
            </w:pPr>
          </w:p>
        </w:tc>
        <w:tc>
          <w:tcPr>
            <w:tcW w:w="13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Ended</w:t>
            </w:r>
          </w:p>
        </w:tc>
        <w:tc>
          <w:tcPr>
            <w:tcW w:w="240" w:type="dxa"/>
            <w:vAlign w:val="bottom"/>
          </w:tcPr>
          <w:p>
            <w:pPr>
              <w:spacing w:after="0"/>
              <w:rPr>
                <w:sz w:val="18"/>
                <w:szCs w:val="18"/>
                <w:color w:val="auto"/>
              </w:rPr>
            </w:pPr>
          </w:p>
        </w:tc>
        <w:tc>
          <w:tcPr>
            <w:tcW w:w="128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Adjustments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center"/>
              <w:ind w:right="170"/>
              <w:spacing w:after="0"/>
              <w:rPr>
                <w:sz w:val="20"/>
                <w:szCs w:val="20"/>
                <w:color w:val="auto"/>
              </w:rPr>
            </w:pPr>
            <w:r>
              <w:rPr>
                <w:rFonts w:ascii="Arial" w:cs="Arial" w:eastAsia="Arial" w:hAnsi="Arial"/>
                <w:sz w:val="18"/>
                <w:szCs w:val="18"/>
                <w:b w:val="1"/>
                <w:bCs w:val="1"/>
                <w:color w:val="auto"/>
                <w:w w:val="95"/>
              </w:rPr>
              <w:t>the Merger</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Combined Pro</w:t>
            </w:r>
          </w:p>
        </w:tc>
      </w:tr>
      <w:tr>
        <w:trPr>
          <w:trHeight w:val="241"/>
        </w:trPr>
        <w:tc>
          <w:tcPr>
            <w:tcW w:w="28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Historical</w:t>
            </w: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4"/>
              </w:rPr>
              <w:t>April 3, 2020)</w:t>
            </w: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2"/>
              </w:rPr>
              <w:t>(Note 3)</w:t>
            </w:r>
          </w:p>
        </w:tc>
        <w:tc>
          <w:tcPr>
            <w:tcW w:w="6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(Note 3)</w:t>
            </w: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8"/>
                <w:szCs w:val="18"/>
                <w:b w:val="1"/>
                <w:bCs w:val="1"/>
                <w:color w:val="auto"/>
                <w:w w:val="94"/>
              </w:rPr>
              <w:t>Forma</w:t>
            </w: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1,968,647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2,071,662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4,040,309</w:t>
            </w:r>
          </w:p>
        </w:tc>
      </w:tr>
      <w:tr>
        <w:trPr>
          <w:trHeight w:val="202"/>
        </w:trPr>
        <w:tc>
          <w:tcPr>
            <w:tcW w:w="2800" w:type="dxa"/>
            <w:vAlign w:val="bottom"/>
          </w:tcPr>
          <w:p>
            <w:pPr>
              <w:spacing w:after="0" w:line="201" w:lineRule="exact"/>
              <w:rPr>
                <w:sz w:val="20"/>
                <w:szCs w:val="20"/>
                <w:color w:val="auto"/>
              </w:rPr>
            </w:pPr>
            <w:r>
              <w:rPr>
                <w:rFonts w:ascii="Arial" w:cs="Arial" w:eastAsia="Arial" w:hAnsi="Arial"/>
                <w:sz w:val="18"/>
                <w:szCs w:val="18"/>
                <w:color w:val="auto"/>
              </w:rPr>
              <w:t>Cost of goods sold (excluding</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1,592,249</w:t>
            </w:r>
          </w:p>
        </w:tc>
        <w:tc>
          <w:tcPr>
            <w:tcW w:w="16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1,655,284</w:t>
            </w:r>
          </w:p>
        </w:tc>
        <w:tc>
          <w:tcPr>
            <w:tcW w:w="24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3,247,533</w:t>
            </w:r>
          </w:p>
        </w:tc>
      </w:tr>
      <w:tr>
        <w:trPr>
          <w:trHeight w:val="202"/>
        </w:trPr>
        <w:tc>
          <w:tcPr>
            <w:tcW w:w="2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299,392</w:t>
            </w: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327,900</w:t>
            </w: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(6,927)</w:t>
            </w:r>
          </w:p>
        </w:tc>
        <w:tc>
          <w:tcPr>
            <w:tcW w:w="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(m,n)</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620,365</w:t>
            </w:r>
          </w:p>
        </w:tc>
      </w:tr>
      <w:tr>
        <w:trPr>
          <w:trHeight w:val="223"/>
        </w:trPr>
        <w:tc>
          <w:tcPr>
            <w:tcW w:w="28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16,093</w:t>
            </w:r>
          </w:p>
        </w:tc>
        <w:tc>
          <w:tcPr>
            <w:tcW w:w="16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17,072</w:t>
            </w:r>
          </w:p>
        </w:tc>
        <w:tc>
          <w:tcPr>
            <w:tcW w:w="24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10,433</w:t>
            </w:r>
          </w:p>
        </w:tc>
        <w:tc>
          <w:tcPr>
            <w:tcW w:w="780" w:type="dxa"/>
            <w:vAlign w:val="bottom"/>
            <w:gridSpan w:val="2"/>
          </w:tcPr>
          <w:p>
            <w:pPr>
              <w:ind w:left="120"/>
              <w:spacing w:after="0"/>
              <w:rPr>
                <w:sz w:val="20"/>
                <w:szCs w:val="20"/>
                <w:color w:val="auto"/>
              </w:rPr>
            </w:pPr>
            <w:r>
              <w:rPr>
                <w:rFonts w:ascii="Arial" w:cs="Arial" w:eastAsia="Arial" w:hAnsi="Arial"/>
                <w:sz w:val="18"/>
                <w:szCs w:val="18"/>
                <w:color w:val="auto"/>
              </w:rPr>
              <w:t>(o)</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43,598</w:t>
            </w:r>
          </w:p>
        </w:tc>
      </w:tr>
      <w:tr>
        <w:trPr>
          <w:trHeight w:val="216"/>
        </w:trPr>
        <w:tc>
          <w:tcPr>
            <w:tcW w:w="2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from operations</w:t>
            </w:r>
          </w:p>
        </w:tc>
        <w:tc>
          <w:tcPr>
            <w:tcW w:w="1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60,913</w:t>
            </w: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71,406</w:t>
            </w:r>
          </w:p>
        </w:tc>
        <w:tc>
          <w:tcPr>
            <w:tcW w:w="2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(3,506)</w:t>
            </w:r>
          </w:p>
        </w:tc>
        <w:tc>
          <w:tcPr>
            <w:tcW w:w="6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128,813</w:t>
            </w:r>
          </w:p>
        </w:tc>
      </w:tr>
      <w:tr>
        <w:trPr>
          <w:trHeight w:val="223"/>
        </w:trPr>
        <w:tc>
          <w:tcPr>
            <w:tcW w:w="2800" w:type="dxa"/>
            <w:vAlign w:val="bottom"/>
          </w:tcPr>
          <w:p>
            <w:pPr>
              <w:spacing w:after="0"/>
              <w:rPr>
                <w:sz w:val="20"/>
                <w:szCs w:val="20"/>
                <w:color w:val="auto"/>
              </w:rPr>
            </w:pPr>
            <w:r>
              <w:rPr>
                <w:rFonts w:ascii="Arial" w:cs="Arial" w:eastAsia="Arial" w:hAnsi="Arial"/>
                <w:sz w:val="18"/>
                <w:szCs w:val="18"/>
                <w:color w:val="auto"/>
              </w:rPr>
              <w:t>Net interest and other</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16,472</w:t>
            </w:r>
          </w:p>
        </w:tc>
        <w:tc>
          <w:tcPr>
            <w:tcW w:w="16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23,412</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(15,397)</w:t>
            </w:r>
          </w:p>
        </w:tc>
        <w:tc>
          <w:tcPr>
            <w:tcW w:w="780" w:type="dxa"/>
            <w:vAlign w:val="bottom"/>
            <w:gridSpan w:val="2"/>
          </w:tcPr>
          <w:p>
            <w:pPr>
              <w:ind w:left="120"/>
              <w:spacing w:after="0"/>
              <w:rPr>
                <w:sz w:val="20"/>
                <w:szCs w:val="20"/>
                <w:color w:val="auto"/>
              </w:rPr>
            </w:pPr>
            <w:r>
              <w:rPr>
                <w:rFonts w:ascii="Arial" w:cs="Arial" w:eastAsia="Arial" w:hAnsi="Arial"/>
                <w:sz w:val="18"/>
                <w:szCs w:val="18"/>
                <w:color w:val="auto"/>
              </w:rPr>
              <w:t>(p)</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56,158</w:t>
            </w: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(p)</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80,645</w:t>
            </w:r>
          </w:p>
        </w:tc>
      </w:tr>
      <w:tr>
        <w:trPr>
          <w:trHeight w:val="216"/>
        </w:trPr>
        <w:tc>
          <w:tcPr>
            <w:tcW w:w="2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44,441</w:t>
            </w: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47,994</w:t>
            </w:r>
          </w:p>
        </w:tc>
        <w:tc>
          <w:tcPr>
            <w:tcW w:w="2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11,891</w:t>
            </w:r>
          </w:p>
        </w:tc>
        <w:tc>
          <w:tcPr>
            <w:tcW w:w="6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(56,158)</w:t>
            </w: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48,168</w:t>
            </w:r>
          </w:p>
        </w:tc>
      </w:tr>
      <w:tr>
        <w:trPr>
          <w:trHeight w:val="223"/>
        </w:trPr>
        <w:tc>
          <w:tcPr>
            <w:tcW w:w="28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10,266</w:t>
            </w:r>
          </w:p>
        </w:tc>
        <w:tc>
          <w:tcPr>
            <w:tcW w:w="16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12,327</w:t>
            </w:r>
          </w:p>
        </w:tc>
        <w:tc>
          <w:tcPr>
            <w:tcW w:w="24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1,893</w:t>
            </w:r>
          </w:p>
        </w:tc>
        <w:tc>
          <w:tcPr>
            <w:tcW w:w="780" w:type="dxa"/>
            <w:vAlign w:val="bottom"/>
            <w:gridSpan w:val="2"/>
          </w:tcPr>
          <w:p>
            <w:pPr>
              <w:ind w:left="120"/>
              <w:spacing w:after="0"/>
              <w:rPr>
                <w:sz w:val="20"/>
                <w:szCs w:val="20"/>
                <w:color w:val="auto"/>
              </w:rPr>
            </w:pPr>
            <w:r>
              <w:rPr>
                <w:rFonts w:ascii="Arial" w:cs="Arial" w:eastAsia="Arial" w:hAnsi="Arial"/>
                <w:sz w:val="18"/>
                <w:szCs w:val="18"/>
                <w:color w:val="auto"/>
              </w:rPr>
              <w:t>(q)</w:t>
            </w:r>
          </w:p>
        </w:tc>
        <w:tc>
          <w:tcPr>
            <w:tcW w:w="1260" w:type="dxa"/>
            <w:vAlign w:val="bottom"/>
          </w:tcPr>
          <w:p>
            <w:pPr>
              <w:jc w:val="right"/>
              <w:spacing w:after="0"/>
              <w:rPr>
                <w:sz w:val="20"/>
                <w:szCs w:val="20"/>
                <w:color w:val="auto"/>
              </w:rPr>
            </w:pPr>
            <w:r>
              <w:rPr>
                <w:rFonts w:ascii="Arial" w:cs="Arial" w:eastAsia="Arial" w:hAnsi="Arial"/>
                <w:sz w:val="18"/>
                <w:szCs w:val="18"/>
                <w:color w:val="auto"/>
              </w:rPr>
              <w:t>(14,219)</w:t>
            </w: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(q)</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10,267</w:t>
            </w:r>
          </w:p>
        </w:tc>
      </w:tr>
      <w:tr>
        <w:trPr>
          <w:trHeight w:val="216"/>
        </w:trPr>
        <w:tc>
          <w:tcPr>
            <w:tcW w:w="2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34,175</w:t>
            </w: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35,667</w:t>
            </w:r>
          </w:p>
        </w:tc>
        <w:tc>
          <w:tcPr>
            <w:tcW w:w="2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9,998</w:t>
            </w:r>
          </w:p>
        </w:tc>
        <w:tc>
          <w:tcPr>
            <w:tcW w:w="6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(41,939)</w:t>
            </w: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37,901</w:t>
            </w:r>
          </w:p>
        </w:tc>
      </w:tr>
      <w:tr>
        <w:trPr>
          <w:trHeight w:val="202"/>
        </w:trPr>
        <w:tc>
          <w:tcPr>
            <w:tcW w:w="2800" w:type="dxa"/>
            <w:vAlign w:val="bottom"/>
          </w:tcPr>
          <w:p>
            <w:pPr>
              <w:spacing w:after="0" w:line="201" w:lineRule="exact"/>
              <w:rPr>
                <w:sz w:val="20"/>
                <w:szCs w:val="20"/>
                <w:color w:val="auto"/>
              </w:rPr>
            </w:pPr>
            <w:r>
              <w:rPr>
                <w:rFonts w:ascii="Arial" w:cs="Arial" w:eastAsia="Arial" w:hAnsi="Arial"/>
                <w:sz w:val="18"/>
                <w:szCs w:val="18"/>
                <w:color w:val="auto"/>
              </w:rPr>
              <w:t>Less: Net loss attributable to non-</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controlling interests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(232)</w:t>
            </w:r>
          </w:p>
        </w:tc>
        <w:tc>
          <w:tcPr>
            <w:tcW w:w="16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(232)</w:t>
            </w:r>
          </w:p>
        </w:tc>
      </w:tr>
      <w:tr>
        <w:trPr>
          <w:trHeight w:val="202"/>
        </w:trPr>
        <w:tc>
          <w:tcPr>
            <w:tcW w:w="28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6"/>
              </w:rPr>
              <w:t>Net income attributable to common</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stockholders</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34,407</w:t>
            </w: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35,667</w:t>
            </w: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9,998</w:t>
            </w: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(41,939)</w:t>
            </w: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38,133</w:t>
            </w:r>
          </w:p>
        </w:tc>
      </w:tr>
      <w:tr>
        <w:trPr>
          <w:trHeight w:val="223"/>
        </w:trPr>
        <w:tc>
          <w:tcPr>
            <w:tcW w:w="2800" w:type="dxa"/>
            <w:vAlign w:val="bottom"/>
          </w:tcPr>
          <w:p>
            <w:pPr>
              <w:spacing w:after="0"/>
              <w:rPr>
                <w:sz w:val="20"/>
                <w:szCs w:val="20"/>
                <w:color w:val="auto"/>
              </w:rPr>
            </w:pPr>
            <w:r>
              <w:rPr>
                <w:rFonts w:ascii="Arial" w:cs="Arial" w:eastAsia="Arial" w:hAnsi="Arial"/>
                <w:sz w:val="18"/>
                <w:szCs w:val="18"/>
                <w:color w:val="auto"/>
              </w:rPr>
              <w:t>Preferred dividends</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rPr>
              <w:t>(r)</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(r)</w:t>
            </w:r>
          </w:p>
        </w:tc>
        <w:tc>
          <w:tcPr>
            <w:tcW w:w="100" w:type="dxa"/>
            <w:vAlign w:val="bottom"/>
          </w:tcPr>
          <w:p>
            <w:pPr>
              <w:spacing w:after="0"/>
              <w:rPr>
                <w:sz w:val="19"/>
                <w:szCs w:val="19"/>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accompanying “Notes to Unaudited Pro Forma Condensed Combined Financial Information”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22"/>
          <w:szCs w:val="22"/>
          <w:b w:val="1"/>
          <w:bCs w:val="1"/>
          <w:color w:val="auto"/>
        </w:rPr>
        <w:t>WESCO INTERNATIONAL,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PRO FORMA CONDENSED COMBINED STATEMENT OF INCOME</w:t>
      </w:r>
    </w:p>
    <w:p>
      <w:pPr>
        <w:jc w:val="center"/>
        <w:spacing w:after="0" w:line="230" w:lineRule="auto"/>
        <w:rPr>
          <w:sz w:val="20"/>
          <w:szCs w:val="20"/>
          <w:color w:val="auto"/>
        </w:rPr>
      </w:pPr>
      <w:r>
        <w:rPr>
          <w:rFonts w:ascii="Arial" w:cs="Arial" w:eastAsia="Arial" w:hAnsi="Arial"/>
          <w:sz w:val="22"/>
          <w:szCs w:val="22"/>
          <w:b w:val="1"/>
          <w:bCs w:val="1"/>
          <w:color w:val="auto"/>
        </w:rPr>
        <w:t>FOR THE YEAR ENDED DECEMBER 31, 2019</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 thousands, except per share amounts)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center"/>
              <w:ind w:right="150"/>
              <w:spacing w:after="0"/>
              <w:rPr>
                <w:sz w:val="20"/>
                <w:szCs w:val="20"/>
                <w:color w:val="auto"/>
              </w:rPr>
            </w:pPr>
            <w:r>
              <w:rPr>
                <w:rFonts w:ascii="Arial" w:cs="Arial" w:eastAsia="Arial" w:hAnsi="Arial"/>
                <w:sz w:val="18"/>
                <w:szCs w:val="18"/>
                <w:b w:val="1"/>
                <w:bCs w:val="1"/>
                <w:color w:val="auto"/>
                <w:w w:val="96"/>
              </w:rPr>
              <w:t>Anixter</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2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Historical</w:t>
            </w:r>
          </w:p>
        </w:tc>
        <w:tc>
          <w:tcPr>
            <w:tcW w:w="240" w:type="dxa"/>
            <w:vAlign w:val="bottom"/>
          </w:tcPr>
          <w:p>
            <w:pPr>
              <w:spacing w:after="0"/>
              <w:rPr>
                <w:sz w:val="18"/>
                <w:szCs w:val="18"/>
                <w:color w:val="auto"/>
              </w:rPr>
            </w:pPr>
          </w:p>
        </w:tc>
        <w:tc>
          <w:tcPr>
            <w:tcW w:w="1280" w:type="dxa"/>
            <w:vAlign w:val="bottom"/>
          </w:tcPr>
          <w:p>
            <w:pPr>
              <w:jc w:val="center"/>
              <w:ind w:right="150"/>
              <w:spacing w:after="0"/>
              <w:rPr>
                <w:sz w:val="20"/>
                <w:szCs w:val="20"/>
                <w:color w:val="auto"/>
              </w:rPr>
            </w:pPr>
            <w:r>
              <w:rPr>
                <w:rFonts w:ascii="Arial" w:cs="Arial" w:eastAsia="Arial" w:hAnsi="Arial"/>
                <w:sz w:val="18"/>
                <w:szCs w:val="18"/>
                <w:b w:val="1"/>
                <w:bCs w:val="1"/>
                <w:color w:val="auto"/>
                <w:w w:val="93"/>
              </w:rPr>
              <w:t>Pro Forma</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2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(Year Ended</w:t>
            </w:r>
          </w:p>
        </w:tc>
        <w:tc>
          <w:tcPr>
            <w:tcW w:w="240" w:type="dxa"/>
            <w:vAlign w:val="bottom"/>
          </w:tcPr>
          <w:p>
            <w:pPr>
              <w:spacing w:after="0"/>
              <w:rPr>
                <w:sz w:val="18"/>
                <w:szCs w:val="18"/>
                <w:color w:val="auto"/>
              </w:rPr>
            </w:pPr>
          </w:p>
        </w:tc>
        <w:tc>
          <w:tcPr>
            <w:tcW w:w="128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Merger</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Funding of</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ind w:right="110"/>
              <w:spacing w:after="0"/>
              <w:rPr>
                <w:sz w:val="20"/>
                <w:szCs w:val="20"/>
                <w:color w:val="auto"/>
              </w:rPr>
            </w:pPr>
            <w:r>
              <w:rPr>
                <w:rFonts w:ascii="Arial" w:cs="Arial" w:eastAsia="Arial" w:hAnsi="Arial"/>
                <w:sz w:val="18"/>
                <w:szCs w:val="18"/>
                <w:b w:val="1"/>
                <w:bCs w:val="1"/>
                <w:color w:val="auto"/>
                <w:w w:val="96"/>
              </w:rPr>
              <w:t>WESCO</w:t>
            </w:r>
          </w:p>
        </w:tc>
      </w:tr>
      <w:tr>
        <w:trPr>
          <w:trHeight w:val="216"/>
        </w:trPr>
        <w:tc>
          <w:tcPr>
            <w:tcW w:w="2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WESCO</w:t>
            </w:r>
          </w:p>
        </w:tc>
        <w:tc>
          <w:tcPr>
            <w:tcW w:w="220" w:type="dxa"/>
            <w:vAlign w:val="bottom"/>
          </w:tcPr>
          <w:p>
            <w:pPr>
              <w:spacing w:after="0"/>
              <w:rPr>
                <w:sz w:val="18"/>
                <w:szCs w:val="18"/>
                <w:color w:val="auto"/>
              </w:rPr>
            </w:pPr>
          </w:p>
        </w:tc>
        <w:tc>
          <w:tcPr>
            <w:tcW w:w="1280" w:type="dxa"/>
            <w:vAlign w:val="bottom"/>
          </w:tcPr>
          <w:p>
            <w:pPr>
              <w:jc w:val="center"/>
              <w:ind w:right="170"/>
              <w:spacing w:after="0"/>
              <w:rPr>
                <w:sz w:val="20"/>
                <w:szCs w:val="20"/>
                <w:color w:val="auto"/>
              </w:rPr>
            </w:pPr>
            <w:r>
              <w:rPr>
                <w:rFonts w:ascii="Arial" w:cs="Arial" w:eastAsia="Arial" w:hAnsi="Arial"/>
                <w:sz w:val="18"/>
                <w:szCs w:val="18"/>
                <w:b w:val="1"/>
                <w:bCs w:val="1"/>
                <w:color w:val="auto"/>
                <w:w w:val="92"/>
              </w:rPr>
              <w:t>January 3,</w:t>
            </w:r>
          </w:p>
        </w:tc>
        <w:tc>
          <w:tcPr>
            <w:tcW w:w="240" w:type="dxa"/>
            <w:vAlign w:val="bottom"/>
          </w:tcPr>
          <w:p>
            <w:pPr>
              <w:spacing w:after="0"/>
              <w:rPr>
                <w:sz w:val="18"/>
                <w:szCs w:val="18"/>
                <w:color w:val="auto"/>
              </w:rPr>
            </w:pPr>
          </w:p>
        </w:tc>
        <w:tc>
          <w:tcPr>
            <w:tcW w:w="128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Adjustments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center"/>
              <w:ind w:right="170"/>
              <w:spacing w:after="0"/>
              <w:rPr>
                <w:sz w:val="20"/>
                <w:szCs w:val="20"/>
                <w:color w:val="auto"/>
              </w:rPr>
            </w:pPr>
            <w:r>
              <w:rPr>
                <w:rFonts w:ascii="Arial" w:cs="Arial" w:eastAsia="Arial" w:hAnsi="Arial"/>
                <w:sz w:val="18"/>
                <w:szCs w:val="18"/>
                <w:b w:val="1"/>
                <w:bCs w:val="1"/>
                <w:color w:val="auto"/>
                <w:w w:val="95"/>
              </w:rPr>
              <w:t>the Merger</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Combined Pro</w:t>
            </w:r>
          </w:p>
        </w:tc>
      </w:tr>
      <w:tr>
        <w:trPr>
          <w:trHeight w:val="241"/>
        </w:trPr>
        <w:tc>
          <w:tcPr>
            <w:tcW w:w="29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Historical</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1"/>
              </w:rPr>
              <w:t>2020)</w:t>
            </w: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2"/>
              </w:rPr>
              <w:t>(Note 3)</w:t>
            </w:r>
          </w:p>
        </w:tc>
        <w:tc>
          <w:tcPr>
            <w:tcW w:w="6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(Note 3)</w:t>
            </w: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4"/>
              </w:rPr>
              <w:t>Forma</w:t>
            </w: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8,358,917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8,845,555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17,204,472</w:t>
            </w:r>
          </w:p>
        </w:tc>
      </w:tr>
      <w:tr>
        <w:trPr>
          <w:trHeight w:val="202"/>
        </w:trPr>
        <w:tc>
          <w:tcPr>
            <w:tcW w:w="2960" w:type="dxa"/>
            <w:vAlign w:val="bottom"/>
          </w:tcPr>
          <w:p>
            <w:pPr>
              <w:spacing w:after="0" w:line="201" w:lineRule="exact"/>
              <w:rPr>
                <w:sz w:val="20"/>
                <w:szCs w:val="20"/>
                <w:color w:val="auto"/>
              </w:rPr>
            </w:pPr>
            <w:r>
              <w:rPr>
                <w:rFonts w:ascii="Arial" w:cs="Arial" w:eastAsia="Arial" w:hAnsi="Arial"/>
                <w:sz w:val="18"/>
                <w:szCs w:val="18"/>
                <w:color w:val="auto"/>
              </w:rPr>
              <w:t>Cost of goods sold (excluding</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0"/>
                <w:szCs w:val="20"/>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6,777,456</w:t>
            </w:r>
          </w:p>
        </w:tc>
        <w:tc>
          <w:tcPr>
            <w:tcW w:w="22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7,069,768</w:t>
            </w:r>
          </w:p>
        </w:tc>
        <w:tc>
          <w:tcPr>
            <w:tcW w:w="24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13,847,224</w:t>
            </w:r>
          </w:p>
        </w:tc>
      </w:tr>
      <w:tr>
        <w:trPr>
          <w:trHeight w:val="202"/>
        </w:trPr>
        <w:tc>
          <w:tcPr>
            <w:tcW w:w="2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30"/>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1,173,137</w:t>
            </w: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1,336,005</w:t>
            </w: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(8,758)</w:t>
            </w:r>
          </w:p>
        </w:tc>
        <w:tc>
          <w:tcPr>
            <w:tcW w:w="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(m,n)</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2,500,384</w:t>
            </w:r>
          </w:p>
        </w:tc>
      </w:tr>
      <w:tr>
        <w:trPr>
          <w:trHeight w:val="223"/>
        </w:trPr>
        <w:tc>
          <w:tcPr>
            <w:tcW w:w="29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9"/>
                <w:szCs w:val="19"/>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62,107</w:t>
            </w:r>
          </w:p>
        </w:tc>
        <w:tc>
          <w:tcPr>
            <w:tcW w:w="22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72,249</w:t>
            </w:r>
          </w:p>
        </w:tc>
        <w:tc>
          <w:tcPr>
            <w:tcW w:w="24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41,119</w:t>
            </w:r>
          </w:p>
        </w:tc>
        <w:tc>
          <w:tcPr>
            <w:tcW w:w="780" w:type="dxa"/>
            <w:vAlign w:val="bottom"/>
            <w:gridSpan w:val="2"/>
          </w:tcPr>
          <w:p>
            <w:pPr>
              <w:ind w:left="120"/>
              <w:spacing w:after="0"/>
              <w:rPr>
                <w:sz w:val="20"/>
                <w:szCs w:val="20"/>
                <w:color w:val="auto"/>
              </w:rPr>
            </w:pPr>
            <w:r>
              <w:rPr>
                <w:rFonts w:ascii="Arial" w:cs="Arial" w:eastAsia="Arial" w:hAnsi="Arial"/>
                <w:sz w:val="18"/>
                <w:szCs w:val="18"/>
                <w:color w:val="auto"/>
              </w:rPr>
              <w:t>(o)</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175,475</w:t>
            </w:r>
          </w:p>
        </w:tc>
      </w:tr>
      <w:tr>
        <w:trPr>
          <w:trHeight w:val="216"/>
        </w:trPr>
        <w:tc>
          <w:tcPr>
            <w:tcW w:w="2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from operations</w:t>
            </w: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346,217</w:t>
            </w: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367,533</w:t>
            </w:r>
          </w:p>
        </w:tc>
        <w:tc>
          <w:tcPr>
            <w:tcW w:w="2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(32,361)</w:t>
            </w:r>
          </w:p>
        </w:tc>
        <w:tc>
          <w:tcPr>
            <w:tcW w:w="6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681,389</w:t>
            </w:r>
          </w:p>
        </w:tc>
      </w:tr>
      <w:tr>
        <w:trPr>
          <w:trHeight w:val="223"/>
        </w:trPr>
        <w:tc>
          <w:tcPr>
            <w:tcW w:w="2960" w:type="dxa"/>
            <w:vAlign w:val="bottom"/>
          </w:tcPr>
          <w:p>
            <w:pPr>
              <w:spacing w:after="0"/>
              <w:rPr>
                <w:sz w:val="20"/>
                <w:szCs w:val="20"/>
                <w:color w:val="auto"/>
              </w:rPr>
            </w:pPr>
            <w:r>
              <w:rPr>
                <w:rFonts w:ascii="Arial" w:cs="Arial" w:eastAsia="Arial" w:hAnsi="Arial"/>
                <w:sz w:val="18"/>
                <w:szCs w:val="18"/>
                <w:color w:val="auto"/>
              </w:rPr>
              <w:t>Net interest and other</w:t>
            </w:r>
          </w:p>
        </w:tc>
        <w:tc>
          <w:tcPr>
            <w:tcW w:w="180" w:type="dxa"/>
            <w:vAlign w:val="bottom"/>
          </w:tcPr>
          <w:p>
            <w:pPr>
              <w:spacing w:after="0"/>
              <w:rPr>
                <w:sz w:val="19"/>
                <w:szCs w:val="19"/>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64,156</w:t>
            </w:r>
          </w:p>
        </w:tc>
        <w:tc>
          <w:tcPr>
            <w:tcW w:w="22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74,125</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(70,645)</w:t>
            </w:r>
          </w:p>
        </w:tc>
        <w:tc>
          <w:tcPr>
            <w:tcW w:w="780" w:type="dxa"/>
            <w:vAlign w:val="bottom"/>
            <w:gridSpan w:val="2"/>
          </w:tcPr>
          <w:p>
            <w:pPr>
              <w:ind w:left="120"/>
              <w:spacing w:after="0"/>
              <w:rPr>
                <w:sz w:val="20"/>
                <w:szCs w:val="20"/>
                <w:color w:val="auto"/>
              </w:rPr>
            </w:pPr>
            <w:r>
              <w:rPr>
                <w:rFonts w:ascii="Arial" w:cs="Arial" w:eastAsia="Arial" w:hAnsi="Arial"/>
                <w:sz w:val="18"/>
                <w:szCs w:val="18"/>
                <w:color w:val="auto"/>
              </w:rPr>
              <w:t>(p)</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223,029</w:t>
            </w:r>
          </w:p>
        </w:tc>
        <w:tc>
          <w:tcPr>
            <w:tcW w:w="360" w:type="dxa"/>
            <w:vAlign w:val="bottom"/>
          </w:tcPr>
          <w:p>
            <w:pPr>
              <w:ind w:left="40"/>
              <w:spacing w:after="0"/>
              <w:rPr>
                <w:sz w:val="20"/>
                <w:szCs w:val="20"/>
                <w:color w:val="auto"/>
              </w:rPr>
            </w:pPr>
            <w:r>
              <w:rPr>
                <w:rFonts w:ascii="Arial" w:cs="Arial" w:eastAsia="Arial" w:hAnsi="Arial"/>
                <w:sz w:val="18"/>
                <w:szCs w:val="18"/>
                <w:color w:val="auto"/>
              </w:rPr>
              <w:t>(p)</w:t>
            </w:r>
          </w:p>
        </w:tc>
        <w:tc>
          <w:tcPr>
            <w:tcW w:w="10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290,665</w:t>
            </w:r>
          </w:p>
        </w:tc>
      </w:tr>
      <w:tr>
        <w:trPr>
          <w:trHeight w:val="216"/>
        </w:trPr>
        <w:tc>
          <w:tcPr>
            <w:tcW w:w="2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282,061</w:t>
            </w: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293,408</w:t>
            </w:r>
          </w:p>
        </w:tc>
        <w:tc>
          <w:tcPr>
            <w:tcW w:w="2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38,284</w:t>
            </w:r>
          </w:p>
        </w:tc>
        <w:tc>
          <w:tcPr>
            <w:tcW w:w="6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(223,029)</w:t>
            </w: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390,724</w:t>
            </w:r>
          </w:p>
        </w:tc>
      </w:tr>
      <w:tr>
        <w:trPr>
          <w:trHeight w:val="223"/>
        </w:trPr>
        <w:tc>
          <w:tcPr>
            <w:tcW w:w="29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tcPr>
          <w:p>
            <w:pPr>
              <w:spacing w:after="0"/>
              <w:rPr>
                <w:sz w:val="19"/>
                <w:szCs w:val="19"/>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59,863</w:t>
            </w:r>
          </w:p>
        </w:tc>
        <w:tc>
          <w:tcPr>
            <w:tcW w:w="22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30,464</w:t>
            </w:r>
          </w:p>
        </w:tc>
        <w:tc>
          <w:tcPr>
            <w:tcW w:w="24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6,376</w:t>
            </w:r>
          </w:p>
        </w:tc>
        <w:tc>
          <w:tcPr>
            <w:tcW w:w="780" w:type="dxa"/>
            <w:vAlign w:val="bottom"/>
            <w:gridSpan w:val="2"/>
          </w:tcPr>
          <w:p>
            <w:pPr>
              <w:ind w:left="120"/>
              <w:spacing w:after="0"/>
              <w:rPr>
                <w:sz w:val="20"/>
                <w:szCs w:val="20"/>
                <w:color w:val="auto"/>
              </w:rPr>
            </w:pPr>
            <w:r>
              <w:rPr>
                <w:rFonts w:ascii="Arial" w:cs="Arial" w:eastAsia="Arial" w:hAnsi="Arial"/>
                <w:sz w:val="18"/>
                <w:szCs w:val="18"/>
                <w:color w:val="auto"/>
              </w:rPr>
              <w:t>(q)</w:t>
            </w:r>
          </w:p>
        </w:tc>
        <w:tc>
          <w:tcPr>
            <w:tcW w:w="1260" w:type="dxa"/>
            <w:vAlign w:val="bottom"/>
          </w:tcPr>
          <w:p>
            <w:pPr>
              <w:jc w:val="right"/>
              <w:spacing w:after="0"/>
              <w:rPr>
                <w:sz w:val="20"/>
                <w:szCs w:val="20"/>
                <w:color w:val="auto"/>
              </w:rPr>
            </w:pPr>
            <w:r>
              <w:rPr>
                <w:rFonts w:ascii="Arial" w:cs="Arial" w:eastAsia="Arial" w:hAnsi="Arial"/>
                <w:sz w:val="18"/>
                <w:szCs w:val="18"/>
                <w:color w:val="auto"/>
              </w:rPr>
              <w:t>(56,328)</w:t>
            </w:r>
          </w:p>
        </w:tc>
        <w:tc>
          <w:tcPr>
            <w:tcW w:w="360" w:type="dxa"/>
            <w:vAlign w:val="bottom"/>
          </w:tcPr>
          <w:p>
            <w:pPr>
              <w:ind w:left="40"/>
              <w:spacing w:after="0"/>
              <w:rPr>
                <w:sz w:val="20"/>
                <w:szCs w:val="20"/>
                <w:color w:val="auto"/>
              </w:rPr>
            </w:pPr>
            <w:r>
              <w:rPr>
                <w:rFonts w:ascii="Arial" w:cs="Arial" w:eastAsia="Arial" w:hAnsi="Arial"/>
                <w:sz w:val="18"/>
                <w:szCs w:val="18"/>
                <w:color w:val="auto"/>
              </w:rPr>
              <w:t>(q)</w:t>
            </w:r>
          </w:p>
        </w:tc>
        <w:tc>
          <w:tcPr>
            <w:tcW w:w="10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40,375</w:t>
            </w:r>
          </w:p>
        </w:tc>
      </w:tr>
      <w:tr>
        <w:trPr>
          <w:trHeight w:val="216"/>
        </w:trPr>
        <w:tc>
          <w:tcPr>
            <w:tcW w:w="2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222,198</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262,944</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31,908</w:t>
            </w:r>
          </w:p>
        </w:tc>
        <w:tc>
          <w:tcPr>
            <w:tcW w:w="6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(166,701)</w:t>
            </w: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350,349</w:t>
            </w:r>
          </w:p>
        </w:tc>
      </w:tr>
      <w:tr>
        <w:trPr>
          <w:trHeight w:val="202"/>
        </w:trPr>
        <w:tc>
          <w:tcPr>
            <w:tcW w:w="2960" w:type="dxa"/>
            <w:vAlign w:val="bottom"/>
          </w:tcPr>
          <w:p>
            <w:pPr>
              <w:spacing w:after="0" w:line="201" w:lineRule="exact"/>
              <w:rPr>
                <w:sz w:val="20"/>
                <w:szCs w:val="20"/>
                <w:color w:val="auto"/>
              </w:rPr>
            </w:pPr>
            <w:r>
              <w:rPr>
                <w:rFonts w:ascii="Arial" w:cs="Arial" w:eastAsia="Arial" w:hAnsi="Arial"/>
                <w:sz w:val="18"/>
                <w:szCs w:val="18"/>
                <w:color w:val="auto"/>
              </w:rPr>
              <w:t>Less: Net loss attributable to non-</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controlling interests</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(1,228)</w:t>
            </w:r>
          </w:p>
        </w:tc>
        <w:tc>
          <w:tcPr>
            <w:tcW w:w="22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(1,228)</w:t>
            </w:r>
          </w:p>
        </w:tc>
      </w:tr>
      <w:tr>
        <w:trPr>
          <w:trHeight w:val="202"/>
        </w:trPr>
        <w:tc>
          <w:tcPr>
            <w:tcW w:w="29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Net income attributable to common</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30"/>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stockholders</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223,426</w:t>
            </w: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262,944</w:t>
            </w: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31,908</w:t>
            </w: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(166,701)</w:t>
            </w: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351,577</w:t>
            </w:r>
          </w:p>
        </w:tc>
      </w:tr>
      <w:tr>
        <w:trPr>
          <w:trHeight w:val="223"/>
        </w:trPr>
        <w:tc>
          <w:tcPr>
            <w:tcW w:w="2960" w:type="dxa"/>
            <w:vAlign w:val="bottom"/>
          </w:tcPr>
          <w:p>
            <w:pPr>
              <w:spacing w:after="0"/>
              <w:rPr>
                <w:sz w:val="20"/>
                <w:szCs w:val="20"/>
                <w:color w:val="auto"/>
              </w:rPr>
            </w:pPr>
            <w:r>
              <w:rPr>
                <w:rFonts w:ascii="Arial" w:cs="Arial" w:eastAsia="Arial" w:hAnsi="Arial"/>
                <w:sz w:val="18"/>
                <w:szCs w:val="18"/>
                <w:color w:val="auto"/>
              </w:rPr>
              <w:t>Preferred dividends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rPr>
              <w:t>(r)</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(r)</w:t>
            </w: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accompanying “Notes to Unaudited Pro Forma Condensed Combined Financial Information”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22"/>
          <w:szCs w:val="22"/>
          <w:b w:val="1"/>
          <w:bCs w:val="1"/>
          <w:color w:val="auto"/>
        </w:rPr>
        <w:t>WESCO INTERNATIONAL,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PRO FORMA CONDENSED COMBINED STATEMENT OF INCOME</w:t>
      </w:r>
    </w:p>
    <w:p>
      <w:pPr>
        <w:jc w:val="center"/>
        <w:spacing w:after="0" w:line="230" w:lineRule="auto"/>
        <w:rPr>
          <w:sz w:val="20"/>
          <w:szCs w:val="20"/>
          <w:color w:val="auto"/>
        </w:rPr>
      </w:pPr>
      <w:r>
        <w:rPr>
          <w:rFonts w:ascii="Arial" w:cs="Arial" w:eastAsia="Arial" w:hAnsi="Arial"/>
          <w:sz w:val="22"/>
          <w:szCs w:val="22"/>
          <w:b w:val="1"/>
          <w:bCs w:val="1"/>
          <w:color w:val="auto"/>
        </w:rPr>
        <w:t>FOR THE TWELVE MONTHS ENDED MARCH 31, 2020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 thousands, except per share amounts)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Anixter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Historical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center"/>
              <w:ind w:right="150"/>
              <w:spacing w:after="0"/>
              <w:rPr>
                <w:sz w:val="20"/>
                <w:szCs w:val="20"/>
                <w:color w:val="auto"/>
              </w:rPr>
            </w:pPr>
            <w:r>
              <w:rPr>
                <w:rFonts w:ascii="Arial" w:cs="Arial" w:eastAsia="Arial" w:hAnsi="Arial"/>
                <w:sz w:val="18"/>
                <w:szCs w:val="18"/>
                <w:b w:val="1"/>
                <w:bCs w:val="1"/>
                <w:color w:val="auto"/>
                <w:w w:val="93"/>
              </w:rPr>
              <w:t>Pro Forma</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1"/>
              </w:rPr>
              <w:t>(Twelve Months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Merger</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center"/>
              <w:ind w:right="230"/>
              <w:spacing w:after="0"/>
              <w:rPr>
                <w:sz w:val="20"/>
                <w:szCs w:val="20"/>
                <w:color w:val="auto"/>
              </w:rPr>
            </w:pPr>
            <w:r>
              <w:rPr>
                <w:rFonts w:ascii="Arial" w:cs="Arial" w:eastAsia="Arial" w:hAnsi="Arial"/>
                <w:sz w:val="18"/>
                <w:szCs w:val="18"/>
                <w:b w:val="1"/>
                <w:bCs w:val="1"/>
                <w:color w:val="auto"/>
                <w:w w:val="90"/>
              </w:rPr>
              <w:t>Funding of</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ind w:right="110"/>
              <w:spacing w:after="0"/>
              <w:rPr>
                <w:sz w:val="20"/>
                <w:szCs w:val="20"/>
                <w:color w:val="auto"/>
              </w:rPr>
            </w:pPr>
            <w:r>
              <w:rPr>
                <w:rFonts w:ascii="Arial" w:cs="Arial" w:eastAsia="Arial" w:hAnsi="Arial"/>
                <w:sz w:val="18"/>
                <w:szCs w:val="18"/>
                <w:b w:val="1"/>
                <w:bCs w:val="1"/>
                <w:color w:val="auto"/>
                <w:w w:val="96"/>
              </w:rPr>
              <w:t>WESCO</w:t>
            </w:r>
          </w:p>
        </w:tc>
      </w:tr>
      <w:tr>
        <w:trPr>
          <w:trHeight w:val="216"/>
        </w:trPr>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310"/>
              <w:spacing w:after="0"/>
              <w:rPr>
                <w:sz w:val="20"/>
                <w:szCs w:val="20"/>
                <w:color w:val="auto"/>
              </w:rPr>
            </w:pPr>
            <w:r>
              <w:rPr>
                <w:rFonts w:ascii="Arial" w:cs="Arial" w:eastAsia="Arial" w:hAnsi="Arial"/>
                <w:sz w:val="18"/>
                <w:szCs w:val="18"/>
                <w:b w:val="1"/>
                <w:bCs w:val="1"/>
                <w:color w:val="auto"/>
              </w:rPr>
              <w:t>WESCO</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Ended April 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Adjustments</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center"/>
              <w:ind w:right="210"/>
              <w:spacing w:after="0"/>
              <w:rPr>
                <w:sz w:val="20"/>
                <w:szCs w:val="20"/>
                <w:color w:val="auto"/>
              </w:rPr>
            </w:pPr>
            <w:r>
              <w:rPr>
                <w:rFonts w:ascii="Arial" w:cs="Arial" w:eastAsia="Arial" w:hAnsi="Arial"/>
                <w:sz w:val="18"/>
                <w:szCs w:val="18"/>
                <w:b w:val="1"/>
                <w:bCs w:val="1"/>
                <w:color w:val="auto"/>
                <w:w w:val="93"/>
              </w:rPr>
              <w:t>the Merger</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Combined Pro</w:t>
            </w:r>
          </w:p>
        </w:tc>
      </w:tr>
      <w:tr>
        <w:trPr>
          <w:trHeight w:val="241"/>
        </w:trPr>
        <w:tc>
          <w:tcPr>
            <w:tcW w:w="2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Historical</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1"/>
              </w:rPr>
              <w:t>2020)</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2"/>
              </w:rPr>
              <w:t>(Note 3)</w:t>
            </w:r>
          </w:p>
        </w:tc>
        <w:tc>
          <w:tcPr>
            <w:tcW w:w="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(Note 3)</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4"/>
              </w:rPr>
              <w:t>Forma</w:t>
            </w: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8,366,297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8,808,716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17,175,013</w:t>
            </w:r>
          </w:p>
        </w:tc>
      </w:tr>
      <w:tr>
        <w:trPr>
          <w:trHeight w:val="202"/>
        </w:trPr>
        <w:tc>
          <w:tcPr>
            <w:tcW w:w="2980" w:type="dxa"/>
            <w:vAlign w:val="bottom"/>
          </w:tcPr>
          <w:p>
            <w:pPr>
              <w:spacing w:after="0" w:line="201" w:lineRule="exact"/>
              <w:rPr>
                <w:sz w:val="20"/>
                <w:szCs w:val="20"/>
                <w:color w:val="auto"/>
              </w:rPr>
            </w:pPr>
            <w:r>
              <w:rPr>
                <w:rFonts w:ascii="Arial" w:cs="Arial" w:eastAsia="Arial" w:hAnsi="Arial"/>
                <w:sz w:val="18"/>
                <w:szCs w:val="18"/>
                <w:color w:val="auto"/>
              </w:rPr>
              <w:t>Cost of goods sold (excluding</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30"/>
        </w:trPr>
        <w:tc>
          <w:tcPr>
            <w:tcW w:w="29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6,790,934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7,035,489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13,826,423</w:t>
            </w:r>
          </w:p>
        </w:tc>
      </w:tr>
      <w:tr>
        <w:trPr>
          <w:trHeight w:val="202"/>
        </w:trPr>
        <w:tc>
          <w:tcPr>
            <w:tcW w:w="2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30"/>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1,176,001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1,337,623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(17,237)</w:t>
            </w:r>
          </w:p>
        </w:tc>
        <w:tc>
          <w:tcPr>
            <w:tcW w:w="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(m,n)</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2,496,387</w:t>
            </w:r>
          </w:p>
        </w:tc>
      </w:tr>
      <w:tr>
        <w:trPr>
          <w:trHeight w:val="202"/>
        </w:trPr>
        <w:tc>
          <w:tcPr>
            <w:tcW w:w="2980" w:type="dxa"/>
            <w:vAlign w:val="bottom"/>
          </w:tcPr>
          <w:p>
            <w:pPr>
              <w:spacing w:after="0" w:line="201" w:lineRule="exact"/>
              <w:rPr>
                <w:sz w:val="20"/>
                <w:szCs w:val="20"/>
                <w:color w:val="auto"/>
              </w:rPr>
            </w:pPr>
            <w:r>
              <w:rPr>
                <w:rFonts w:ascii="Arial" w:cs="Arial" w:eastAsia="Arial" w:hAnsi="Arial"/>
                <w:sz w:val="18"/>
                <w:szCs w:val="18"/>
                <w:color w:val="auto"/>
              </w:rPr>
              <w:t>Depreciation and</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37"/>
        </w:trPr>
        <w:tc>
          <w:tcPr>
            <w:tcW w:w="2980" w:type="dxa"/>
            <w:vAlign w:val="bottom"/>
          </w:tcPr>
          <w:p>
            <w:pPr>
              <w:spacing w:after="0"/>
              <w:rPr>
                <w:sz w:val="20"/>
                <w:szCs w:val="20"/>
                <w:color w:val="auto"/>
              </w:rPr>
            </w:pPr>
            <w:r>
              <w:rPr>
                <w:rFonts w:ascii="Arial" w:cs="Arial" w:eastAsia="Arial" w:hAnsi="Arial"/>
                <w:sz w:val="18"/>
                <w:szCs w:val="18"/>
                <w:color w:val="auto"/>
              </w:rPr>
              <w:t>amortization</w:t>
            </w:r>
          </w:p>
        </w:tc>
        <w:tc>
          <w:tcPr>
            <w:tcW w:w="18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62,958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71,260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41,323</w:t>
            </w:r>
          </w:p>
        </w:tc>
        <w:tc>
          <w:tcPr>
            <w:tcW w:w="840" w:type="dxa"/>
            <w:vAlign w:val="bottom"/>
            <w:gridSpan w:val="2"/>
          </w:tcPr>
          <w:p>
            <w:pPr>
              <w:ind w:left="120"/>
              <w:spacing w:after="0"/>
              <w:rPr>
                <w:sz w:val="20"/>
                <w:szCs w:val="20"/>
                <w:color w:val="auto"/>
              </w:rPr>
            </w:pPr>
            <w:r>
              <w:rPr>
                <w:rFonts w:ascii="Arial" w:cs="Arial" w:eastAsia="Arial" w:hAnsi="Arial"/>
                <w:sz w:val="18"/>
                <w:szCs w:val="18"/>
                <w:color w:val="auto"/>
              </w:rPr>
              <w:t>(o)</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175,541</w:t>
            </w: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336,404</w:t>
            </w: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364,344</w:t>
            </w: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(24,086)</w:t>
            </w:r>
          </w:p>
        </w:tc>
        <w:tc>
          <w:tcPr>
            <w:tcW w:w="6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676,662</w:t>
            </w:r>
          </w:p>
        </w:tc>
      </w:tr>
      <w:tr>
        <w:trPr>
          <w:trHeight w:val="223"/>
        </w:trPr>
        <w:tc>
          <w:tcPr>
            <w:tcW w:w="2980" w:type="dxa"/>
            <w:vAlign w:val="bottom"/>
          </w:tcPr>
          <w:p>
            <w:pPr>
              <w:spacing w:after="0"/>
              <w:rPr>
                <w:sz w:val="20"/>
                <w:szCs w:val="20"/>
                <w:color w:val="auto"/>
              </w:rPr>
            </w:pPr>
            <w:r>
              <w:rPr>
                <w:rFonts w:ascii="Arial" w:cs="Arial" w:eastAsia="Arial" w:hAnsi="Arial"/>
                <w:sz w:val="18"/>
                <w:szCs w:val="18"/>
                <w:color w:val="auto"/>
              </w:rPr>
              <w:t>Net interest and other</w:t>
            </w:r>
          </w:p>
        </w:tc>
        <w:tc>
          <w:tcPr>
            <w:tcW w:w="18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63,508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78,987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(67,252)</w:t>
            </w:r>
          </w:p>
        </w:tc>
        <w:tc>
          <w:tcPr>
            <w:tcW w:w="840" w:type="dxa"/>
            <w:vAlign w:val="bottom"/>
            <w:gridSpan w:val="2"/>
          </w:tcPr>
          <w:p>
            <w:pPr>
              <w:ind w:left="120"/>
              <w:spacing w:after="0"/>
              <w:rPr>
                <w:sz w:val="20"/>
                <w:szCs w:val="20"/>
                <w:color w:val="auto"/>
              </w:rPr>
            </w:pPr>
            <w:r>
              <w:rPr>
                <w:rFonts w:ascii="Arial" w:cs="Arial" w:eastAsia="Arial" w:hAnsi="Arial"/>
                <w:sz w:val="18"/>
                <w:szCs w:val="18"/>
                <w:color w:val="auto"/>
              </w:rPr>
              <w:t>(p)</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223,636</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90"/>
              </w:rPr>
              <w:t>(p)</w:t>
            </w:r>
          </w:p>
        </w:tc>
        <w:tc>
          <w:tcPr>
            <w:tcW w:w="10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298,879</w:t>
            </w: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272,896</w:t>
            </w: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285,357</w:t>
            </w: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43,166</w:t>
            </w:r>
          </w:p>
        </w:tc>
        <w:tc>
          <w:tcPr>
            <w:tcW w:w="6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(223,636)</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377,783</w:t>
            </w:r>
          </w:p>
        </w:tc>
      </w:tr>
      <w:tr>
        <w:trPr>
          <w:trHeight w:val="223"/>
        </w:trPr>
        <w:tc>
          <w:tcPr>
            <w:tcW w:w="29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58,473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25,811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6,513</w:t>
            </w:r>
          </w:p>
        </w:tc>
        <w:tc>
          <w:tcPr>
            <w:tcW w:w="840" w:type="dxa"/>
            <w:vAlign w:val="bottom"/>
            <w:gridSpan w:val="2"/>
          </w:tcPr>
          <w:p>
            <w:pPr>
              <w:ind w:left="120"/>
              <w:spacing w:after="0"/>
              <w:rPr>
                <w:sz w:val="20"/>
                <w:szCs w:val="20"/>
                <w:color w:val="auto"/>
              </w:rPr>
            </w:pPr>
            <w:r>
              <w:rPr>
                <w:rFonts w:ascii="Arial" w:cs="Arial" w:eastAsia="Arial" w:hAnsi="Arial"/>
                <w:sz w:val="18"/>
                <w:szCs w:val="18"/>
                <w:color w:val="auto"/>
              </w:rPr>
              <w:t>(q)</w:t>
            </w:r>
          </w:p>
        </w:tc>
        <w:tc>
          <w:tcPr>
            <w:tcW w:w="1520" w:type="dxa"/>
            <w:vAlign w:val="bottom"/>
            <w:gridSpan w:val="2"/>
          </w:tcPr>
          <w:p>
            <w:pPr>
              <w:jc w:val="right"/>
              <w:ind w:right="10"/>
              <w:spacing w:after="0"/>
              <w:rPr>
                <w:sz w:val="20"/>
                <w:szCs w:val="20"/>
                <w:color w:val="auto"/>
              </w:rPr>
            </w:pPr>
            <w:r>
              <w:rPr>
                <w:rFonts w:ascii="Arial" w:cs="Arial" w:eastAsia="Arial" w:hAnsi="Arial"/>
                <w:sz w:val="18"/>
                <w:szCs w:val="18"/>
                <w:color w:val="auto"/>
              </w:rPr>
              <w:t>(56,414) (q)</w:t>
            </w:r>
          </w:p>
        </w:tc>
        <w:tc>
          <w:tcPr>
            <w:tcW w:w="10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34,383</w:t>
            </w: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214,423</w:t>
            </w: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259,546</w:t>
            </w: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36,653</w:t>
            </w:r>
          </w:p>
        </w:tc>
        <w:tc>
          <w:tcPr>
            <w:tcW w:w="6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(167,222)</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343,400</w:t>
            </w:r>
          </w:p>
        </w:tc>
      </w:tr>
      <w:tr>
        <w:trPr>
          <w:trHeight w:val="202"/>
        </w:trPr>
        <w:tc>
          <w:tcPr>
            <w:tcW w:w="2980" w:type="dxa"/>
            <w:vAlign w:val="bottom"/>
          </w:tcPr>
          <w:p>
            <w:pPr>
              <w:spacing w:after="0" w:line="201" w:lineRule="exact"/>
              <w:rPr>
                <w:sz w:val="20"/>
                <w:szCs w:val="20"/>
                <w:color w:val="auto"/>
              </w:rPr>
            </w:pPr>
            <w:r>
              <w:rPr>
                <w:rFonts w:ascii="Arial" w:cs="Arial" w:eastAsia="Arial" w:hAnsi="Arial"/>
                <w:sz w:val="18"/>
                <w:szCs w:val="18"/>
                <w:color w:val="auto"/>
              </w:rPr>
              <w:t>Less: Net loss attributable to non-</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37"/>
        </w:trPr>
        <w:tc>
          <w:tcPr>
            <w:tcW w:w="2980" w:type="dxa"/>
            <w:vAlign w:val="bottom"/>
          </w:tcPr>
          <w:p>
            <w:pPr>
              <w:spacing w:after="0"/>
              <w:rPr>
                <w:sz w:val="20"/>
                <w:szCs w:val="20"/>
                <w:color w:val="auto"/>
              </w:rPr>
            </w:pPr>
            <w:r>
              <w:rPr>
                <w:rFonts w:ascii="Arial" w:cs="Arial" w:eastAsia="Arial" w:hAnsi="Arial"/>
                <w:sz w:val="18"/>
                <w:szCs w:val="18"/>
                <w:color w:val="auto"/>
              </w:rPr>
              <w:t>controlling interests</w:t>
            </w: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w:t>
            </w:r>
          </w:p>
        </w:tc>
      </w:tr>
      <w:tr>
        <w:trPr>
          <w:trHeight w:val="202"/>
        </w:trPr>
        <w:tc>
          <w:tcPr>
            <w:tcW w:w="2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attributable to common</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37"/>
        </w:trPr>
        <w:tc>
          <w:tcPr>
            <w:tcW w:w="2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stockholders</w:t>
            </w:r>
          </w:p>
        </w:tc>
        <w:tc>
          <w:tcPr>
            <w:tcW w:w="1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215,464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259,546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36,653</w:t>
            </w:r>
          </w:p>
        </w:tc>
        <w:tc>
          <w:tcPr>
            <w:tcW w:w="6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(167,222)</w:t>
            </w:r>
          </w:p>
        </w:tc>
        <w:tc>
          <w:tcPr>
            <w:tcW w:w="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344,441</w:t>
            </w:r>
          </w:p>
        </w:tc>
      </w:tr>
      <w:tr>
        <w:trPr>
          <w:trHeight w:val="223"/>
        </w:trPr>
        <w:tc>
          <w:tcPr>
            <w:tcW w:w="2980" w:type="dxa"/>
            <w:vAlign w:val="bottom"/>
          </w:tcPr>
          <w:p>
            <w:pPr>
              <w:spacing w:after="0"/>
              <w:rPr>
                <w:sz w:val="20"/>
                <w:szCs w:val="20"/>
                <w:color w:val="auto"/>
              </w:rPr>
            </w:pPr>
            <w:r>
              <w:rPr>
                <w:rFonts w:ascii="Arial" w:cs="Arial" w:eastAsia="Arial" w:hAnsi="Arial"/>
                <w:sz w:val="18"/>
                <w:szCs w:val="18"/>
                <w:color w:val="auto"/>
              </w:rPr>
              <w:t>Preferred dividends</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rPr>
              <w:t>(r)</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(r)</w:t>
            </w: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accompanying “Notes to Unaudited Pro Forma Condensed Combined Financial Information”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4" w:name="page15"/>
    <w:bookmarkEnd w:id="14"/>
    <w:p>
      <w:pPr>
        <w:ind w:left="2440"/>
        <w:spacing w:after="0"/>
        <w:rPr>
          <w:sz w:val="20"/>
          <w:szCs w:val="20"/>
          <w:color w:val="auto"/>
        </w:rPr>
      </w:pPr>
      <w:r>
        <w:rPr>
          <w:rFonts w:ascii="Arial" w:cs="Arial" w:eastAsia="Arial" w:hAnsi="Arial"/>
          <w:sz w:val="22"/>
          <w:szCs w:val="22"/>
          <w:b w:val="1"/>
          <w:bCs w:val="1"/>
          <w:color w:val="auto"/>
        </w:rPr>
        <w:t>Notes to Unaudited Pro Forma Condensed Combined Financial Information</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Basis of Pro Forma Presentation</w:t>
      </w:r>
    </w:p>
    <w:p>
      <w:pPr>
        <w:spacing w:after="0" w:line="23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 xml:space="preserve">The unaudited pro forma condensed combined financial information has been prepared from the respective historical consolidated information of WESCO and Anixter, and reflects adjustments to the historical information using the guidance in Article 11 of Regulation S-X of the Exchange Act using the acquisition method of accounting, as defined by ASC 805, and using the fair value concepts as defined in ASC 820 </w:t>
      </w:r>
      <w:r>
        <w:rPr>
          <w:rFonts w:ascii="Arial" w:cs="Arial" w:eastAsia="Arial" w:hAnsi="Arial"/>
          <w:sz w:val="19"/>
          <w:szCs w:val="19"/>
          <w:i w:val="1"/>
          <w:iCs w:val="1"/>
          <w:color w:val="auto"/>
        </w:rPr>
        <w:t>Fair Value Measurement</w:t>
      </w:r>
      <w:r>
        <w:rPr>
          <w:rFonts w:ascii="Arial" w:cs="Arial" w:eastAsia="Arial" w:hAnsi="Arial"/>
          <w:sz w:val="19"/>
          <w:szCs w:val="19"/>
          <w:color w:val="auto"/>
        </w:rPr>
        <w:t>. As a result, WESCO will record the business combination in its consolidated financial statements and will apply the acquisition method to account for Anixter’s assets acquired and liabilities assumed upon completion of the Merger. The acquisition method requires the recording of identifiable assets acquired and liabilities assumed at their fair values on the acquisition date, and the recording of goodwill for the excess of the purchase price over the aggregate fair value of the identifiable assets acquired and liabilities assumed. In addition, ASC 805 requires that, at the date of the Merger, the consideration transferred be measured at its then-current fair value.</w:t>
      </w:r>
    </w:p>
    <w:p>
      <w:pPr>
        <w:spacing w:after="0" w:line="18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The unaudited pro forma condensed combined financial information is not necessarily indicative of what WESCO’s financial position or results of operations would have been had the Merger and the other Transactions been consummated on the date indicated, nor is it necessarily indicative of what the financial position or results of operations of the combined company will be in future periods. The historical financial information has been adjusted to give effect to estimated pro forma events that are directly attributable to the Merger and the other Transactions, factually supportable and, with respect to the unaudited pro forma condensed combined statement of income, expected to have a continuing impact on the combined results of operations. Additionally, the preliminary unaudited pro forma condensed combined financial information does not reflect the cost of any integration activities or benefits that may result from potential revenue enhancements, anticipated cost savings and expense efficiencies or other synergies that may be achieved in the Merger or any strategies that management may consider in order to continue to efficiently manage WESCO’s operations.</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To prepare the unaudited pro forma condensed combined financial information, WESCO adjusted Anixter’s assets and liabilities to their estimated fair values based on preliminary valuation procedures performed. As of the date of this offering memorandum, WESCO has not completed the detailed valuation procedures necessary to finalize the required estimated fair values and lives of Anixter’s assets to be acquired and liabilities to be assumed and the related allocation of the purchase price. The final valuation and related allocation of the purchase price will be determined after the transaction is completed. Accordingly, the final acquisition accounting adjustments may be materially different from the unaudited pro forma adjustments. Also, as of the date of this offering memorandum, certain reclassifications have been made to align Anixter presentation with that of WESCO. Furthermore, WESCO has not as yet completed its review of Anixter’s accounting policies/ presentation and as such may not have identified all adjustments and further reclassifications necessary to conform Anixter’s accounting and presentation with that of WESCO. As a result of this review, the final acquisition accounting adjustments may be materially different from the unaudited pro forma adjustments.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Accounting Periods Presented</w:t>
      </w:r>
    </w:p>
    <w:p>
      <w:pPr>
        <w:spacing w:after="0" w:line="23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WESCO and Anixter have different fiscal years. WESCO’s fiscal year ends on December 31, whereas Anixter’s fiscal year ends on the Friday nearest December 31, with the fiscal quarters spanning thirteen weeks and the first quarter ending on the Friday of the first thirteen-week period. The unaudited pro forma condensed combined balance sheet and statement of income have been prepared utilizing period ends that differ by less than 93 days, as permitted by Rule 11-02 of Regulation S-X of the Exchange Act.</w:t>
      </w:r>
    </w:p>
    <w:p>
      <w:pPr>
        <w:spacing w:after="0" w:line="21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The unaudited pro forma condensed combined balance sheet as of March 31, 2020 has been prepared as if the Transactions occurred on March 31, 2020 and combines WESCO’s balance sheet as of March 31, 2020 with Anixter’s balance sheet as of April 3, 2020. The unaudited pro forma condensed combined statement of income for the three months ended March 31, 2020, the year ended December 31, 2019 and for the twelve months ended March 31, 2020 have been prepared as if the Transactions occurred on January 1, 2019, the first day of WESCO’s 2019 fiscal year; and combines the historical results of WESCO for the three months ended March 31, 2020, the fiscal year ended December 31, 2019 and the twelve months ended March 31, 2020 with the historical results of Anixter for the three months ended April 3, 2020, the fiscal year ended January 3, 2020 and the twelve months ended April 3, 2020, respectively.</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Calculation of Estimated Purchase Consideration and Preliminary Purchase Price Allocation</w:t>
      </w:r>
    </w:p>
    <w:p>
      <w:pPr>
        <w:spacing w:after="0" w:line="23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The preliminary estimated fair value of purchase consideration to be transferred on the closing date of the Merger is comprised of (i) total cash consideration, which includes cash to be paid to Anixter stockholders for the issued and outstanding shares of Anixter common stock, cash settlement of vested equity awards, fair value of estimated Anixter RSUs vested prior to closing and the repayment of certain preexisting Anixter obligations described below, and (ii) shares of WESCO common stock and depositary shares representing an interest in the WESCO Series A preferred stock. Estimated purchase consideration of approximately $4.7 billion is based on WESCO’s closing share price of $27.81 on May 21, 2020. The value of the purchase consideration will change based on fluctuations in the share price of WESCO’s common stock and Series A preferred stock and the number of common shares of Anixter outstanding on the closing date.</w:t>
      </w:r>
    </w:p>
    <w:p>
      <w:pPr>
        <w:sectPr>
          <w:pgSz w:w="11900" w:h="16838" w:orient="portrait"/>
          <w:cols w:equalWidth="0" w:num="1">
            <w:col w:w="11240"/>
          </w:cols>
          <w:pgMar w:left="320" w:top="112" w:right="339" w:bottom="21"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21" w:gutter="0" w:footer="0" w:header="0"/>
          <w:type w:val="continuous"/>
        </w:sectPr>
      </w:pPr>
    </w:p>
    <w:bookmarkStart w:id="15" w:name="page16"/>
    <w:bookmarkEnd w:id="15"/>
    <w:p>
      <w:pPr>
        <w:ind w:left="660"/>
        <w:spacing w:after="0"/>
        <w:rPr>
          <w:sz w:val="20"/>
          <w:szCs w:val="20"/>
          <w:color w:val="auto"/>
        </w:rPr>
      </w:pPr>
      <w:r>
        <w:rPr>
          <w:rFonts w:ascii="Arial" w:cs="Arial" w:eastAsia="Arial" w:hAnsi="Arial"/>
          <w:sz w:val="22"/>
          <w:szCs w:val="22"/>
          <w:color w:val="auto"/>
        </w:rPr>
        <w:t>The following table summarizes the components of the estimated purchase consideration:</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for per share amounts and exchange ratio</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Estimated shares of Anixter common stock outstanding (i)</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34,001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9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consideration (per share of common stock) (ii)</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72.82</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b w:val="1"/>
                <w:bCs w:val="1"/>
                <w:i w:val="1"/>
                <w:iCs w:val="1"/>
                <w:color w:val="auto"/>
              </w:rPr>
              <w:t>Estimated cash portion attributable to common stock outstanding</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2,475,989</w:t>
            </w:r>
          </w:p>
        </w:tc>
        <w:tc>
          <w:tcPr>
            <w:tcW w:w="80" w:type="dxa"/>
            <w:vAlign w:val="bottom"/>
          </w:tcPr>
          <w:p>
            <w:pPr>
              <w:spacing w:after="0"/>
              <w:rPr>
                <w:sz w:val="18"/>
                <w:szCs w:val="18"/>
                <w:color w:val="auto"/>
              </w:rPr>
            </w:pPr>
          </w:p>
        </w:tc>
      </w:tr>
      <w:tr>
        <w:trPr>
          <w:trHeight w:val="21"/>
        </w:trPr>
        <w:tc>
          <w:tcPr>
            <w:tcW w:w="9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09"/>
        </w:trPr>
        <w:tc>
          <w:tcPr>
            <w:tcW w:w="9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Estimated number of Anixter options eligible for Merger Consideration (iii)</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201</w:t>
            </w:r>
          </w:p>
        </w:tc>
      </w:tr>
      <w:tr>
        <w:trPr>
          <w:trHeight w:val="223"/>
        </w:trPr>
        <w:tc>
          <w:tcPr>
            <w:tcW w:w="9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consideration (per Anixter share) of Merger Consideration value less weighted average exercise price (iv)</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33.11</w:t>
            </w:r>
          </w:p>
        </w:tc>
        <w:tc>
          <w:tcPr>
            <w:tcW w:w="100" w:type="dxa"/>
            <w:vAlign w:val="bottom"/>
            <w:tcBorders>
              <w:bottom w:val="single" w:sz="8" w:color="CCEEFF"/>
            </w:tcBorders>
            <w:gridSpan w:val="2"/>
            <w:shd w:val="clear" w:color="auto" w:fill="CCEEFF"/>
          </w:tcPr>
          <w:p>
            <w:pPr>
              <w:spacing w:after="0"/>
              <w:rPr>
                <w:sz w:val="19"/>
                <w:szCs w:val="19"/>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b w:val="1"/>
                <w:bCs w:val="1"/>
                <w:i w:val="1"/>
                <w:iCs w:val="1"/>
                <w:color w:val="auto"/>
              </w:rPr>
              <w:t>Estimated cash portion attributable to outstanding Anixter options</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6,646</w:t>
            </w:r>
          </w:p>
        </w:tc>
        <w:tc>
          <w:tcPr>
            <w:tcW w:w="80" w:type="dxa"/>
            <w:vAlign w:val="bottom"/>
          </w:tcPr>
          <w:p>
            <w:pPr>
              <w:spacing w:after="0"/>
              <w:rPr>
                <w:sz w:val="18"/>
                <w:szCs w:val="18"/>
                <w:color w:val="auto"/>
              </w:rPr>
            </w:pPr>
          </w:p>
        </w:tc>
      </w:tr>
      <w:tr>
        <w:trPr>
          <w:trHeight w:val="21"/>
        </w:trPr>
        <w:tc>
          <w:tcPr>
            <w:tcW w:w="9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09"/>
        </w:trPr>
        <w:tc>
          <w:tcPr>
            <w:tcW w:w="9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Estimated number of Anixter restricted stock units eligible for Merger Consideration (v)</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818</w:t>
            </w:r>
          </w:p>
        </w:tc>
      </w:tr>
      <w:tr>
        <w:trPr>
          <w:trHeight w:val="223"/>
        </w:trPr>
        <w:tc>
          <w:tcPr>
            <w:tcW w:w="9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consideration (per Anixter share) of Merger Consideration value</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95.38</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23"/>
        </w:trPr>
        <w:tc>
          <w:tcPr>
            <w:tcW w:w="9900" w:type="dxa"/>
            <w:vAlign w:val="bottom"/>
          </w:tcPr>
          <w:p>
            <w:pPr>
              <w:spacing w:after="0"/>
              <w:rPr>
                <w:sz w:val="20"/>
                <w:szCs w:val="20"/>
                <w:color w:val="auto"/>
              </w:rPr>
            </w:pPr>
            <w:r>
              <w:rPr>
                <w:rFonts w:ascii="Arial" w:cs="Arial" w:eastAsia="Arial" w:hAnsi="Arial"/>
                <w:sz w:val="18"/>
                <w:szCs w:val="18"/>
                <w:b w:val="1"/>
                <w:bCs w:val="1"/>
                <w:i w:val="1"/>
                <w:iCs w:val="1"/>
                <w:color w:val="auto"/>
              </w:rPr>
              <w:t>Estimated cash portion attributable to outstanding restricted stock units</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78,043</w:t>
            </w:r>
          </w:p>
        </w:tc>
        <w:tc>
          <w:tcPr>
            <w:tcW w:w="80" w:type="dxa"/>
            <w:vAlign w:val="bottom"/>
          </w:tcPr>
          <w:p>
            <w:pPr>
              <w:spacing w:after="0"/>
              <w:rPr>
                <w:sz w:val="19"/>
                <w:szCs w:val="19"/>
                <w:color w:val="auto"/>
              </w:rPr>
            </w:pPr>
          </w:p>
        </w:tc>
      </w:tr>
      <w:tr>
        <w:trPr>
          <w:trHeight w:val="216"/>
        </w:trPr>
        <w:tc>
          <w:tcPr>
            <w:tcW w:w="99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b w:val="1"/>
                <w:bCs w:val="1"/>
                <w:color w:val="auto"/>
              </w:rPr>
              <w:t>Fair value of estimated cash consideration for Anixter equity</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2,560,678</w:t>
            </w:r>
          </w:p>
        </w:tc>
        <w:tc>
          <w:tcPr>
            <w:tcW w:w="80" w:type="dxa"/>
            <w:vAlign w:val="bottom"/>
          </w:tcPr>
          <w:p>
            <w:pPr>
              <w:spacing w:after="0"/>
              <w:rPr>
                <w:sz w:val="18"/>
                <w:szCs w:val="18"/>
                <w:color w:val="auto"/>
              </w:rPr>
            </w:pPr>
          </w:p>
        </w:tc>
      </w:tr>
      <w:tr>
        <w:trPr>
          <w:trHeight w:val="20"/>
        </w:trPr>
        <w:tc>
          <w:tcPr>
            <w:tcW w:w="9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10"/>
        </w:trPr>
        <w:tc>
          <w:tcPr>
            <w:tcW w:w="9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Estimated shares of Anixter common stock outstanding (i)</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34,001</w:t>
            </w: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Exchange ratio (per share of Anixter common stock)</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0.2397</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Estimated total shares of WESCO common stock to be issued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8,150</w:t>
            </w:r>
          </w:p>
        </w:tc>
        <w:tc>
          <w:tcPr>
            <w:tcW w:w="80" w:type="dxa"/>
            <w:vAlign w:val="bottom"/>
          </w:tcPr>
          <w:p>
            <w:pPr>
              <w:spacing w:after="0"/>
              <w:rPr>
                <w:sz w:val="18"/>
                <w:szCs w:val="18"/>
                <w:color w:val="auto"/>
              </w:rPr>
            </w:pPr>
          </w:p>
        </w:tc>
      </w:tr>
      <w:tr>
        <w:trPr>
          <w:trHeight w:val="223"/>
        </w:trPr>
        <w:tc>
          <w:tcPr>
            <w:tcW w:w="9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Assumed share price of WESCO common stock (vi)</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27.81</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23"/>
        </w:trPr>
        <w:tc>
          <w:tcPr>
            <w:tcW w:w="9900" w:type="dxa"/>
            <w:vAlign w:val="bottom"/>
          </w:tcPr>
          <w:p>
            <w:pPr>
              <w:spacing w:after="0"/>
              <w:rPr>
                <w:sz w:val="20"/>
                <w:szCs w:val="20"/>
                <w:color w:val="auto"/>
              </w:rPr>
            </w:pPr>
            <w:r>
              <w:rPr>
                <w:rFonts w:ascii="Arial" w:cs="Arial" w:eastAsia="Arial" w:hAnsi="Arial"/>
                <w:sz w:val="18"/>
                <w:szCs w:val="18"/>
                <w:b w:val="1"/>
                <w:bCs w:val="1"/>
                <w:i w:val="1"/>
                <w:iCs w:val="1"/>
                <w:color w:val="auto"/>
              </w:rPr>
              <w:t>Estimated common stock portion</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226,656</w:t>
            </w:r>
          </w:p>
        </w:tc>
        <w:tc>
          <w:tcPr>
            <w:tcW w:w="80" w:type="dxa"/>
            <w:vAlign w:val="bottom"/>
          </w:tcPr>
          <w:p>
            <w:pPr>
              <w:spacing w:after="0"/>
              <w:rPr>
                <w:sz w:val="19"/>
                <w:szCs w:val="19"/>
                <w:color w:val="auto"/>
              </w:rPr>
            </w:pPr>
          </w:p>
        </w:tc>
      </w:tr>
      <w:tr>
        <w:trPr>
          <w:trHeight w:val="216"/>
        </w:trPr>
        <w:tc>
          <w:tcPr>
            <w:tcW w:w="9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Estimated total shares of WESCO Series A preferred stock to be issued (vii)</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r>
      <w:tr>
        <w:trPr>
          <w:trHeight w:val="223"/>
        </w:trPr>
        <w:tc>
          <w:tcPr>
            <w:tcW w:w="9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Assumed share price of WESCO Series A preferred stock</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gridSpan w:val="2"/>
            <w:shd w:val="clear" w:color="auto" w:fill="CCEEFF"/>
          </w:tcPr>
          <w:p>
            <w:pPr>
              <w:spacing w:after="0"/>
              <w:rPr>
                <w:sz w:val="19"/>
                <w:szCs w:val="19"/>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b w:val="1"/>
                <w:bCs w:val="1"/>
                <w:i w:val="1"/>
                <w:iCs w:val="1"/>
                <w:color w:val="auto"/>
              </w:rPr>
              <w:t>Estimated WESCO Series A preferred stock portion</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540,275</w:t>
            </w:r>
          </w:p>
        </w:tc>
        <w:tc>
          <w:tcPr>
            <w:tcW w:w="80" w:type="dxa"/>
            <w:vAlign w:val="bottom"/>
          </w:tcPr>
          <w:p>
            <w:pPr>
              <w:spacing w:after="0"/>
              <w:rPr>
                <w:sz w:val="18"/>
                <w:szCs w:val="18"/>
                <w:color w:val="auto"/>
              </w:rPr>
            </w:pPr>
          </w:p>
        </w:tc>
      </w:tr>
      <w:tr>
        <w:trPr>
          <w:trHeight w:val="20"/>
        </w:trPr>
        <w:tc>
          <w:tcPr>
            <w:tcW w:w="9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9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118" w:right="339" w:bottom="0" w:gutter="0" w:footer="0" w:header="0"/>
        </w:sectPr>
      </w:pPr>
    </w:p>
    <w:p>
      <w:pPr>
        <w:spacing w:after="0"/>
        <w:rPr>
          <w:sz w:val="20"/>
          <w:szCs w:val="20"/>
          <w:color w:val="auto"/>
        </w:rPr>
      </w:pPr>
      <w:r>
        <w:rPr>
          <w:rFonts w:ascii="Arial" w:cs="Arial" w:eastAsia="Arial" w:hAnsi="Arial"/>
          <w:sz w:val="18"/>
          <w:szCs w:val="18"/>
          <w:b w:val="1"/>
          <w:bCs w:val="1"/>
          <w:color w:val="auto"/>
        </w:rPr>
        <w:t>Fair value of estimated equity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Fair value of estimated Anixter RSUs vested prior to closing </w:t>
      </w:r>
      <w:r>
        <w:rPr>
          <w:rFonts w:ascii="Arial" w:cs="Arial" w:eastAsia="Arial" w:hAnsi="Arial"/>
          <w:sz w:val="18"/>
          <w:szCs w:val="18"/>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estimated consideration pre-settlement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color w:val="auto"/>
        </w:rPr>
        <w:t>Add: Extinguishment of the following Anixter obligations (“Anixter obligations”), including accrued and unpaid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CD&amp;R termination fee (ix)</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Extinguishment of Anixter 2021 Notes and partial retirement of the Anixter 2023 Notes and Anixter 2025 Notes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Extinguishment of Anixter existing receivables facility (xi)</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Extinguishment of finance lease obligations and other debt (xii)</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estimated purchase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17830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515" w:hanging="515"/>
        <w:spacing w:after="0"/>
        <w:tabs>
          <w:tab w:leader="none" w:pos="515" w:val="left"/>
        </w:tabs>
        <w:numPr>
          <w:ilvl w:val="0"/>
          <w:numId w:val="5"/>
        </w:numPr>
        <w:rPr>
          <w:rFonts w:ascii="Arial" w:cs="Arial" w:eastAsia="Arial" w:hAnsi="Arial"/>
          <w:sz w:val="16"/>
          <w:szCs w:val="16"/>
          <w:color w:val="auto"/>
        </w:rPr>
      </w:pPr>
      <w:r>
        <w:rPr>
          <w:rFonts w:ascii="Arial" w:cs="Arial" w:eastAsia="Arial" w:hAnsi="Arial"/>
          <w:sz w:val="16"/>
          <w:szCs w:val="16"/>
          <w:color w:val="auto"/>
        </w:rPr>
        <w:t>766,931</w:t>
      </w:r>
    </w:p>
    <w:p>
      <w:pPr>
        <w:spacing w:after="0" w:line="234" w:lineRule="exact"/>
        <w:rPr>
          <w:sz w:val="20"/>
          <w:szCs w:val="20"/>
          <w:color w:val="auto"/>
        </w:rPr>
      </w:pPr>
    </w:p>
    <w:p>
      <w:pPr>
        <w:ind w:left="835" w:hanging="835"/>
        <w:spacing w:after="0"/>
        <w:tabs>
          <w:tab w:leader="none" w:pos="835" w:val="left"/>
        </w:tabs>
        <w:numPr>
          <w:ilvl w:val="0"/>
          <w:numId w:val="6"/>
        </w:numPr>
        <w:rPr>
          <w:rFonts w:ascii="Arial" w:cs="Arial" w:eastAsia="Arial" w:hAnsi="Arial"/>
          <w:sz w:val="16"/>
          <w:szCs w:val="16"/>
          <w:color w:val="auto"/>
        </w:rPr>
      </w:pPr>
      <w:r>
        <w:rPr>
          <w:rFonts w:ascii="Arial" w:cs="Arial" w:eastAsia="Arial" w:hAnsi="Arial"/>
          <w:sz w:val="16"/>
          <w:szCs w:val="16"/>
          <w:color w:val="auto"/>
        </w:rPr>
        <w:t>517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0294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82" w:lineRule="exact"/>
        <w:rPr>
          <w:sz w:val="20"/>
          <w:szCs w:val="20"/>
          <w:color w:val="auto"/>
        </w:rPr>
      </w:pPr>
    </w:p>
    <w:p>
      <w:pPr>
        <w:ind w:left="395" w:hanging="395"/>
        <w:spacing w:after="0"/>
        <w:tabs>
          <w:tab w:leader="none" w:pos="395" w:val="left"/>
        </w:tabs>
        <w:numPr>
          <w:ilvl w:val="0"/>
          <w:numId w:val="7"/>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3,328,126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70294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515" w:hanging="515"/>
        <w:spacing w:after="0"/>
        <w:tabs>
          <w:tab w:leader="none" w:pos="515" w:val="left"/>
        </w:tabs>
        <w:numPr>
          <w:ilvl w:val="0"/>
          <w:numId w:val="8"/>
        </w:numPr>
        <w:rPr>
          <w:rFonts w:ascii="Arial" w:cs="Arial" w:eastAsia="Arial" w:hAnsi="Arial"/>
          <w:sz w:val="16"/>
          <w:szCs w:val="16"/>
          <w:color w:val="auto"/>
        </w:rPr>
      </w:pPr>
      <w:r>
        <w:rPr>
          <w:rFonts w:ascii="Arial" w:cs="Arial" w:eastAsia="Arial" w:hAnsi="Arial"/>
          <w:sz w:val="16"/>
          <w:szCs w:val="16"/>
          <w:color w:val="auto"/>
        </w:rPr>
        <w:t>100,000</w:t>
      </w:r>
    </w:p>
    <w:p>
      <w:pPr>
        <w:spacing w:after="0" w:line="46" w:lineRule="exact"/>
        <w:rPr>
          <w:rFonts w:ascii="Arial" w:cs="Arial" w:eastAsia="Arial" w:hAnsi="Arial"/>
          <w:sz w:val="16"/>
          <w:szCs w:val="16"/>
          <w:color w:val="auto"/>
        </w:rPr>
      </w:pPr>
    </w:p>
    <w:p>
      <w:pPr>
        <w:ind w:left="515"/>
        <w:spacing w:after="0"/>
        <w:rPr>
          <w:rFonts w:ascii="Arial" w:cs="Arial" w:eastAsia="Arial" w:hAnsi="Arial"/>
          <w:sz w:val="16"/>
          <w:szCs w:val="16"/>
          <w:color w:val="auto"/>
        </w:rPr>
      </w:pPr>
      <w:r>
        <w:rPr>
          <w:rFonts w:ascii="Arial" w:cs="Arial" w:eastAsia="Arial" w:hAnsi="Arial"/>
          <w:sz w:val="16"/>
          <w:szCs w:val="16"/>
          <w:color w:val="auto"/>
        </w:rPr>
        <w:t>972,407</w:t>
      </w:r>
    </w:p>
    <w:p>
      <w:pPr>
        <w:spacing w:after="0" w:line="32" w:lineRule="exact"/>
        <w:rPr>
          <w:rFonts w:ascii="Arial" w:cs="Arial" w:eastAsia="Arial" w:hAnsi="Arial"/>
          <w:sz w:val="16"/>
          <w:szCs w:val="16"/>
          <w:color w:val="auto"/>
        </w:rPr>
      </w:pPr>
    </w:p>
    <w:p>
      <w:pPr>
        <w:ind w:left="515"/>
        <w:spacing w:after="0"/>
        <w:rPr>
          <w:rFonts w:ascii="Arial" w:cs="Arial" w:eastAsia="Arial" w:hAnsi="Arial"/>
          <w:sz w:val="16"/>
          <w:szCs w:val="16"/>
          <w:color w:val="auto"/>
        </w:rPr>
      </w:pPr>
      <w:r>
        <w:rPr>
          <w:rFonts w:ascii="Arial" w:cs="Arial" w:eastAsia="Arial" w:hAnsi="Arial"/>
          <w:sz w:val="16"/>
          <w:szCs w:val="16"/>
          <w:color w:val="auto"/>
        </w:rPr>
        <w:t>310,000</w:t>
      </w:r>
    </w:p>
    <w:p>
      <w:pPr>
        <w:spacing w:after="0" w:line="32" w:lineRule="exact"/>
        <w:rPr>
          <w:rFonts w:ascii="Arial" w:cs="Arial" w:eastAsia="Arial" w:hAnsi="Arial"/>
          <w:sz w:val="16"/>
          <w:szCs w:val="16"/>
          <w:color w:val="auto"/>
        </w:rPr>
      </w:pPr>
    </w:p>
    <w:p>
      <w:pPr>
        <w:ind w:left="615"/>
        <w:spacing w:after="0"/>
        <w:rPr>
          <w:rFonts w:ascii="Arial" w:cs="Arial" w:eastAsia="Arial" w:hAnsi="Arial"/>
          <w:sz w:val="16"/>
          <w:szCs w:val="16"/>
          <w:color w:val="auto"/>
        </w:rPr>
      </w:pPr>
      <w:r>
        <w:rPr>
          <w:rFonts w:ascii="Arial" w:cs="Arial" w:eastAsia="Arial" w:hAnsi="Arial"/>
          <w:sz w:val="16"/>
          <w:szCs w:val="16"/>
          <w:color w:val="auto"/>
        </w:rPr>
        <w:t>19,499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0294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5" w:lineRule="exact"/>
        <w:rPr>
          <w:sz w:val="20"/>
          <w:szCs w:val="20"/>
          <w:color w:val="auto"/>
        </w:rPr>
      </w:pPr>
    </w:p>
    <w:p>
      <w:pPr>
        <w:ind w:left="395" w:hanging="395"/>
        <w:spacing w:after="0"/>
        <w:tabs>
          <w:tab w:leader="none" w:pos="395" w:val="left"/>
        </w:tabs>
        <w:numPr>
          <w:ilvl w:val="0"/>
          <w:numId w:val="9"/>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4,730,032</w:t>
      </w:r>
    </w:p>
    <w:p>
      <w:pPr>
        <w:spacing w:after="0" w:line="218" w:lineRule="exact"/>
        <w:rPr>
          <w:sz w:val="20"/>
          <w:szCs w:val="20"/>
          <w:color w:val="auto"/>
        </w:rPr>
      </w:pPr>
    </w:p>
    <w:p>
      <w:pPr>
        <w:sectPr>
          <w:pgSz w:w="11900" w:h="16838" w:orient="portrait"/>
          <w:cols w:equalWidth="0" w:num="2">
            <w:col w:w="9305" w:space="720"/>
            <w:col w:w="1215"/>
          </w:cols>
          <w:pgMar w:left="320" w:top="118" w:right="339" w:bottom="0" w:gutter="0" w:footer="0" w:header="0"/>
          <w:type w:val="continuous"/>
        </w:sectPr>
      </w:pPr>
    </w:p>
    <w:p>
      <w:pPr>
        <w:spacing w:after="0" w:line="340"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outstanding shares of Anixter common stock as of May 21, 2020.</w:t>
      </w:r>
    </w:p>
    <w:p>
      <w:pPr>
        <w:spacing w:after="0" w:line="252" w:lineRule="exact"/>
        <w:rPr>
          <w:rFonts w:ascii="Arial" w:cs="Arial" w:eastAsia="Arial" w:hAnsi="Arial"/>
          <w:sz w:val="18"/>
          <w:szCs w:val="18"/>
          <w:color w:val="auto"/>
        </w:rPr>
      </w:pPr>
    </w:p>
    <w:p>
      <w:pPr>
        <w:jc w:val="both"/>
        <w:ind w:left="660" w:hanging="652"/>
        <w:spacing w:after="0" w:line="275"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Represents the cash consideration related to Anixter common stock calculated, with respect to each share of Anixter common stock, as the sum of the base cash amount of $70 plus the cash collar adjustment amount of $2.82. The cash collar adjustment amount is triggered if the average of the volume-weighted trading prices of WESCO common stock on the NYSE during the 10 consecutive trading days ending three trading days prior to the effective time falls between $47.10 and $58.88. For purposes of calculating the pro forma information WESCO has taken the closing price of its stock as of May 21, 2020 which was below $47.10. As such the cash collar adjustment amount is $2.82.</w:t>
      </w:r>
    </w:p>
    <w:p>
      <w:pPr>
        <w:spacing w:after="0" w:line="203" w:lineRule="exact"/>
        <w:rPr>
          <w:rFonts w:ascii="Arial" w:cs="Arial" w:eastAsia="Arial" w:hAnsi="Arial"/>
          <w:sz w:val="17"/>
          <w:szCs w:val="17"/>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outstanding Anixter options as of May 21, 2020.</w:t>
      </w:r>
    </w:p>
    <w:p>
      <w:pPr>
        <w:spacing w:after="0" w:line="252"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the cash consideration related to Anixter options calculated with respect to each Anixter option outstanding, a Merger Consideration value of $95.38, less the weighted average exercise price of $62.27.</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Anixter’s outstanding restricted stock units as of May 21, 2020 that are subject to a change of control provision.</w:t>
      </w:r>
    </w:p>
    <w:p>
      <w:pPr>
        <w:spacing w:after="0" w:line="252"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the closing price of shares of WESCO common stock on May 21, 2020, which was used as a proxy for the average WESCO common stock price.</w:t>
      </w:r>
    </w:p>
    <w:p>
      <w:pPr>
        <w:spacing w:after="0" w:line="19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0.6356 depositary shares for each common share outstanding, with each whole depositary share representing a 1/1,000th interest in a share of WESCO Series A preferred stock with a liquidation preference of $25,000 per preference share.</w:t>
      </w:r>
    </w:p>
    <w:p>
      <w:pPr>
        <w:spacing w:after="0" w:line="19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the estimated portion of the replacement WESCO phantom stock units issued to Anixter’s employees that is attributable to pre-Merger service.</w:t>
      </w:r>
    </w:p>
    <w:p>
      <w:pPr>
        <w:spacing w:after="0" w:line="19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the total cash settlement paid by WESCO to terminate Anixter’s merger agreement with affiliates of Clayton, Dubilier &amp; Rice (“CD&amp;R”).</w:t>
      </w:r>
    </w:p>
    <w:p>
      <w:pPr>
        <w:spacing w:after="0" w:line="197"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the total cash settlement to extinguish the Anixter 2021 Notes and the cash paid to partially retire the Anixter 2023 Notes and the Anixter 2025 Notes pursuant to the tender offers in respect of these notes. The amount represents the principal amounts to be settled/retired, plus accrued interest, the early tender premium and fees paid.</w:t>
      </w:r>
    </w:p>
    <w:p>
      <w:pPr>
        <w:sectPr>
          <w:pgSz w:w="11900" w:h="16838" w:orient="portrait"/>
          <w:cols w:equalWidth="0" w:num="1">
            <w:col w:w="11240"/>
          </w:cols>
          <w:pgMar w:left="320" w:top="118" w:right="339" w:bottom="0" w:gutter="0" w:footer="0" w:header="0"/>
          <w:type w:val="continuous"/>
        </w:sectPr>
      </w:pPr>
    </w:p>
    <w:bookmarkStart w:id="16" w:name="page17"/>
    <w:bookmarkEnd w:id="16"/>
    <w:p>
      <w:pPr>
        <w:ind w:left="652" w:hanging="652"/>
        <w:spacing w:after="0" w:line="277" w:lineRule="auto"/>
        <w:tabs>
          <w:tab w:leader="none" w:pos="6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the total cash settlement to extinguish Anixter’s existing receivables facility. The amount represents the total outstanding principal amount and accrued and unpaid interest.</w:t>
      </w:r>
    </w:p>
    <w:p>
      <w:pPr>
        <w:spacing w:after="0" w:line="197" w:lineRule="exact"/>
        <w:rPr>
          <w:rFonts w:ascii="Arial" w:cs="Arial" w:eastAsia="Arial" w:hAnsi="Arial"/>
          <w:sz w:val="18"/>
          <w:szCs w:val="18"/>
          <w:color w:val="auto"/>
        </w:rPr>
      </w:pPr>
    </w:p>
    <w:p>
      <w:pPr>
        <w:ind w:left="652" w:hanging="652"/>
        <w:spacing w:after="0"/>
        <w:tabs>
          <w:tab w:leader="none" w:pos="6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the total cash settlement to extinguish Anixter finance lease obligations and other debt.</w:t>
      </w:r>
    </w:p>
    <w:p>
      <w:pPr>
        <w:spacing w:after="0" w:line="200" w:lineRule="exact"/>
        <w:rPr>
          <w:sz w:val="20"/>
          <w:szCs w:val="20"/>
          <w:color w:val="auto"/>
        </w:rPr>
      </w:pPr>
    </w:p>
    <w:p>
      <w:pPr>
        <w:spacing w:after="0" w:line="223"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125" w:right="359" w:bottom="1440" w:gutter="0" w:footer="0" w:header="0"/>
        </w:sectPr>
      </w:pPr>
    </w:p>
    <w:bookmarkStart w:id="17" w:name="page18"/>
    <w:bookmarkEnd w:id="17"/>
    <w:p>
      <w:pPr>
        <w:spacing w:after="0"/>
        <w:rPr>
          <w:sz w:val="20"/>
          <w:szCs w:val="20"/>
          <w:color w:val="auto"/>
        </w:rPr>
      </w:pPr>
      <w:r>
        <w:rPr>
          <w:rFonts w:ascii="Arial" w:cs="Arial" w:eastAsia="Arial" w:hAnsi="Arial"/>
          <w:sz w:val="22"/>
          <w:szCs w:val="22"/>
          <w:b w:val="1"/>
          <w:bCs w:val="1"/>
          <w:i w:val="1"/>
          <w:iCs w:val="1"/>
          <w:color w:val="auto"/>
        </w:rPr>
        <w:t>Purchase Price Sensitivity</w:t>
      </w:r>
    </w:p>
    <w:p>
      <w:pPr>
        <w:spacing w:after="0" w:line="23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Should the assumed share price of the WESCO common stock increase or decrease by 30%, the total estimated purchase price would increase to $4.8 billion or remain at $4.7 billion, respectively. For the purposes of this calculation, the common stock portion of the estimated purchase price is based on the number of shares of Anixter common stock outstanding and the estimated shares underlying Anixter stock-based awards, in each case reflected in the table above, but is subject to change based on the outstanding shares of Anixter common stock and Anixter stock-based awards at the time of the closing of the Merger. Should the share price of the WESCO Series A preferred stock increase or decrease by 30%, the total estimated purchase price would increase or decrease by $162.1 million. Changes in the purchase price would result in a re-evaluation of the preliminary purchase price allocation.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Preliminary Purchase Price Allocation</w:t>
      </w:r>
    </w:p>
    <w:p>
      <w:pPr>
        <w:spacing w:after="0" w:line="23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The preliminary allocation of the estimated purchase price to the assets acquired and liabilities assumed includes adjustments for the fair value of Anixter’s assets and liabilities. The final allocation will be determined as of the closing of the Merger once WESCO has determined the final purchase price and completed the detailed valuation analysis. The final allocation could differ materially from the preliminary allocation used in the unaudited condensed combined financial information and related pro forma adjustments. The following table summarizes the allocation of the preliminary estimated purchase price: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b w:val="1"/>
                <w:bCs w:val="1"/>
                <w:color w:val="auto"/>
              </w:rPr>
              <w:t>As of</w:t>
            </w:r>
          </w:p>
        </w:tc>
      </w:tr>
      <w:tr>
        <w:trPr>
          <w:trHeight w:val="241"/>
        </w:trPr>
        <w:tc>
          <w:tcPr>
            <w:tcW w:w="984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20"/>
                <w:szCs w:val="20"/>
                <w:color w:val="auto"/>
              </w:rPr>
            </w:pP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w w:val="99"/>
              </w:rPr>
              <w:t>March 31, 2020</w:t>
            </w:r>
          </w:p>
        </w:tc>
      </w:tr>
      <w:tr>
        <w:trPr>
          <w:trHeight w:val="216"/>
        </w:trPr>
        <w:tc>
          <w:tcPr>
            <w:tcW w:w="98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Fair value of assets acquired:</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282,032</w:t>
            </w:r>
          </w:p>
        </w:tc>
        <w:tc>
          <w:tcPr>
            <w:tcW w:w="100" w:type="dxa"/>
            <w:vAlign w:val="bottom"/>
            <w:shd w:val="clear" w:color="auto" w:fill="CCEEFF"/>
          </w:tcPr>
          <w:p>
            <w:pPr>
              <w:spacing w:after="0"/>
              <w:rPr>
                <w:sz w:val="18"/>
                <w:szCs w:val="18"/>
                <w:color w:val="auto"/>
              </w:rPr>
            </w:pPr>
          </w:p>
        </w:tc>
      </w:tr>
      <w:tr>
        <w:trPr>
          <w:trHeight w:val="216"/>
        </w:trPr>
        <w:tc>
          <w:tcPr>
            <w:tcW w:w="9840" w:type="dxa"/>
            <w:vAlign w:val="bottom"/>
          </w:tcPr>
          <w:p>
            <w:pPr>
              <w:ind w:left="180"/>
              <w:spacing w:after="0"/>
              <w:rPr>
                <w:sz w:val="20"/>
                <w:szCs w:val="20"/>
                <w:color w:val="auto"/>
              </w:rPr>
            </w:pPr>
            <w:r>
              <w:rPr>
                <w:rFonts w:ascii="Arial" w:cs="Arial" w:eastAsia="Arial" w:hAnsi="Arial"/>
                <w:sz w:val="18"/>
                <w:szCs w:val="18"/>
                <w:color w:val="auto"/>
              </w:rPr>
              <w:t>Trade accounts receivable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1,532,998</w:t>
            </w:r>
          </w:p>
        </w:tc>
        <w:tc>
          <w:tcPr>
            <w:tcW w:w="100" w:type="dxa"/>
            <w:vAlign w:val="bottom"/>
          </w:tcPr>
          <w:p>
            <w:pPr>
              <w:spacing w:after="0"/>
              <w:rPr>
                <w:sz w:val="18"/>
                <w:szCs w:val="18"/>
                <w:color w:val="auto"/>
              </w:rPr>
            </w:pPr>
          </w:p>
        </w:tc>
      </w:tr>
      <w:tr>
        <w:trPr>
          <w:trHeight w:val="216"/>
        </w:trPr>
        <w:tc>
          <w:tcPr>
            <w:tcW w:w="9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1,498,400</w:t>
            </w:r>
          </w:p>
        </w:tc>
        <w:tc>
          <w:tcPr>
            <w:tcW w:w="100" w:type="dxa"/>
            <w:vAlign w:val="bottom"/>
            <w:shd w:val="clear" w:color="auto" w:fill="CCEEFF"/>
          </w:tcPr>
          <w:p>
            <w:pPr>
              <w:spacing w:after="0"/>
              <w:rPr>
                <w:sz w:val="18"/>
                <w:szCs w:val="18"/>
                <w:color w:val="auto"/>
              </w:rPr>
            </w:pPr>
          </w:p>
        </w:tc>
      </w:tr>
      <w:tr>
        <w:trPr>
          <w:trHeight w:val="216"/>
        </w:trPr>
        <w:tc>
          <w:tcPr>
            <w:tcW w:w="984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52,266</w:t>
            </w:r>
          </w:p>
        </w:tc>
      </w:tr>
      <w:tr>
        <w:trPr>
          <w:trHeight w:val="216"/>
        </w:trPr>
        <w:tc>
          <w:tcPr>
            <w:tcW w:w="9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174,755</w:t>
            </w:r>
          </w:p>
        </w:tc>
        <w:tc>
          <w:tcPr>
            <w:tcW w:w="100" w:type="dxa"/>
            <w:vAlign w:val="bottom"/>
            <w:shd w:val="clear" w:color="auto" w:fill="CCEEFF"/>
          </w:tcPr>
          <w:p>
            <w:pPr>
              <w:spacing w:after="0"/>
              <w:rPr>
                <w:sz w:val="18"/>
                <w:szCs w:val="18"/>
                <w:color w:val="auto"/>
              </w:rPr>
            </w:pPr>
          </w:p>
        </w:tc>
      </w:tr>
      <w:tr>
        <w:trPr>
          <w:trHeight w:val="216"/>
        </w:trPr>
        <w:tc>
          <w:tcPr>
            <w:tcW w:w="9840" w:type="dxa"/>
            <w:vAlign w:val="bottom"/>
          </w:tcPr>
          <w:p>
            <w:pPr>
              <w:ind w:left="180"/>
              <w:spacing w:after="0"/>
              <w:rPr>
                <w:sz w:val="20"/>
                <w:szCs w:val="20"/>
                <w:color w:val="auto"/>
              </w:rPr>
            </w:pPr>
            <w:r>
              <w:rPr>
                <w:rFonts w:ascii="Arial" w:cs="Arial" w:eastAsia="Arial" w:hAnsi="Arial"/>
                <w:sz w:val="18"/>
                <w:szCs w:val="18"/>
                <w:color w:val="auto"/>
              </w:rPr>
              <w:t>Operating lease assets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263,539</w:t>
            </w:r>
          </w:p>
        </w:tc>
        <w:tc>
          <w:tcPr>
            <w:tcW w:w="100" w:type="dxa"/>
            <w:vAlign w:val="bottom"/>
          </w:tcPr>
          <w:p>
            <w:pPr>
              <w:spacing w:after="0"/>
              <w:rPr>
                <w:sz w:val="18"/>
                <w:szCs w:val="18"/>
                <w:color w:val="auto"/>
              </w:rPr>
            </w:pPr>
          </w:p>
        </w:tc>
      </w:tr>
      <w:tr>
        <w:trPr>
          <w:trHeight w:val="216"/>
        </w:trPr>
        <w:tc>
          <w:tcPr>
            <w:tcW w:w="9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1,450,000</w:t>
            </w:r>
          </w:p>
        </w:tc>
        <w:tc>
          <w:tcPr>
            <w:tcW w:w="100" w:type="dxa"/>
            <w:vAlign w:val="bottom"/>
            <w:shd w:val="clear" w:color="auto" w:fill="CCEEFF"/>
          </w:tcPr>
          <w:p>
            <w:pPr>
              <w:spacing w:after="0"/>
              <w:rPr>
                <w:sz w:val="18"/>
                <w:szCs w:val="18"/>
                <w:color w:val="auto"/>
              </w:rPr>
            </w:pPr>
          </w:p>
        </w:tc>
      </w:tr>
      <w:tr>
        <w:trPr>
          <w:trHeight w:val="223"/>
        </w:trPr>
        <w:tc>
          <w:tcPr>
            <w:tcW w:w="9840" w:type="dxa"/>
            <w:vAlign w:val="bottom"/>
          </w:tcPr>
          <w:p>
            <w:pPr>
              <w:ind w:left="180"/>
              <w:spacing w:after="0"/>
              <w:rPr>
                <w:sz w:val="20"/>
                <w:szCs w:val="20"/>
                <w:color w:val="auto"/>
              </w:rPr>
            </w:pPr>
            <w:r>
              <w:rPr>
                <w:rFonts w:ascii="Arial" w:cs="Arial" w:eastAsia="Arial" w:hAnsi="Arial"/>
                <w:sz w:val="18"/>
                <w:szCs w:val="18"/>
                <w:color w:val="auto"/>
              </w:rPr>
              <w:t>Other non-current assets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117,564</w:t>
            </w:r>
          </w:p>
        </w:tc>
      </w:tr>
      <w:tr>
        <w:trPr>
          <w:trHeight w:val="256"/>
        </w:trPr>
        <w:tc>
          <w:tcPr>
            <w:tcW w:w="9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Amount attributable to assets acquired</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5,371,554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b w:val="1"/>
                <w:bCs w:val="1"/>
                <w:color w:val="auto"/>
              </w:rPr>
              <w:t>As of</w:t>
            </w:r>
          </w:p>
        </w:tc>
      </w:tr>
      <w:tr>
        <w:trPr>
          <w:trHeight w:val="241"/>
        </w:trPr>
        <w:tc>
          <w:tcPr>
            <w:tcW w:w="984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20"/>
                <w:szCs w:val="20"/>
                <w:color w:val="auto"/>
              </w:rPr>
            </w:pP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w w:val="99"/>
              </w:rPr>
              <w:t>March 31, 2020</w:t>
            </w:r>
          </w:p>
        </w:tc>
      </w:tr>
      <w:tr>
        <w:trPr>
          <w:trHeight w:val="216"/>
        </w:trPr>
        <w:tc>
          <w:tcPr>
            <w:tcW w:w="98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Fair value of liabilities assumed:</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liabilities</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1,412,129</w:t>
            </w:r>
          </w:p>
        </w:tc>
        <w:tc>
          <w:tcPr>
            <w:tcW w:w="100" w:type="dxa"/>
            <w:vAlign w:val="bottom"/>
            <w:shd w:val="clear" w:color="auto" w:fill="CCEEFF"/>
          </w:tcPr>
          <w:p>
            <w:pPr>
              <w:spacing w:after="0"/>
              <w:rPr>
                <w:sz w:val="18"/>
                <w:szCs w:val="18"/>
                <w:color w:val="auto"/>
              </w:rPr>
            </w:pPr>
          </w:p>
        </w:tc>
      </w:tr>
      <w:tr>
        <w:trPr>
          <w:trHeight w:val="216"/>
        </w:trPr>
        <w:tc>
          <w:tcPr>
            <w:tcW w:w="9840" w:type="dxa"/>
            <w:vAlign w:val="bottom"/>
          </w:tcPr>
          <w:p>
            <w:pPr>
              <w:ind w:left="180"/>
              <w:spacing w:after="0"/>
              <w:rPr>
                <w:sz w:val="20"/>
                <w:szCs w:val="20"/>
                <w:color w:val="auto"/>
              </w:rPr>
            </w:pPr>
            <w:r>
              <w:rPr>
                <w:rFonts w:ascii="Arial" w:cs="Arial" w:eastAsia="Arial" w:hAnsi="Arial"/>
                <w:sz w:val="18"/>
                <w:szCs w:val="18"/>
                <w:color w:val="auto"/>
              </w:rPr>
              <w:t>Long term debt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64,079</w:t>
            </w:r>
          </w:p>
        </w:tc>
      </w:tr>
      <w:tr>
        <w:trPr>
          <w:trHeight w:val="216"/>
        </w:trPr>
        <w:tc>
          <w:tcPr>
            <w:tcW w:w="9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Non-current lease liabilities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209,226</w:t>
            </w:r>
          </w:p>
        </w:tc>
        <w:tc>
          <w:tcPr>
            <w:tcW w:w="100" w:type="dxa"/>
            <w:vAlign w:val="bottom"/>
            <w:shd w:val="clear" w:color="auto" w:fill="CCEEFF"/>
          </w:tcPr>
          <w:p>
            <w:pPr>
              <w:spacing w:after="0"/>
              <w:rPr>
                <w:sz w:val="18"/>
                <w:szCs w:val="18"/>
                <w:color w:val="auto"/>
              </w:rPr>
            </w:pPr>
          </w:p>
        </w:tc>
      </w:tr>
      <w:tr>
        <w:trPr>
          <w:trHeight w:val="216"/>
        </w:trPr>
        <w:tc>
          <w:tcPr>
            <w:tcW w:w="984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271,564</w:t>
            </w:r>
          </w:p>
        </w:tc>
        <w:tc>
          <w:tcPr>
            <w:tcW w:w="100" w:type="dxa"/>
            <w:vAlign w:val="bottom"/>
          </w:tcPr>
          <w:p>
            <w:pPr>
              <w:spacing w:after="0"/>
              <w:rPr>
                <w:sz w:val="18"/>
                <w:szCs w:val="18"/>
                <w:color w:val="auto"/>
              </w:rPr>
            </w:pPr>
          </w:p>
        </w:tc>
      </w:tr>
      <w:tr>
        <w:trPr>
          <w:trHeight w:val="223"/>
        </w:trPr>
        <w:tc>
          <w:tcPr>
            <w:tcW w:w="9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Non-current liabilities</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165,145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9840" w:type="dxa"/>
            <w:vAlign w:val="bottom"/>
          </w:tcPr>
          <w:p>
            <w:pPr>
              <w:ind w:left="340"/>
              <w:spacing w:after="0"/>
              <w:rPr>
                <w:sz w:val="20"/>
                <w:szCs w:val="20"/>
                <w:color w:val="auto"/>
              </w:rPr>
            </w:pPr>
            <w:r>
              <w:rPr>
                <w:rFonts w:ascii="Arial" w:cs="Arial" w:eastAsia="Arial" w:hAnsi="Arial"/>
                <w:sz w:val="18"/>
                <w:szCs w:val="18"/>
                <w:b w:val="1"/>
                <w:bCs w:val="1"/>
                <w:color w:val="auto"/>
              </w:rPr>
              <w:t>Amount attributable to liabilities assumed</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2,122,143</w:t>
            </w:r>
          </w:p>
        </w:tc>
        <w:tc>
          <w:tcPr>
            <w:tcW w:w="100" w:type="dxa"/>
            <w:vAlign w:val="bottom"/>
          </w:tcPr>
          <w:p>
            <w:pPr>
              <w:spacing w:after="0"/>
              <w:rPr>
                <w:sz w:val="18"/>
                <w:szCs w:val="18"/>
                <w:color w:val="auto"/>
              </w:rPr>
            </w:pPr>
          </w:p>
        </w:tc>
      </w:tr>
      <w:tr>
        <w:trPr>
          <w:trHeight w:val="20"/>
        </w:trPr>
        <w:tc>
          <w:tcPr>
            <w:tcW w:w="9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8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840" w:type="dxa"/>
            <w:vAlign w:val="bottom"/>
          </w:tcPr>
          <w:p>
            <w:pPr>
              <w:spacing w:after="0"/>
              <w:rPr>
                <w:sz w:val="20"/>
                <w:szCs w:val="20"/>
                <w:color w:val="auto"/>
              </w:rPr>
            </w:pPr>
            <w:r>
              <w:rPr>
                <w:rFonts w:ascii="Arial" w:cs="Arial" w:eastAsia="Arial" w:hAnsi="Arial"/>
                <w:sz w:val="18"/>
                <w:szCs w:val="18"/>
                <w:b w:val="1"/>
                <w:bCs w:val="1"/>
                <w:color w:val="auto"/>
              </w:rPr>
              <w:t>Fair value of net assets acquired</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3,249,411</w:t>
            </w:r>
          </w:p>
        </w:tc>
        <w:tc>
          <w:tcPr>
            <w:tcW w:w="100" w:type="dxa"/>
            <w:vAlign w:val="bottom"/>
          </w:tcPr>
          <w:p>
            <w:pPr>
              <w:spacing w:after="0"/>
              <w:rPr>
                <w:sz w:val="18"/>
                <w:szCs w:val="18"/>
                <w:color w:val="auto"/>
              </w:rPr>
            </w:pPr>
          </w:p>
        </w:tc>
      </w:tr>
      <w:tr>
        <w:trPr>
          <w:trHeight w:val="223"/>
        </w:trPr>
        <w:tc>
          <w:tcPr>
            <w:tcW w:w="9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 as of March 31, 2020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1,480,621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9840" w:type="dxa"/>
            <w:vAlign w:val="bottom"/>
          </w:tcPr>
          <w:p>
            <w:pPr>
              <w:spacing w:after="0"/>
              <w:rPr>
                <w:sz w:val="20"/>
                <w:szCs w:val="20"/>
                <w:color w:val="auto"/>
              </w:rPr>
            </w:pPr>
            <w:r>
              <w:rPr>
                <w:rFonts w:ascii="Arial" w:cs="Arial" w:eastAsia="Arial" w:hAnsi="Arial"/>
                <w:sz w:val="18"/>
                <w:szCs w:val="18"/>
                <w:b w:val="1"/>
                <w:bCs w:val="1"/>
                <w:color w:val="auto"/>
              </w:rPr>
              <w:t>Total estimated purchase price</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4,730,032</w:t>
            </w:r>
          </w:p>
        </w:tc>
        <w:tc>
          <w:tcPr>
            <w:tcW w:w="100" w:type="dxa"/>
            <w:vAlign w:val="bottom"/>
          </w:tcPr>
          <w:p>
            <w:pPr>
              <w:spacing w:after="0"/>
              <w:rPr>
                <w:sz w:val="18"/>
                <w:szCs w:val="18"/>
                <w:color w:val="auto"/>
              </w:rPr>
            </w:pPr>
          </w:p>
        </w:tc>
      </w:tr>
      <w:tr>
        <w:trPr>
          <w:trHeight w:val="21"/>
        </w:trPr>
        <w:tc>
          <w:tcPr>
            <w:tcW w:w="9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Anixter’s preliminary identifiable intangible assets and their estimated useful lives consist of the following:</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Estimated Useful</w:t>
            </w:r>
          </w:p>
        </w:tc>
        <w:tc>
          <w:tcPr>
            <w:tcW w:w="1360" w:type="dxa"/>
            <w:vAlign w:val="bottom"/>
            <w:gridSpan w:val="4"/>
          </w:tcPr>
          <w:p>
            <w:pPr>
              <w:ind w:left="100"/>
              <w:spacing w:after="0"/>
              <w:rPr>
                <w:sz w:val="20"/>
                <w:szCs w:val="20"/>
                <w:color w:val="auto"/>
              </w:rPr>
            </w:pPr>
            <w:r>
              <w:rPr>
                <w:rFonts w:ascii="Arial" w:cs="Arial" w:eastAsia="Arial" w:hAnsi="Arial"/>
                <w:sz w:val="18"/>
                <w:szCs w:val="18"/>
                <w:b w:val="1"/>
                <w:bCs w:val="1"/>
                <w:color w:val="auto"/>
                <w:w w:val="99"/>
              </w:rPr>
              <w:t>Estimated Fair</w:t>
            </w:r>
          </w:p>
        </w:tc>
      </w:tr>
      <w:tr>
        <w:trPr>
          <w:trHeight w:val="241"/>
        </w:trPr>
        <w:tc>
          <w:tcPr>
            <w:tcW w:w="8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Identifiable Intangible Assets</w:t>
            </w:r>
          </w:p>
        </w:tc>
        <w:tc>
          <w:tcPr>
            <w:tcW w:w="10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Life in Years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r>
      <w:tr>
        <w:trPr>
          <w:trHeight w:val="216"/>
        </w:trPr>
        <w:tc>
          <w:tcPr>
            <w:tcW w:w="8360" w:type="dxa"/>
            <w:vAlign w:val="bottom"/>
          </w:tcPr>
          <w:p>
            <w:pPr>
              <w:spacing w:after="0"/>
              <w:rPr>
                <w:sz w:val="18"/>
                <w:szCs w:val="18"/>
                <w:color w:val="auto"/>
              </w:rPr>
            </w:pPr>
          </w:p>
        </w:tc>
        <w:tc>
          <w:tcPr>
            <w:tcW w:w="1520" w:type="dxa"/>
            <w:vAlign w:val="bottom"/>
            <w:gridSpan w:val="3"/>
          </w:tcPr>
          <w:p>
            <w:pPr>
              <w:spacing w:after="0"/>
              <w:rPr>
                <w:sz w:val="18"/>
                <w:szCs w:val="18"/>
                <w:color w:val="auto"/>
              </w:rPr>
            </w:pPr>
          </w:p>
        </w:tc>
        <w:tc>
          <w:tcPr>
            <w:tcW w:w="32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5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1,230,000</w:t>
            </w:r>
          </w:p>
        </w:tc>
        <w:tc>
          <w:tcPr>
            <w:tcW w:w="100" w:type="dxa"/>
            <w:vAlign w:val="bottom"/>
            <w:shd w:val="clear" w:color="auto" w:fill="CCEEFF"/>
          </w:tcPr>
          <w:p>
            <w:pPr>
              <w:spacing w:after="0"/>
              <w:rPr>
                <w:sz w:val="18"/>
                <w:szCs w:val="18"/>
                <w:color w:val="auto"/>
              </w:rPr>
            </w:pPr>
          </w:p>
        </w:tc>
      </w:tr>
      <w:tr>
        <w:trPr>
          <w:trHeight w:val="223"/>
        </w:trPr>
        <w:tc>
          <w:tcPr>
            <w:tcW w:w="8360" w:type="dxa"/>
            <w:vAlign w:val="bottom"/>
          </w:tcPr>
          <w:p>
            <w:pPr>
              <w:spacing w:after="0"/>
              <w:rPr>
                <w:sz w:val="20"/>
                <w:szCs w:val="20"/>
                <w:color w:val="auto"/>
              </w:rPr>
            </w:pPr>
            <w:r>
              <w:rPr>
                <w:rFonts w:ascii="Arial" w:cs="Arial" w:eastAsia="Arial" w:hAnsi="Arial"/>
                <w:sz w:val="18"/>
                <w:szCs w:val="18"/>
                <w:color w:val="auto"/>
              </w:rPr>
              <w:t>Trademark</w:t>
            </w: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220,000</w:t>
            </w:r>
          </w:p>
        </w:tc>
        <w:tc>
          <w:tcPr>
            <w:tcW w:w="100" w:type="dxa"/>
            <w:vAlign w:val="bottom"/>
          </w:tcPr>
          <w:p>
            <w:pPr>
              <w:spacing w:after="0"/>
              <w:rPr>
                <w:sz w:val="19"/>
                <w:szCs w:val="19"/>
                <w:color w:val="auto"/>
              </w:rPr>
            </w:pPr>
          </w:p>
        </w:tc>
      </w:tr>
      <w:tr>
        <w:trPr>
          <w:trHeight w:val="256"/>
        </w:trPr>
        <w:tc>
          <w:tcPr>
            <w:tcW w:w="8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1,450,000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WESCO has not yet determined the fair value of the property and equipment acquired; therefore carrying value has been used in the preliminary purchase price allocation and in the pro forma financial information.</w:t>
      </w:r>
    </w:p>
    <w:p>
      <w:pPr>
        <w:spacing w:after="0" w:line="20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The deferred tax liabilities included in other non-current liabilities above represent the deferred tax impact associated with the incremental difference in book and tax basis created from the preliminary purchase price allocation. WESCO has estimated that the fair value adjustment to increase deferred tax liabilities, net would be $275.7 million. This assumes the estimated blended statutory tax rate of approximately 24.5% for the combined company.</w:t>
      </w:r>
    </w:p>
    <w:p>
      <w:pPr>
        <w:sectPr>
          <w:pgSz w:w="11900" w:h="16838" w:orient="portrait"/>
          <w:cols w:equalWidth="0" w:num="1">
            <w:col w:w="11240"/>
          </w:cols>
          <w:pgMar w:left="320" w:top="118" w:right="339" w:bottom="507" w:gutter="0" w:footer="0" w:header="0"/>
        </w:sect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507" w:gutter="0" w:footer="0" w:header="0"/>
          <w:type w:val="continuous"/>
        </w:sectPr>
      </w:pPr>
    </w:p>
    <w:bookmarkStart w:id="18" w:name="page19"/>
    <w:bookmarkEnd w:id="18"/>
    <w:p>
      <w:pPr>
        <w:jc w:val="both"/>
        <w:ind w:firstLine="648"/>
        <w:spacing w:after="0" w:line="297" w:lineRule="auto"/>
        <w:rPr>
          <w:sz w:val="20"/>
          <w:szCs w:val="20"/>
          <w:color w:val="auto"/>
        </w:rPr>
      </w:pPr>
      <w:r>
        <w:rPr>
          <w:rFonts w:ascii="Arial" w:cs="Arial" w:eastAsia="Arial" w:hAnsi="Arial"/>
          <w:sz w:val="19"/>
          <w:szCs w:val="19"/>
          <w:color w:val="auto"/>
        </w:rPr>
        <w:t>The effective tax rate of the combined company could be significantly different (either higher or lower) depending on the post-acquisition activities, including repatriation decisions, cash needs and the geographical mix of taxable income. The estimate is preliminary and subject to change based upon the final determination of fair value of the identifiable assets and liabilities.</w:t>
      </w:r>
    </w:p>
    <w:p>
      <w:pPr>
        <w:spacing w:after="0" w:line="161"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Goodwill is calculated as the difference between the acquisition date fair value of the consideration expected to be transferred and the values assigned to the identified assets to be acquired and liabilities assumed. Goodwill recognized in the Merger is not expected to be deductible for tax purposes.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Pro Forma Adjustments</w:t>
      </w:r>
    </w:p>
    <w:p>
      <w:pPr>
        <w:spacing w:after="0" w:line="23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following pro forma adjustments have been reflected in the unaudited pro forma condensed combined financial information. All taxable adjustments were calculated using a 24.5% blended statutory tax rate to arrive at deferred tax asset or liability adjustments. All adjustments are based on current assumptions and valuations, which are subject to change.</w:t>
      </w:r>
    </w:p>
    <w:p>
      <w:pPr>
        <w:spacing w:after="0" w:line="168" w:lineRule="exact"/>
        <w:rPr>
          <w:sz w:val="20"/>
          <w:szCs w:val="20"/>
          <w:color w:val="auto"/>
        </w:rPr>
      </w:pPr>
    </w:p>
    <w:p>
      <w:pPr>
        <w:jc w:val="both"/>
        <w:ind w:left="340" w:hanging="332"/>
        <w:spacing w:after="0" w:line="259"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Reflects the use of the combined company cash balances, after reflecting the debt financing used to fund a portion of the estimated purchase consideration (including the proceeds from this offering and borrowings under the New ABL Facility and the Receivables Facility). Additionally, WESCO’s debt issuance costs, both WESCO and Anixter’s transaction costs, and WESCO and Anixter’s debt instruments extinguished concurrent with the closing of the Merger are included in the net cash outflow.</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Cash inflow related to the Merger</w:t>
      </w:r>
    </w:p>
    <w:p>
      <w:pPr>
        <w:spacing w:after="0" w:line="233" w:lineRule="exact"/>
        <w:rPr>
          <w:sz w:val="20"/>
          <w:szCs w:val="20"/>
          <w:color w:val="auto"/>
        </w:rPr>
      </w:pPr>
    </w:p>
    <w:p>
      <w:pPr>
        <w:jc w:val="both"/>
        <w:ind w:left="660"/>
        <w:spacing w:after="0" w:line="249" w:lineRule="auto"/>
        <w:rPr>
          <w:sz w:val="20"/>
          <w:szCs w:val="20"/>
          <w:color w:val="auto"/>
        </w:rPr>
      </w:pPr>
      <w:r>
        <w:rPr>
          <w:rFonts w:ascii="Arial" w:cs="Arial" w:eastAsia="Arial" w:hAnsi="Arial"/>
          <w:sz w:val="21"/>
          <w:szCs w:val="21"/>
          <w:color w:val="auto"/>
        </w:rPr>
        <w:t>The pro forma adjustments assume that the funding anticipated to be received to effectuate the Merger consists of debt financing of approximately $3.6 billion, net of issuance costs of $111.5 million. This amount may be reduced by available cash flow from operations. WESCO anticipates issuing $2.8 billion in senior unsecured notes to partially fund the Merger, as further described in this offering memorandum. The remaining debt financing will be a mix of funds borrowed under the New ABL Facility and the Receivables Facility.</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Cash outflow related to the Merger</w:t>
      </w:r>
    </w:p>
    <w:p>
      <w:pPr>
        <w:spacing w:after="0" w:line="233" w:lineRule="exact"/>
        <w:rPr>
          <w:sz w:val="20"/>
          <w:szCs w:val="20"/>
          <w:color w:val="auto"/>
        </w:rPr>
      </w:pPr>
    </w:p>
    <w:p>
      <w:pPr>
        <w:jc w:val="both"/>
        <w:ind w:left="660"/>
        <w:spacing w:after="0" w:line="236" w:lineRule="auto"/>
        <w:rPr>
          <w:sz w:val="20"/>
          <w:szCs w:val="20"/>
          <w:color w:val="auto"/>
        </w:rPr>
      </w:pPr>
      <w:r>
        <w:rPr>
          <w:rFonts w:ascii="Arial" w:cs="Arial" w:eastAsia="Arial" w:hAnsi="Arial"/>
          <w:sz w:val="22"/>
          <w:szCs w:val="22"/>
          <w:color w:val="auto"/>
        </w:rPr>
        <w:t>The portion of the Merger Consideration anticipated to be paid in cash of $4.0 billion represents: $3.9 billion of cash consideration paid for shares of Anixter common stock, Anixter options and restricted stock units and the settlement of certain Anixter obligations; $100.0 million to extinguish the Existing ABL Facility; $63.4 million of transaction costs anticipated to be incurred and paid by WESCO and Anixter at close; and $14.6 million in payments to Anixter named executive officers due to the change of control.</w:t>
      </w:r>
    </w:p>
    <w:p>
      <w:pPr>
        <w:spacing w:after="0" w:line="221" w:lineRule="exact"/>
        <w:rPr>
          <w:sz w:val="20"/>
          <w:szCs w:val="20"/>
          <w:color w:val="auto"/>
        </w:rPr>
      </w:pPr>
    </w:p>
    <w:p>
      <w:pPr>
        <w:jc w:val="both"/>
        <w:ind w:left="340" w:hanging="332"/>
        <w:spacing w:after="0" w:line="263"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Reflects the step-up in inventory to fair value of approximately $133.2 million. The preliminary fair value adjustment related to inventory acquired was not included in the pro forma adjustments related to the cost of goods sold in the unaudited pro forma condensed combined statement of income as there is no continuing impact on operations of the combined business.</w:t>
      </w:r>
    </w:p>
    <w:p>
      <w:pPr>
        <w:spacing w:after="0" w:line="21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Reflects the elimination of the termination fee paid by WESCO on Anixter’s behalf from prepaid expenses and other current assets in order to reflect the amount as part of the purchase price consideration transferred to CD&amp;R in connection with the termination of Anixter’s merger agreement with CD&amp;R.</w:t>
      </w:r>
    </w:p>
    <w:p>
      <w:pPr>
        <w:spacing w:after="0" w:line="21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Reflects the preliminary estimate of fair value of identifiable intangible assets acquired in the amount of $1.5 billion and the elimination of intangible assets associated with Anixter in the amount of $342.9 million.</w:t>
      </w:r>
    </w:p>
    <w:p>
      <w:pPr>
        <w:spacing w:after="0" w:line="19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Reflects the pro forma adjustment for the goodwill arising from the Merger in the amount of $1.5 billion and the elimination of goodwill associated with Anixter in the amount of $810.0 million.</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Reflects the offset of $9.3 million against deferred tax liabilities associated with fair value adjustments.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Reflects the pro forma reclassifications of accrued payroll and benefit costs of $52.9 million from other current liabilities.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Reflects the pro forma adjustments to other current liabilities which includes: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Reclassification of accrued payroll and benefit costs in the amounts of $52.9 million;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 accrual of transaction costs of $17.0 million anticipated to be incurred;</w:t>
      </w:r>
    </w:p>
    <w:p>
      <w:pPr>
        <w:spacing w:after="0" w:line="252"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Removal of accrued interest of $8.7 million related to the extinguishment of the Anixter 2021 Notes and the partial retirement of the Anixter 2023 and Anixter 2025 Notes; and</w:t>
      </w:r>
    </w:p>
    <w:p>
      <w:pPr>
        <w:sectPr>
          <w:pgSz w:w="11900" w:h="16838" w:orient="portrait"/>
          <w:cols w:equalWidth="0" w:num="1">
            <w:col w:w="11240"/>
          </w:cols>
          <w:pgMar w:left="320" w:top="118" w:right="339" w:bottom="1440" w:gutter="0" w:footer="0" w:header="0"/>
        </w:sect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9" w:name="page20"/>
    <w:bookmarkEnd w:id="19"/>
    <w:p>
      <w:pPr>
        <w:ind w:left="980" w:hanging="324"/>
        <w:spacing w:after="0" w:line="277"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Reduction of current tax liabilities of $18.0 million related to tax deductible transaction costs estimated to be incurred after March 31, 2020 and change of control bonus to be paid to named executive officers as part of the closing of the Merger.</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Reflects the pro forma adjustments to non-current long-term debt which includes:</w:t>
      </w:r>
    </w:p>
    <w:p>
      <w:pPr>
        <w:spacing w:after="0" w:line="252"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Extinguishment of the Anixter 2021 Notes, the partial retirement of the Anixter 2023 Notes and the Anixter 2025 Notes and Anixter’s receivables facility totaling $1.3 billion; associated unamortized debt discount of $10.2 million; and fair value adjustment to assumed debt of $1.3 million; and</w:t>
      </w:r>
    </w:p>
    <w:p>
      <w:pPr>
        <w:spacing w:after="0" w:line="210" w:lineRule="exact"/>
        <w:rPr>
          <w:rFonts w:ascii="Arial" w:cs="Arial" w:eastAsia="Arial" w:hAnsi="Arial"/>
          <w:sz w:val="18"/>
          <w:szCs w:val="18"/>
          <w:color w:val="auto"/>
        </w:rPr>
      </w:pPr>
    </w:p>
    <w:p>
      <w:pPr>
        <w:ind w:left="980" w:hanging="324"/>
        <w:spacing w:after="0"/>
        <w:tabs>
          <w:tab w:leader="none" w:pos="9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Extinguishment of WESCO’s Existing ABL Facility totaling $100.0 million and associated unamortized debt issuance costs of $2.1 million.</w:t>
      </w:r>
    </w:p>
    <w:p>
      <w:pPr>
        <w:spacing w:after="0" w:line="275"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Reflects the adjustment to deferred tax liabilities, net based on the estimated statutory tax rate for the combined entity multiplied by the fair value adjustments made to assets acquired and liabilities assumed, as calculated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As of</w:t>
            </w:r>
          </w:p>
        </w:tc>
      </w:tr>
      <w:tr>
        <w:trPr>
          <w:trHeight w:val="241"/>
        </w:trPr>
        <w:tc>
          <w:tcPr>
            <w:tcW w:w="978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20"/>
                <w:szCs w:val="20"/>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March 31, 2020</w:t>
            </w:r>
          </w:p>
        </w:tc>
      </w:tr>
      <w:tr>
        <w:trPr>
          <w:trHeight w:val="216"/>
        </w:trPr>
        <w:tc>
          <w:tcPr>
            <w:tcW w:w="9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Fair value adjustment to increase Anixter’s inventories</w:t>
            </w: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133,245</w:t>
            </w:r>
          </w:p>
        </w:tc>
        <w:tc>
          <w:tcPr>
            <w:tcW w:w="160" w:type="dxa"/>
            <w:vAlign w:val="bottom"/>
            <w:shd w:val="clear" w:color="auto" w:fill="CCEEFF"/>
          </w:tcPr>
          <w:p>
            <w:pPr>
              <w:spacing w:after="0"/>
              <w:rPr>
                <w:sz w:val="18"/>
                <w:szCs w:val="18"/>
                <w:color w:val="auto"/>
              </w:rPr>
            </w:pPr>
          </w:p>
        </w:tc>
      </w:tr>
      <w:tr>
        <w:trPr>
          <w:trHeight w:val="216"/>
        </w:trPr>
        <w:tc>
          <w:tcPr>
            <w:tcW w:w="9780" w:type="dxa"/>
            <w:vAlign w:val="bottom"/>
          </w:tcPr>
          <w:p>
            <w:pPr>
              <w:spacing w:after="0"/>
              <w:rPr>
                <w:sz w:val="20"/>
                <w:szCs w:val="20"/>
                <w:color w:val="auto"/>
              </w:rPr>
            </w:pPr>
            <w:r>
              <w:rPr>
                <w:rFonts w:ascii="Arial" w:cs="Arial" w:eastAsia="Arial" w:hAnsi="Arial"/>
                <w:sz w:val="18"/>
                <w:szCs w:val="18"/>
                <w:color w:val="auto"/>
              </w:rPr>
              <w:t>Fair value adjustment to increase Anixter’s intangible assets, net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1,107,057</w:t>
            </w:r>
          </w:p>
        </w:tc>
        <w:tc>
          <w:tcPr>
            <w:tcW w:w="160" w:type="dxa"/>
            <w:vAlign w:val="bottom"/>
          </w:tcPr>
          <w:p>
            <w:pPr>
              <w:spacing w:after="0"/>
              <w:rPr>
                <w:sz w:val="18"/>
                <w:szCs w:val="18"/>
                <w:color w:val="auto"/>
              </w:rPr>
            </w:pPr>
          </w:p>
        </w:tc>
      </w:tr>
      <w:tr>
        <w:trPr>
          <w:trHeight w:val="223"/>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Elimination of the tax deductible component of Anixter historical goodwill</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(114,832)</w:t>
            </w:r>
          </w:p>
        </w:tc>
      </w:tr>
      <w:tr>
        <w:trPr>
          <w:trHeight w:val="216"/>
        </w:trPr>
        <w:tc>
          <w:tcPr>
            <w:tcW w:w="97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1,125,470</w:t>
            </w:r>
          </w:p>
        </w:tc>
        <w:tc>
          <w:tcPr>
            <w:tcW w:w="160" w:type="dxa"/>
            <w:vAlign w:val="bottom"/>
            <w:tcBorders>
              <w:top w:val="single" w:sz="8" w:color="CCEEFF"/>
            </w:tcBorders>
          </w:tcPr>
          <w:p>
            <w:pPr>
              <w:spacing w:after="0"/>
              <w:rPr>
                <w:sz w:val="18"/>
                <w:szCs w:val="18"/>
                <w:color w:val="auto"/>
              </w:rPr>
            </w:pPr>
          </w:p>
        </w:tc>
      </w:tr>
      <w:tr>
        <w:trPr>
          <w:trHeight w:val="216"/>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Estimated statutory domestic tax rate for the combined entity</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24.5%</w:t>
            </w:r>
          </w:p>
        </w:tc>
      </w:tr>
      <w:tr>
        <w:trPr>
          <w:trHeight w:val="216"/>
        </w:trPr>
        <w:tc>
          <w:tcPr>
            <w:tcW w:w="9780" w:type="dxa"/>
            <w:vAlign w:val="bottom"/>
          </w:tcPr>
          <w:p>
            <w:pPr>
              <w:spacing w:after="0"/>
              <w:rPr>
                <w:sz w:val="18"/>
                <w:szCs w:val="18"/>
                <w:color w:val="auto"/>
              </w:rPr>
            </w:pP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275,740</w:t>
            </w:r>
          </w:p>
        </w:tc>
        <w:tc>
          <w:tcPr>
            <w:tcW w:w="160" w:type="dxa"/>
            <w:vAlign w:val="bottom"/>
          </w:tcPr>
          <w:p>
            <w:pPr>
              <w:spacing w:after="0"/>
              <w:rPr>
                <w:sz w:val="18"/>
                <w:szCs w:val="18"/>
                <w:color w:val="auto"/>
              </w:rPr>
            </w:pPr>
          </w:p>
        </w:tc>
      </w:tr>
      <w:tr>
        <w:trPr>
          <w:trHeight w:val="223"/>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Less reclassification of Anixter deferred tax asset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(9,274)</w:t>
            </w:r>
          </w:p>
        </w:tc>
      </w:tr>
      <w:tr>
        <w:trPr>
          <w:trHeight w:val="216"/>
        </w:trPr>
        <w:tc>
          <w:tcPr>
            <w:tcW w:w="97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266,466</w:t>
            </w:r>
          </w:p>
        </w:tc>
        <w:tc>
          <w:tcPr>
            <w:tcW w:w="160" w:type="dxa"/>
            <w:vAlign w:val="bottom"/>
            <w:tcBorders>
              <w:top w:val="single" w:sz="8" w:color="CCEEFF"/>
            </w:tcBorders>
          </w:tcPr>
          <w:p>
            <w:pPr>
              <w:spacing w:after="0"/>
              <w:rPr>
                <w:sz w:val="18"/>
                <w:szCs w:val="18"/>
                <w:color w:val="auto"/>
              </w:rPr>
            </w:pPr>
          </w:p>
        </w:tc>
      </w:tr>
      <w:tr>
        <w:trPr>
          <w:trHeight w:val="21"/>
        </w:trPr>
        <w:tc>
          <w:tcPr>
            <w:tcW w:w="9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Reflects the estimated fair value portion of the replacement WESCO phantom stock units issued to Anixter’s employees at the time of closing attributable to pre-Merger services to be settled at the completion of the vesting period in cash.</w:t>
      </w:r>
    </w:p>
    <w:p>
      <w:pPr>
        <w:spacing w:after="0" w:line="19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Reflects the adjustments to eliminate Anixter’s historical equity balances, record estimated purchase price at fair value and reflect the issuance of depositary shares representing an interest in WESCO Series A preferred stock and shares of WESCO common stock:</w:t>
      </w:r>
    </w:p>
    <w:p>
      <w:pPr>
        <w:sectPr>
          <w:pgSz w:w="11900" w:h="16838" w:orient="portrait"/>
          <w:cols w:equalWidth="0" w:num="1">
            <w:col w:w="11240"/>
          </w:cols>
          <w:pgMar w:left="320" w:top="125" w:right="339" w:bottom="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624078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4078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Estimated stock portion of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WESCO common stock, $0.01 per share par value, expected to be issued in the Merger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WESCO Series A preferred stock, $25,000 stated amount per whole share, expected to be issued in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91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left="340" w:hanging="161"/>
        <w:spacing w:after="0" w:line="255" w:lineRule="auto"/>
        <w:rPr>
          <w:sz w:val="20"/>
          <w:szCs w:val="20"/>
          <w:color w:val="auto"/>
        </w:rPr>
      </w:pPr>
      <w:r>
        <w:rPr>
          <w:rFonts w:ascii="Arial" w:cs="Arial" w:eastAsia="Arial" w:hAnsi="Arial"/>
          <w:sz w:val="18"/>
          <w:szCs w:val="18"/>
          <w:color w:val="auto"/>
        </w:rPr>
        <w:t>Adjustment to additional capital in excess of par value for common and WESCO Series A preferred stock expected to be issued in the Merger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Estimated stock portion of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issued for Merger Consideration and elimination of Anixter historical equity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WESCO common stock expected to be issued in the Merger</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Elimination of Anixter’s historical common stock</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adjustment to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paid in capital arising from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340" w:right="500" w:hanging="161"/>
        <w:spacing w:after="0" w:line="250" w:lineRule="auto"/>
        <w:rPr>
          <w:sz w:val="20"/>
          <w:szCs w:val="20"/>
          <w:color w:val="auto"/>
        </w:rPr>
      </w:pPr>
      <w:r>
        <w:rPr>
          <w:rFonts w:ascii="Arial" w:cs="Arial" w:eastAsia="Arial" w:hAnsi="Arial"/>
          <w:sz w:val="18"/>
          <w:szCs w:val="18"/>
          <w:color w:val="auto"/>
        </w:rPr>
        <w:t>Adjustment to additional capital in excess of par value for common and WESCO Series A preferred stock expected to be issued in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right="3400"/>
        <w:spacing w:after="0" w:line="255" w:lineRule="auto"/>
        <w:rPr>
          <w:sz w:val="20"/>
          <w:szCs w:val="20"/>
          <w:color w:val="auto"/>
        </w:rPr>
      </w:pPr>
      <w:r>
        <w:rPr>
          <w:rFonts w:ascii="Arial" w:cs="Arial" w:eastAsia="Arial" w:hAnsi="Arial"/>
          <w:sz w:val="18"/>
          <w:szCs w:val="18"/>
          <w:color w:val="auto"/>
        </w:rPr>
        <w:t>WESCO cost of capital in connection with the WESCO Series A preferred stock Elimination of Anixter historical capital surplus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adjustment to additional capital in excess of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right="3240"/>
        <w:spacing w:after="0" w:line="289" w:lineRule="auto"/>
        <w:rPr>
          <w:sz w:val="20"/>
          <w:szCs w:val="20"/>
          <w:color w:val="auto"/>
        </w:rPr>
      </w:pPr>
      <w:r>
        <w:rPr>
          <w:rFonts w:ascii="Arial" w:cs="Arial" w:eastAsia="Arial" w:hAnsi="Arial"/>
          <w:sz w:val="16"/>
          <w:szCs w:val="16"/>
          <w:color w:val="auto"/>
        </w:rPr>
        <w:t>Retained earnings impact for estimated Merger-related transaction costs, net of tax Retained earnings impact for change in control bonuses vested at close, net of tax Removal of deferred financing fees on WESCO’s Existing ABL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As of</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u w:val="single" w:color="auto"/>
          <w:color w:val="auto"/>
        </w:rPr>
        <w:t>March 31, 2020</w:t>
      </w:r>
    </w:p>
    <w:p>
      <w:pPr>
        <w:spacing w:after="0" w:line="261" w:lineRule="exact"/>
        <w:rPr>
          <w:sz w:val="20"/>
          <w:szCs w:val="20"/>
          <w:color w:val="auto"/>
        </w:rPr>
      </w:pPr>
    </w:p>
    <w:p>
      <w:pPr>
        <w:ind w:left="1020" w:hanging="1016"/>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82</w:t>
      </w:r>
    </w:p>
    <w:p>
      <w:pPr>
        <w:spacing w:after="0" w:line="23"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766,849</w:t>
      </w:r>
    </w:p>
    <w:p>
      <w:pPr>
        <w:spacing w:after="0" w:line="36" w:lineRule="exact"/>
        <w:rPr>
          <w:sz w:val="20"/>
          <w:szCs w:val="20"/>
          <w:color w:val="auto"/>
        </w:rPr>
      </w:pPr>
    </w:p>
    <w:p>
      <w:pPr>
        <w:ind w:left="600" w:hanging="596"/>
        <w:spacing w:after="0"/>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766,931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543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5438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40640</wp:posOffset>
            </wp:positionV>
            <wp:extent cx="7543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20" w:hanging="1016"/>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82</w:t>
      </w:r>
    </w:p>
    <w:p>
      <w:pPr>
        <w:spacing w:after="0" w:line="23"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6"/>
          <w:szCs w:val="16"/>
          <w:color w:val="auto"/>
        </w:rPr>
        <w:t>(34,386)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5438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54380" cy="17145"/>
                    </a:xfrm>
                    <a:prstGeom prst="rect">
                      <a:avLst/>
                    </a:prstGeom>
                    <a:noFill/>
                  </pic:spPr>
                </pic:pic>
              </a:graphicData>
            </a:graphic>
          </wp:anchor>
        </w:drawing>
      </w:r>
    </w:p>
    <w:p>
      <w:pPr>
        <w:ind w:left="640" w:hanging="636"/>
        <w:spacing w:after="0" w:line="228" w:lineRule="auto"/>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(34,304</w:t>
      </w:r>
      <w:r>
        <w:rPr>
          <w:rFonts w:ascii="Arial" w:cs="Arial" w:eastAsia="Arial" w:hAnsi="Arial"/>
          <w:sz w:val="30"/>
          <w:szCs w:val="30"/>
          <w:color w:val="auto"/>
          <w:vertAlign w:val="subscript"/>
        </w:rPr>
        <w: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00" w:hanging="596"/>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766,849</w:t>
      </w:r>
    </w:p>
    <w:p>
      <w:pPr>
        <w:spacing w:after="0" w:line="23"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7"/>
          <w:szCs w:val="17"/>
          <w:color w:val="auto"/>
        </w:rPr>
        <w:t>(500)</w:t>
      </w:r>
    </w:p>
    <w:p>
      <w:pPr>
        <w:spacing w:after="0" w:line="21"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(311,076)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75438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54380" cy="17145"/>
                    </a:xfrm>
                    <a:prstGeom prst="rect">
                      <a:avLst/>
                    </a:prstGeom>
                    <a:noFill/>
                  </pic:spPr>
                </pic:pic>
              </a:graphicData>
            </a:graphic>
          </wp:anchor>
        </w:drawing>
      </w:r>
    </w:p>
    <w:p>
      <w:pPr>
        <w:spacing w:after="0" w:line="16" w:lineRule="exact"/>
        <w:rPr>
          <w:sz w:val="20"/>
          <w:szCs w:val="20"/>
          <w:color w:val="auto"/>
        </w:rPr>
      </w:pPr>
    </w:p>
    <w:p>
      <w:pPr>
        <w:ind w:left="600" w:hanging="596"/>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455,273</w:t>
      </w:r>
    </w:p>
    <w:p>
      <w:pPr>
        <w:spacing w:after="0" w:line="200" w:lineRule="exact"/>
        <w:rPr>
          <w:sz w:val="20"/>
          <w:szCs w:val="20"/>
          <w:color w:val="auto"/>
        </w:rPr>
      </w:pPr>
    </w:p>
    <w:p>
      <w:pPr>
        <w:spacing w:after="0" w:line="281" w:lineRule="exact"/>
        <w:rPr>
          <w:sz w:val="20"/>
          <w:szCs w:val="20"/>
          <w:color w:val="auto"/>
        </w:rPr>
      </w:pPr>
    </w:p>
    <w:p>
      <w:pPr>
        <w:ind w:left="640" w:hanging="636"/>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(66,042)</w:t>
      </w:r>
    </w:p>
    <w:p>
      <w:pPr>
        <w:spacing w:after="0" w:line="46"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6"/>
          <w:szCs w:val="16"/>
          <w:color w:val="auto"/>
        </w:rPr>
        <w:t>(10,981)</w:t>
      </w:r>
    </w:p>
    <w:p>
      <w:pPr>
        <w:spacing w:after="0" w:line="32" w:lineRule="exact"/>
        <w:rPr>
          <w:rFonts w:ascii="Arial" w:cs="Arial" w:eastAsia="Arial" w:hAnsi="Arial"/>
          <w:sz w:val="16"/>
          <w:szCs w:val="16"/>
          <w:color w:val="auto"/>
        </w:rPr>
      </w:pPr>
    </w:p>
    <w:p>
      <w:pPr>
        <w:ind w:left="720"/>
        <w:spacing w:after="0"/>
        <w:rPr>
          <w:rFonts w:ascii="Arial" w:cs="Arial" w:eastAsia="Arial" w:hAnsi="Arial"/>
          <w:sz w:val="16"/>
          <w:szCs w:val="16"/>
          <w:color w:val="auto"/>
        </w:rPr>
      </w:pPr>
      <w:r>
        <w:rPr>
          <w:rFonts w:ascii="Arial" w:cs="Arial" w:eastAsia="Arial" w:hAnsi="Arial"/>
          <w:sz w:val="17"/>
          <w:szCs w:val="17"/>
          <w:color w:val="auto"/>
        </w:rPr>
        <w:t>(2,053)</w:t>
      </w:r>
    </w:p>
    <w:p>
      <w:pPr>
        <w:spacing w:after="0" w:line="38" w:lineRule="exact"/>
        <w:rPr>
          <w:sz w:val="20"/>
          <w:szCs w:val="20"/>
          <w:color w:val="auto"/>
        </w:rPr>
      </w:pPr>
    </w:p>
    <w:p>
      <w:pPr>
        <w:sectPr>
          <w:pgSz w:w="11900" w:h="16838" w:orient="portrait"/>
          <w:cols w:equalWidth="0" w:num="2">
            <w:col w:w="9360" w:space="580"/>
            <w:col w:w="1300"/>
          </w:cols>
          <w:pgMar w:left="320" w:top="125" w:right="339" w:bottom="0" w:gutter="0" w:footer="0" w:header="0"/>
          <w:type w:val="continuous"/>
        </w:sectPr>
      </w:pPr>
    </w:p>
    <w:tbl>
      <w:tblPr>
        <w:tblLayout w:type="fixed"/>
        <w:tblInd w:w="0" w:type="dxa"/>
        <w:tblCellMar>
          <w:top w:w="0" w:type="dxa"/>
          <w:left w:w="0" w:type="dxa"/>
          <w:bottom w:w="0" w:type="dxa"/>
          <w:right w:w="0" w:type="dxa"/>
        </w:tblCellMar>
      </w:tblPr>
      <w:tr>
        <w:trPr>
          <w:trHeight w:val="199"/>
        </w:trPr>
        <w:tc>
          <w:tcPr>
            <w:tcW w:w="9940" w:type="dxa"/>
            <w:vAlign w:val="bottom"/>
            <w:shd w:val="clear" w:color="auto" w:fill="CCEEFF"/>
          </w:tcPr>
          <w:p>
            <w:pPr>
              <w:ind w:left="180"/>
              <w:spacing w:after="0" w:line="200" w:lineRule="exact"/>
              <w:rPr>
                <w:sz w:val="20"/>
                <w:szCs w:val="20"/>
                <w:color w:val="auto"/>
              </w:rPr>
            </w:pPr>
            <w:r>
              <w:rPr>
                <w:rFonts w:ascii="Arial" w:cs="Arial" w:eastAsia="Arial" w:hAnsi="Arial"/>
                <w:sz w:val="18"/>
                <w:szCs w:val="18"/>
                <w:color w:val="auto"/>
              </w:rPr>
              <w:t>Elimination of Anixter historical retained earnings</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line="200" w:lineRule="exact"/>
              <w:rPr>
                <w:sz w:val="20"/>
                <w:szCs w:val="20"/>
                <w:color w:val="auto"/>
              </w:rPr>
            </w:pPr>
            <w:r>
              <w:rPr>
                <w:rFonts w:ascii="Arial" w:cs="Arial" w:eastAsia="Arial" w:hAnsi="Arial"/>
                <w:sz w:val="18"/>
                <w:szCs w:val="18"/>
                <w:color w:val="auto"/>
              </w:rPr>
              <w:t>(1,819,496)</w:t>
            </w:r>
          </w:p>
        </w:tc>
      </w:tr>
      <w:tr>
        <w:trPr>
          <w:trHeight w:val="27"/>
        </w:trPr>
        <w:tc>
          <w:tcPr>
            <w:tcW w:w="99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9940" w:type="dxa"/>
            <w:vAlign w:val="bottom"/>
          </w:tcPr>
          <w:p>
            <w:pPr>
              <w:spacing w:after="0"/>
              <w:rPr>
                <w:sz w:val="20"/>
                <w:szCs w:val="20"/>
                <w:color w:val="auto"/>
              </w:rPr>
            </w:pPr>
            <w:r>
              <w:rPr>
                <w:rFonts w:ascii="Arial" w:cs="Arial" w:eastAsia="Arial" w:hAnsi="Arial"/>
                <w:sz w:val="18"/>
                <w:szCs w:val="18"/>
                <w:b w:val="1"/>
                <w:bCs w:val="1"/>
                <w:color w:val="auto"/>
              </w:rPr>
              <w:t>Pro forma adjustment to retained earnings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(1,898,572)</w:t>
            </w:r>
          </w:p>
        </w:tc>
      </w:tr>
      <w:tr>
        <w:trPr>
          <w:trHeight w:val="20"/>
        </w:trPr>
        <w:tc>
          <w:tcPr>
            <w:tcW w:w="99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9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940" w:type="dxa"/>
            <w:vAlign w:val="bottom"/>
          </w:tcPr>
          <w:p>
            <w:pPr>
              <w:spacing w:after="0"/>
              <w:rPr>
                <w:sz w:val="20"/>
                <w:szCs w:val="20"/>
                <w:color w:val="auto"/>
              </w:rPr>
            </w:pPr>
            <w:r>
              <w:rPr>
                <w:rFonts w:ascii="Arial" w:cs="Arial" w:eastAsia="Arial" w:hAnsi="Arial"/>
                <w:sz w:val="18"/>
                <w:szCs w:val="18"/>
                <w:b w:val="1"/>
                <w:bCs w:val="1"/>
                <w:color w:val="auto"/>
              </w:rPr>
              <w:t>Elimination of Anixter historical accumulated other comprehensive loss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331,618</w:t>
            </w:r>
          </w:p>
        </w:tc>
        <w:tc>
          <w:tcPr>
            <w:tcW w:w="100" w:type="dxa"/>
            <w:vAlign w:val="bottom"/>
          </w:tcPr>
          <w:p>
            <w:pPr>
              <w:spacing w:after="0"/>
              <w:rPr>
                <w:sz w:val="18"/>
                <w:szCs w:val="18"/>
                <w:color w:val="auto"/>
              </w:rPr>
            </w:pPr>
          </w:p>
        </w:tc>
      </w:tr>
      <w:tr>
        <w:trPr>
          <w:trHeight w:val="21"/>
        </w:trPr>
        <w:tc>
          <w:tcPr>
            <w:tcW w:w="9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340" w:hanging="332"/>
        <w:spacing w:after="0" w:line="293"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 connection with the Merger Agreement, Anixter may grant restricted stock unit equity awards in the ordinary course of business with a grant date fair value of no more than $20.0 million to its employees, directors, and service providers. These awards, which are not part of the change in control severance agreement, are converted into cash-only settled WESCO phantom stock units with certain vesting criteria. The estimated fair value of these WESCO phantom stock units is $18.6 million which vests ratably over a 3 year period. The unaudited pro forma condensed combined statements of income reflect the adjustment of additional equity compensation expense for post-Merger services of $0.5 million, $6.2 million and $5.1 million for the three months ended March 31, 2020, year ended December 31, 2019 and twelve months ended March 31, 2020, respectively.</w:t>
      </w:r>
    </w:p>
    <w:p>
      <w:pPr>
        <w:spacing w:after="0" w:line="191"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Reflects the adjustment to eliminate $7.4 million, $15.0 million and $22.4 million of non-recurring Merger related transaction costs for the three months ended March 31, 2020, year ended December 31, 2019 and twelve months ended March 31, 2020, respectively.</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Reflects the adjustment to record amortization expense related to identifiable intangible assets based on the preliminary determination of WESCO’s</w:t>
      </w:r>
    </w:p>
    <w:p>
      <w:pPr>
        <w:sectPr>
          <w:pgSz w:w="11900" w:h="16838" w:orient="portrait"/>
          <w:cols w:equalWidth="0" w:num="1">
            <w:col w:w="11240"/>
          </w:cols>
          <w:pgMar w:left="320" w:top="125" w:right="339" w:bottom="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color w:val="auto"/>
        </w:rPr>
        <w:t>estimated useful lives and amortization method.</w:t>
      </w:r>
    </w:p>
    <w:p>
      <w:pPr>
        <w:spacing w:after="0" w:line="200" w:lineRule="exact"/>
        <w:rPr>
          <w:sz w:val="20"/>
          <w:szCs w:val="20"/>
          <w:color w:val="auto"/>
        </w:rPr>
      </w:pPr>
    </w:p>
    <w:p>
      <w:pPr>
        <w:spacing w:after="0" w:line="223" w:lineRule="exact"/>
        <w:rPr>
          <w:sz w:val="20"/>
          <w:szCs w:val="20"/>
          <w:color w:val="auto"/>
        </w:rPr>
      </w:pPr>
    </w:p>
    <w:p>
      <w:pPr>
        <w:jc w:val="right"/>
        <w:ind w:right="443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38100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799"/>
          </w:cols>
          <w:pgMar w:left="660" w:top="125" w:right="1440"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16"/>
        </w:trPr>
        <w:tc>
          <w:tcPr>
            <w:tcW w:w="5800" w:type="dxa"/>
            <w:vAlign w:val="bottom"/>
          </w:tcPr>
          <w:p>
            <w:pPr>
              <w:spacing w:after="0"/>
              <w:rPr>
                <w:sz w:val="18"/>
                <w:szCs w:val="18"/>
                <w:color w:val="auto"/>
              </w:rPr>
            </w:pPr>
          </w:p>
        </w:tc>
        <w:tc>
          <w:tcPr>
            <w:tcW w:w="1960" w:type="dxa"/>
            <w:vAlign w:val="bottom"/>
            <w:gridSpan w:val="4"/>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8"/>
              </w:rPr>
              <w:t>Year Ended</w:t>
            </w:r>
          </w:p>
        </w:tc>
        <w:tc>
          <w:tcPr>
            <w:tcW w:w="1900" w:type="dxa"/>
            <w:vAlign w:val="bottom"/>
            <w:gridSpan w:val="4"/>
          </w:tcPr>
          <w:p>
            <w:pPr>
              <w:ind w:left="80"/>
              <w:spacing w:after="0"/>
              <w:rPr>
                <w:sz w:val="20"/>
                <w:szCs w:val="20"/>
                <w:color w:val="auto"/>
              </w:rPr>
            </w:pPr>
            <w:r>
              <w:rPr>
                <w:rFonts w:ascii="Arial" w:cs="Arial" w:eastAsia="Arial" w:hAnsi="Arial"/>
                <w:sz w:val="18"/>
                <w:szCs w:val="18"/>
                <w:b w:val="1"/>
                <w:bCs w:val="1"/>
                <w:color w:val="auto"/>
                <w:w w:val="95"/>
              </w:rPr>
              <w:t>Twelve Months Ended</w:t>
            </w:r>
          </w:p>
        </w:tc>
      </w:tr>
      <w:tr>
        <w:trPr>
          <w:trHeight w:val="241"/>
        </w:trPr>
        <w:tc>
          <w:tcPr>
            <w:tcW w:w="580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 2020</w:t>
            </w: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w w:val="96"/>
              </w:rPr>
              <w:t>December 31, 2019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31, 2020</w:t>
            </w:r>
          </w:p>
        </w:tc>
      </w:tr>
      <w:tr>
        <w:trPr>
          <w:trHeight w:val="216"/>
        </w:trPr>
        <w:tc>
          <w:tcPr>
            <w:tcW w:w="5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0"/>
              </w:rPr>
              <w:t>Reversal of historical amortization expense related to Anixter’s intangible assets</w:t>
            </w: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(8,609)</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(34,844)</w:t>
            </w:r>
          </w:p>
        </w:tc>
        <w:tc>
          <w:tcPr>
            <w:tcW w:w="100" w:type="dxa"/>
            <w:vAlign w:val="bottom"/>
            <w:shd w:val="clear" w:color="auto" w:fill="CCEEFF"/>
          </w:tcPr>
          <w:p>
            <w:pPr>
              <w:spacing w:after="0"/>
              <w:rPr>
                <w:sz w:val="18"/>
                <w:szCs w:val="18"/>
                <w:color w:val="auto"/>
              </w:rPr>
            </w:pPr>
          </w:p>
        </w:tc>
      </w:tr>
      <w:tr>
        <w:trPr>
          <w:trHeight w:val="223"/>
        </w:trPr>
        <w:tc>
          <w:tcPr>
            <w:tcW w:w="5800" w:type="dxa"/>
            <w:vAlign w:val="bottom"/>
          </w:tcPr>
          <w:p>
            <w:pPr>
              <w:spacing w:after="0"/>
              <w:rPr>
                <w:sz w:val="20"/>
                <w:szCs w:val="20"/>
                <w:color w:val="auto"/>
              </w:rPr>
            </w:pPr>
            <w:r>
              <w:rPr>
                <w:rFonts w:ascii="Arial" w:cs="Arial" w:eastAsia="Arial" w:hAnsi="Arial"/>
                <w:sz w:val="18"/>
                <w:szCs w:val="18"/>
                <w:color w:val="auto"/>
              </w:rPr>
              <w:t>Amortization of identifiable intangible assets acquired</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19,042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76,167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76,167</w:t>
            </w:r>
          </w:p>
        </w:tc>
      </w:tr>
      <w:tr>
        <w:trPr>
          <w:trHeight w:val="257"/>
        </w:trPr>
        <w:tc>
          <w:tcPr>
            <w:tcW w:w="5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incremental amortization expense</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10,433</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41,119</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41,323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340" w:right="380" w:hanging="332"/>
        <w:spacing w:after="0" w:line="259"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Reflects the reversal of interest expense and amortization of debt issuance costs associated with the extinguishment of the Anixter 2021 Notes and partial retirement of the Anixter 2023 Notes and the Anixter 2025 Notes, Anixter’s receivables facility and WESCO’s Existing ABL Facility and incremental interest expense and amortization of debt issuance costs associated with the new debt structure assumed at the effective time of the Merger.</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0" w:type="dxa"/>
            <w:vAlign w:val="bottom"/>
          </w:tcPr>
          <w:p>
            <w:pPr>
              <w:spacing w:after="0"/>
              <w:rPr>
                <w:sz w:val="18"/>
                <w:szCs w:val="18"/>
                <w:color w:val="auto"/>
              </w:rPr>
            </w:pPr>
          </w:p>
        </w:tc>
        <w:tc>
          <w:tcPr>
            <w:tcW w:w="1960" w:type="dxa"/>
            <w:vAlign w:val="bottom"/>
            <w:gridSpan w:val="4"/>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8"/>
                <w:szCs w:val="18"/>
                <w:color w:val="auto"/>
              </w:rPr>
            </w:pPr>
          </w:p>
        </w:tc>
        <w:tc>
          <w:tcPr>
            <w:tcW w:w="1400" w:type="dxa"/>
            <w:vAlign w:val="bottom"/>
            <w:gridSpan w:val="2"/>
          </w:tcPr>
          <w:p>
            <w:pPr>
              <w:jc w:val="right"/>
              <w:ind w:right="321"/>
              <w:spacing w:after="0"/>
              <w:rPr>
                <w:sz w:val="20"/>
                <w:szCs w:val="20"/>
                <w:color w:val="auto"/>
              </w:rPr>
            </w:pPr>
            <w:r>
              <w:rPr>
                <w:rFonts w:ascii="Arial" w:cs="Arial" w:eastAsia="Arial" w:hAnsi="Arial"/>
                <w:sz w:val="18"/>
                <w:szCs w:val="18"/>
                <w:b w:val="1"/>
                <w:bCs w:val="1"/>
                <w:color w:val="auto"/>
                <w:w w:val="98"/>
              </w:rPr>
              <w:t>Year Ended</w:t>
            </w:r>
          </w:p>
        </w:tc>
        <w:tc>
          <w:tcPr>
            <w:tcW w:w="1900" w:type="dxa"/>
            <w:vAlign w:val="bottom"/>
            <w:gridSpan w:val="4"/>
          </w:tcPr>
          <w:p>
            <w:pPr>
              <w:ind w:left="80"/>
              <w:spacing w:after="0"/>
              <w:rPr>
                <w:sz w:val="20"/>
                <w:szCs w:val="20"/>
                <w:color w:val="auto"/>
              </w:rPr>
            </w:pPr>
            <w:r>
              <w:rPr>
                <w:rFonts w:ascii="Arial" w:cs="Arial" w:eastAsia="Arial" w:hAnsi="Arial"/>
                <w:sz w:val="18"/>
                <w:szCs w:val="18"/>
                <w:b w:val="1"/>
                <w:bCs w:val="1"/>
                <w:color w:val="auto"/>
                <w:w w:val="95"/>
              </w:rPr>
              <w:t>Twelve Months Ended</w:t>
            </w:r>
          </w:p>
        </w:tc>
      </w:tr>
      <w:tr>
        <w:trPr>
          <w:trHeight w:val="241"/>
        </w:trPr>
        <w:tc>
          <w:tcPr>
            <w:tcW w:w="580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2"/>
          </w:tcPr>
          <w:p>
            <w:pPr>
              <w:jc w:val="right"/>
              <w:ind w:right="361"/>
              <w:spacing w:after="0"/>
              <w:rPr>
                <w:sz w:val="20"/>
                <w:szCs w:val="20"/>
                <w:color w:val="auto"/>
              </w:rPr>
            </w:pPr>
            <w:r>
              <w:rPr>
                <w:rFonts w:ascii="Arial" w:cs="Arial" w:eastAsia="Arial" w:hAnsi="Arial"/>
                <w:sz w:val="18"/>
                <w:szCs w:val="18"/>
                <w:b w:val="1"/>
                <w:bCs w:val="1"/>
                <w:color w:val="auto"/>
                <w:w w:val="96"/>
              </w:rPr>
              <w:t>March 31, 2020</w:t>
            </w: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w w:val="96"/>
              </w:rPr>
              <w:t>December 31, 2019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gridSpan w:val="2"/>
          </w:tcPr>
          <w:p>
            <w:pPr>
              <w:jc w:val="right"/>
              <w:ind w:right="281"/>
              <w:spacing w:after="0"/>
              <w:rPr>
                <w:sz w:val="20"/>
                <w:szCs w:val="20"/>
                <w:color w:val="auto"/>
              </w:rPr>
            </w:pPr>
            <w:r>
              <w:rPr>
                <w:rFonts w:ascii="Arial" w:cs="Arial" w:eastAsia="Arial" w:hAnsi="Arial"/>
                <w:sz w:val="18"/>
                <w:szCs w:val="18"/>
                <w:b w:val="1"/>
                <w:bCs w:val="1"/>
                <w:color w:val="auto"/>
                <w:w w:val="98"/>
              </w:rPr>
              <w:t>March 31, 2020</w:t>
            </w:r>
          </w:p>
        </w:tc>
      </w:tr>
      <w:tr>
        <w:trPr>
          <w:trHeight w:val="202"/>
        </w:trPr>
        <w:tc>
          <w:tcPr>
            <w:tcW w:w="58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Reversal of Anixter's historical interest expense and amortization of debt</w:t>
            </w:r>
          </w:p>
        </w:tc>
        <w:tc>
          <w:tcPr>
            <w:tcW w:w="1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issuance costs</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(15,469)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(70,932)</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(67,539)</w:t>
            </w:r>
          </w:p>
        </w:tc>
      </w:tr>
      <w:tr>
        <w:trPr>
          <w:trHeight w:val="202"/>
        </w:trPr>
        <w:tc>
          <w:tcPr>
            <w:tcW w:w="5800" w:type="dxa"/>
            <w:vAlign w:val="bottom"/>
          </w:tcPr>
          <w:p>
            <w:pPr>
              <w:spacing w:after="0" w:line="201" w:lineRule="exact"/>
              <w:rPr>
                <w:sz w:val="20"/>
                <w:szCs w:val="20"/>
                <w:color w:val="auto"/>
              </w:rPr>
            </w:pPr>
            <w:r>
              <w:rPr>
                <w:rFonts w:ascii="Arial" w:cs="Arial" w:eastAsia="Arial" w:hAnsi="Arial"/>
                <w:sz w:val="18"/>
                <w:szCs w:val="18"/>
                <w:color w:val="auto"/>
                <w:w w:val="92"/>
              </w:rPr>
              <w:t>Adjustment to Anixter's historical expense related to debt fair value adjustment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800" w:type="dxa"/>
            <w:vAlign w:val="bottom"/>
          </w:tcPr>
          <w:p>
            <w:pPr>
              <w:ind w:left="180"/>
              <w:spacing w:after="0"/>
              <w:rPr>
                <w:sz w:val="20"/>
                <w:szCs w:val="20"/>
                <w:color w:val="auto"/>
              </w:rPr>
            </w:pPr>
            <w:r>
              <w:rPr>
                <w:rFonts w:ascii="Arial" w:cs="Arial" w:eastAsia="Arial" w:hAnsi="Arial"/>
                <w:sz w:val="18"/>
                <w:szCs w:val="18"/>
                <w:color w:val="auto"/>
              </w:rPr>
              <w:t>of</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800" w:type="dxa"/>
            <w:vAlign w:val="bottom"/>
          </w:tcPr>
          <w:p>
            <w:pPr>
              <w:ind w:left="180"/>
              <w:spacing w:after="0"/>
              <w:rPr>
                <w:sz w:val="20"/>
                <w:szCs w:val="20"/>
                <w:color w:val="auto"/>
              </w:rPr>
            </w:pPr>
            <w:r>
              <w:rPr>
                <w:rFonts w:ascii="Arial" w:cs="Arial" w:eastAsia="Arial" w:hAnsi="Arial"/>
                <w:sz w:val="18"/>
                <w:szCs w:val="18"/>
                <w:color w:val="auto"/>
              </w:rPr>
              <w:t>assumed notes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61"/>
              <w:spacing w:after="0"/>
              <w:rPr>
                <w:sz w:val="20"/>
                <w:szCs w:val="20"/>
                <w:color w:val="auto"/>
              </w:rPr>
            </w:pPr>
            <w:r>
              <w:rPr>
                <w:rFonts w:ascii="Arial" w:cs="Arial" w:eastAsia="Arial" w:hAnsi="Arial"/>
                <w:sz w:val="18"/>
                <w:szCs w:val="18"/>
                <w:color w:val="auto"/>
              </w:rPr>
              <w:t>287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gridSpan w:val="2"/>
          </w:tcPr>
          <w:p>
            <w:pPr>
              <w:jc w:val="right"/>
              <w:ind w:right="21"/>
              <w:spacing w:after="0"/>
              <w:rPr>
                <w:sz w:val="20"/>
                <w:szCs w:val="20"/>
                <w:color w:val="auto"/>
              </w:rPr>
            </w:pPr>
            <w:r>
              <w:rPr>
                <w:rFonts w:ascii="Arial" w:cs="Arial" w:eastAsia="Arial" w:hAnsi="Arial"/>
                <w:sz w:val="18"/>
                <w:szCs w:val="18"/>
                <w:color w:val="auto"/>
              </w:rPr>
              <w:t>287</w:t>
            </w:r>
          </w:p>
        </w:tc>
      </w:tr>
      <w:tr>
        <w:trPr>
          <w:trHeight w:val="223"/>
        </w:trPr>
        <w:tc>
          <w:tcPr>
            <w:tcW w:w="5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(15,397</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(70,645</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(67,252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5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Reversal of WESCO’s historical interest expense and amortization of debt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costs for the Existing ABL Facility</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(708)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(4,432)</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(3,825)</w:t>
            </w:r>
          </w:p>
        </w:tc>
      </w:tr>
      <w:tr>
        <w:trPr>
          <w:trHeight w:val="202"/>
        </w:trPr>
        <w:tc>
          <w:tcPr>
            <w:tcW w:w="5800" w:type="dxa"/>
            <w:vAlign w:val="bottom"/>
          </w:tcPr>
          <w:p>
            <w:pPr>
              <w:spacing w:after="0" w:line="201" w:lineRule="exact"/>
              <w:rPr>
                <w:sz w:val="20"/>
                <w:szCs w:val="20"/>
                <w:color w:val="auto"/>
              </w:rPr>
            </w:pPr>
            <w:r>
              <w:rPr>
                <w:rFonts w:ascii="Arial" w:cs="Arial" w:eastAsia="Arial" w:hAnsi="Arial"/>
                <w:sz w:val="18"/>
                <w:szCs w:val="18"/>
                <w:color w:val="auto"/>
                <w:w w:val="95"/>
              </w:rPr>
              <w:t>Interest expense and amortization of debt issuance costs related to the new</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800" w:type="dxa"/>
            <w:vAlign w:val="bottom"/>
          </w:tcPr>
          <w:p>
            <w:pPr>
              <w:ind w:left="180"/>
              <w:spacing w:after="0"/>
              <w:rPr>
                <w:sz w:val="20"/>
                <w:szCs w:val="20"/>
                <w:color w:val="auto"/>
              </w:rPr>
            </w:pPr>
            <w:r>
              <w:rPr>
                <w:rFonts w:ascii="Arial" w:cs="Arial" w:eastAsia="Arial" w:hAnsi="Arial"/>
                <w:sz w:val="18"/>
                <w:szCs w:val="18"/>
                <w:color w:val="auto"/>
              </w:rPr>
              <w:t>assumed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800" w:type="dxa"/>
            <w:vAlign w:val="bottom"/>
          </w:tcPr>
          <w:p>
            <w:pPr>
              <w:ind w:left="180"/>
              <w:spacing w:after="0"/>
              <w:rPr>
                <w:sz w:val="20"/>
                <w:szCs w:val="20"/>
                <w:color w:val="auto"/>
              </w:rPr>
            </w:pPr>
            <w:r>
              <w:rPr>
                <w:rFonts w:ascii="Arial" w:cs="Arial" w:eastAsia="Arial" w:hAnsi="Arial"/>
                <w:sz w:val="18"/>
                <w:szCs w:val="18"/>
                <w:color w:val="auto"/>
              </w:rPr>
              <w:t>debt structure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56,866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61"/>
              <w:spacing w:after="0"/>
              <w:rPr>
                <w:sz w:val="20"/>
                <w:szCs w:val="20"/>
                <w:color w:val="auto"/>
              </w:rPr>
            </w:pPr>
            <w:r>
              <w:rPr>
                <w:rFonts w:ascii="Arial" w:cs="Arial" w:eastAsia="Arial" w:hAnsi="Arial"/>
                <w:sz w:val="18"/>
                <w:szCs w:val="18"/>
                <w:color w:val="auto"/>
              </w:rPr>
              <w:t>227,461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gridSpan w:val="2"/>
          </w:tcPr>
          <w:p>
            <w:pPr>
              <w:jc w:val="right"/>
              <w:ind w:right="21"/>
              <w:spacing w:after="0"/>
              <w:rPr>
                <w:sz w:val="20"/>
                <w:szCs w:val="20"/>
                <w:color w:val="auto"/>
              </w:rPr>
            </w:pPr>
            <w:r>
              <w:rPr>
                <w:rFonts w:ascii="Arial" w:cs="Arial" w:eastAsia="Arial" w:hAnsi="Arial"/>
                <w:sz w:val="18"/>
                <w:szCs w:val="18"/>
                <w:color w:val="auto"/>
              </w:rPr>
              <w:t>227,461</w:t>
            </w:r>
          </w:p>
        </w:tc>
      </w:tr>
      <w:tr>
        <w:trPr>
          <w:trHeight w:val="223"/>
        </w:trPr>
        <w:tc>
          <w:tcPr>
            <w:tcW w:w="5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56,158</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223,029</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223,636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580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spacing w:after="0"/>
              <w:rPr>
                <w:sz w:val="19"/>
                <w:szCs w:val="19"/>
                <w:color w:val="auto"/>
              </w:rPr>
            </w:pPr>
          </w:p>
        </w:tc>
        <w:tc>
          <w:tcPr>
            <w:tcW w:w="260" w:type="dxa"/>
            <w:vAlign w:val="bottom"/>
            <w:gridSpan w:val="2"/>
          </w:tcPr>
          <w:p>
            <w:pPr>
              <w:spacing w:after="0"/>
              <w:rPr>
                <w:sz w:val="19"/>
                <w:szCs w:val="19"/>
                <w:color w:val="auto"/>
              </w:rPr>
            </w:pPr>
          </w:p>
        </w:tc>
        <w:tc>
          <w:tcPr>
            <w:tcW w:w="1640" w:type="dxa"/>
            <w:vAlign w:val="bottom"/>
            <w:gridSpan w:val="2"/>
          </w:tcPr>
          <w:p>
            <w:pPr>
              <w:spacing w:after="0"/>
              <w:rPr>
                <w:sz w:val="19"/>
                <w:szCs w:val="19"/>
                <w:color w:val="auto"/>
              </w:rPr>
            </w:pPr>
          </w:p>
        </w:tc>
      </w:tr>
      <w:tr>
        <w:trPr>
          <w:trHeight w:val="257"/>
        </w:trPr>
        <w:tc>
          <w:tcPr>
            <w:tcW w:w="5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incremental interest expense</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40,761</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152,384</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156,384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jc w:val="both"/>
        <w:ind w:left="340"/>
        <w:spacing w:after="0"/>
        <w:rPr>
          <w:sz w:val="20"/>
          <w:szCs w:val="20"/>
          <w:color w:val="auto"/>
        </w:rPr>
      </w:pPr>
      <w:r>
        <w:rPr>
          <w:rFonts w:ascii="Arial" w:cs="Arial" w:eastAsia="Arial" w:hAnsi="Arial"/>
          <w:sz w:val="22"/>
          <w:szCs w:val="22"/>
          <w:color w:val="auto"/>
        </w:rPr>
        <w:t>A one eighth percent change in the assumed interest rate of the new debt would increase or decrease the interest expense by $1.2 million, $4.7 million and $4.7 million for the three months ended March 31, 2020, year ended December 31, 2019 and twelve months ended March 31, 2020, respectively.</w:t>
      </w:r>
    </w:p>
    <w:p>
      <w:pPr>
        <w:spacing w:after="0" w:line="220" w:lineRule="exact"/>
        <w:rPr>
          <w:sz w:val="20"/>
          <w:szCs w:val="20"/>
          <w:color w:val="auto"/>
        </w:rPr>
      </w:pPr>
    </w:p>
    <w:p>
      <w:pPr>
        <w:jc w:val="both"/>
        <w:ind w:left="340" w:hanging="332"/>
        <w:spacing w:after="0" w:line="259"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pro forma income tax adjustments included in the pro forma statements of income for the three months ended March 31, 2020, year ended December 31, 2019 and twelve months ended March 31, 2020, respectively, reflect the income tax effects of the pro forma adjustments. The effective blended tax rate of the combined company could be significantly different from what has been used in these pro forma financial statements for a variety of reasons, including post-Merger activities.</w:t>
      </w:r>
    </w:p>
    <w:p>
      <w:pPr>
        <w:spacing w:after="0" w:line="213" w:lineRule="exact"/>
        <w:rPr>
          <w:rFonts w:ascii="Arial" w:cs="Arial" w:eastAsia="Arial" w:hAnsi="Arial"/>
          <w:sz w:val="18"/>
          <w:szCs w:val="18"/>
          <w:color w:val="auto"/>
        </w:rPr>
      </w:pPr>
    </w:p>
    <w:p>
      <w:pPr>
        <w:jc w:val="both"/>
        <w:ind w:left="340" w:hanging="332"/>
        <w:spacing w:after="0" w:line="254"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initial annual dividend rate for the WESCO Series A preferred stock has not yet been set. The initial annual dividend rate for the WESCO Series A preferred stock, based on the $25,000 liquidation preference per whole share of WESCO Series A preferred stock, will be set to equal (i) if no bridge loans have been incurred under WESCO’s bridge facility, the yield to maturity using the issue price for the longest duration notes to be issued to effect the Merger or (ii) if any bridge loans have been incurred under WESCO’s bridge facility, the highest yield to maturity using the issue price of such debt, plus a spread of 325 basis points. Following the consummation of the Merger, we expect that on an annual basis, in the aggregate, the WESCO Series A preferred stock dividend will be approximately $50 million to $60 million, depending on the dividend rate and the number of shares of WESCO Series A preferred stock issued.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1)"/>
      <w:numFmt w:val="lowerRoman"/>
      <w:start w:val="1"/>
    </w:lvl>
  </w:abstractNum>
  <w:abstractNum w:abstractNumId="10">
    <w:nsid w:val="3F2DBA31"/>
    <w:multiLevelType w:val="hybridMultilevel"/>
    <w:lvl w:ilvl="0">
      <w:lvlJc w:val="left"/>
      <w:lvlText w:val="(%1)"/>
      <w:numFmt w:val="lowerRoman"/>
      <w:start w:val="11"/>
    </w:lvl>
  </w:abstractNum>
  <w:abstractNum w:abstractNumId="11">
    <w:nsid w:val="7C83E458"/>
    <w:multiLevelType w:val="hybridMultilevel"/>
    <w:lvl w:ilvl="0">
      <w:lvlJc w:val="left"/>
      <w:lvlText w:val="%1)"/>
      <w:numFmt w:val="lowerLetter"/>
      <w:start w:val="1"/>
    </w:lvl>
  </w:abstractNum>
  <w:abstractNum w:abstractNumId="12">
    <w:nsid w:val="257130A3"/>
    <w:multiLevelType w:val="hybridMultilevel"/>
    <w:lvl w:ilvl="0">
      <w:lvlJc w:val="left"/>
      <w:lvlText w:val="%1)"/>
      <w:numFmt w:val="lowerLetter"/>
      <w:start w:val="2"/>
    </w:lvl>
    <w:lvl w:ilvl="1">
      <w:lvlJc w:val="left"/>
      <w:lvlText w:val="%2."/>
      <w:numFmt w:val="lowerRoman"/>
      <w:start w:val="1"/>
    </w:lvl>
  </w:abstractNum>
  <w:abstractNum w:abstractNumId="13">
    <w:nsid w:val="62BBD95A"/>
    <w:multiLevelType w:val="hybridMultilevel"/>
    <w:lvl w:ilvl="0">
      <w:lvlJc w:val="left"/>
      <w:lvlText w:val="%1"/>
      <w:numFmt w:val="lowerLetter"/>
      <w:start w:val="1"/>
    </w:lvl>
    <w:lvl w:ilvl="1">
      <w:lvlJc w:val="left"/>
      <w:lvlText w:val="%2."/>
      <w:numFmt w:val="lowerRoman"/>
      <w:start w:val="4"/>
    </w:lvl>
  </w:abstractNum>
  <w:abstractNum w:abstractNumId="14">
    <w:nsid w:val="436C6125"/>
    <w:multiLevelType w:val="hybridMultilevel"/>
    <w:lvl w:ilvl="0">
      <w:lvlJc w:val="left"/>
      <w:lvlText w:val="%1)"/>
      <w:numFmt w:val="lowerLetter"/>
      <w:start w:val="9"/>
    </w:lvl>
    <w:lvl w:ilvl="1">
      <w:lvlJc w:val="left"/>
      <w:lvlText w:val="%2."/>
      <w:numFmt w:val="lowerRoman"/>
      <w:start w:val="1"/>
    </w:lvl>
  </w:abstractNum>
  <w:abstractNum w:abstractNumId="15">
    <w:nsid w:val="628C895D"/>
    <w:multiLevelType w:val="hybridMultilevel"/>
    <w:lvl w:ilvl="0">
      <w:lvlJc w:val="left"/>
      <w:lvlText w:val="%1)"/>
      <w:numFmt w:val="lowerLetter"/>
      <w:start w:val="1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1)"/>
      <w:numFmt w:val="lowerLetter"/>
      <w:start w:val="13"/>
    </w:lvl>
  </w:abstractNum>
  <w:abstractNum w:abstractNumId="24">
    <w:nsid w:val="4353D0CD"/>
    <w:multiLevelType w:val="hybridMultilevel"/>
    <w:lvl w:ilvl="0">
      <w:lvlJc w:val="left"/>
      <w:lvlText w:val="%1)"/>
      <w:numFmt w:val="lowerLetter"/>
      <w:start w:val="16"/>
    </w:lvl>
  </w:abstractNum>
  <w:abstractNum w:abstractNumId="25">
    <w:nsid w:val="B03E0C6"/>
    <w:multiLevelType w:val="hybridMultilevel"/>
    <w:lvl w:ilvl="0">
      <w:lvlJc w:val="left"/>
      <w:lvlText w:val="%1)"/>
      <w:numFmt w:val="lowerLetter"/>
      <w:start w:val="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2020-05-26T06:16:31Z</dcterms:created>
  <dcterms:modified xsi:type="dcterms:W3CDTF">2020-05-26T06:16:31Z</dcterms:modified>
</cp:coreProperties>
</file>