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2025</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val="false"/>
          <w:color w:val="000000"/>
          <w:sz w:val="20"/>
        </w:rPr>
        <w:t xml:space="preserve">For the transition period from </w:t>
      </w:r>
      <w:r>
        <w:rPr>
          <w:color w:val="000000"/>
          <w:u w:val="single"/>
        </w:rPr>
        <w:t>                    </w:t>
      </w:r>
      <w:r>
        <w:rPr>
          <w:rFonts w:ascii="Times New Roman;sans-serif" w:hAnsi="Times New Roman;sans-serif"/>
          <w:b w:val="false"/>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60" w:after="283"/>
        <w:jc w:val="center"/>
        <w:rPr/>
      </w:pPr>
      <w:r>
        <w:rPr>
          <w:rFonts w:ascii="Times New Roman;sans-serif" w:hAnsi="Times New Roman;sans-serif"/>
          <w:b w:val="false"/>
          <w:color w:val="000000"/>
          <w:sz w:val="20"/>
        </w:rPr>
        <w:t>Commission File Number:</w:t>
      </w:r>
      <w:r>
        <w:rPr>
          <w:color w:val="000000"/>
        </w:rPr>
        <w:t xml:space="preserve"> </w:t>
      </w:r>
      <w:r>
        <w:rPr>
          <w:rFonts w:ascii="Times New Roman;sans-serif" w:hAnsi="Times New Roman;sans-serif"/>
          <w:b/>
          <w:color w:val="000000"/>
          <w:sz w:val="20"/>
        </w:rPr>
        <w:t xml:space="preserve">001-14989 </w:t>
      </w:r>
    </w:p>
    <w:p>
      <w:pPr>
        <w:pStyle w:val="TextBody"/>
        <w:bidi w:val="0"/>
        <w:spacing w:lineRule="auto" w:line="288" w:before="60" w:after="283"/>
        <w:jc w:val="center"/>
        <w:rPr>
          <w:rFonts w:ascii="Times New Roman;sans-serif" w:hAnsi="Times New Roman;sans-serif"/>
          <w:b/>
          <w:color w:val="000000"/>
          <w:sz w:val="40"/>
        </w:rPr>
      </w:pPr>
      <w:r>
        <w:rPr>
          <w:rFonts w:ascii="Times New Roman;sans-serif" w:hAnsi="Times New Roman;sans-serif"/>
          <w:b/>
          <w:color w:val="000000"/>
          <w:sz w:val="40"/>
        </w:rPr>
        <w:t>WESCO International, Inc.</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704" w:type="dxa"/>
        <w:jc w:val="center"/>
        <w:tblInd w:w="0" w:type="dxa"/>
        <w:tblLayout w:type="fixed"/>
        <w:tblCellMar>
          <w:top w:w="28" w:type="dxa"/>
          <w:left w:w="28" w:type="dxa"/>
          <w:bottom w:w="28" w:type="dxa"/>
          <w:right w:w="28" w:type="dxa"/>
        </w:tblCellMar>
      </w:tblPr>
      <w:tblGrid>
        <w:gridCol w:w="538"/>
        <w:gridCol w:w="474"/>
        <w:gridCol w:w="474"/>
        <w:gridCol w:w="474"/>
        <w:gridCol w:w="474"/>
        <w:gridCol w:w="488"/>
        <w:gridCol w:w="109"/>
        <w:gridCol w:w="109"/>
        <w:gridCol w:w="109"/>
        <w:gridCol w:w="424"/>
        <w:gridCol w:w="424"/>
        <w:gridCol w:w="607"/>
      </w:tblGrid>
      <w:tr>
        <w:trPr/>
        <w:tc>
          <w:tcPr>
            <w:tcW w:w="5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25-1723342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225 West Station Square Drive</w:t>
              <w:br/>
              <w:t>Suite 700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15219</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Pittsburgh,</w:t>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(412) 454-2200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319"/>
        <w:gridCol w:w="1893"/>
        <w:gridCol w:w="1896"/>
        <w:gridCol w:w="109"/>
        <w:gridCol w:w="109"/>
        <w:gridCol w:w="109"/>
        <w:gridCol w:w="408"/>
        <w:gridCol w:w="408"/>
        <w:gridCol w:w="409"/>
        <w:gridCol w:w="109"/>
        <w:gridCol w:w="109"/>
        <w:gridCol w:w="109"/>
        <w:gridCol w:w="648"/>
        <w:gridCol w:w="648"/>
        <w:gridCol w:w="922"/>
      </w:tblGrid>
      <w:tr>
        <w:trPr/>
        <w:tc>
          <w:tcPr>
            <w:tcW w:w="231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6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Exchange on which registered</w:t>
            </w:r>
          </w:p>
        </w:tc>
      </w:tr>
      <w:tr>
        <w:trPr/>
        <w:tc>
          <w:tcPr>
            <w:tcW w:w="6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6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Depositary Shares, each representing a 1/1,000th interest in a share of Series A Fixed-Rate Reset Cumulative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WCC PR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ind w:left="0" w:right="0" w:firstLine="315"/>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15"/>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375"/>
        <w:gridCol w:w="1081"/>
        <w:gridCol w:w="1029"/>
        <w:gridCol w:w="215"/>
        <w:gridCol w:w="215"/>
        <w:gridCol w:w="215"/>
        <w:gridCol w:w="215"/>
        <w:gridCol w:w="215"/>
        <w:gridCol w:w="215"/>
        <w:gridCol w:w="215"/>
        <w:gridCol w:w="215"/>
        <w:gridCol w:w="215"/>
        <w:gridCol w:w="215"/>
        <w:gridCol w:w="215"/>
        <w:gridCol w:w="215"/>
        <w:gridCol w:w="1252"/>
        <w:gridCol w:w="1252"/>
        <w:gridCol w:w="1256"/>
        <w:gridCol w:w="109"/>
        <w:gridCol w:w="109"/>
        <w:gridCol w:w="162"/>
      </w:tblGrid>
      <w:tr>
        <w:trPr/>
        <w:tc>
          <w:tcPr>
            <w:tcW w:w="13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8"/>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6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2025, 48,803,692 shares of common stock, $0.01 par value,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06" w:type="dxa"/>
        <w:jc w:val="center"/>
        <w:tblInd w:w="0" w:type="dxa"/>
        <w:tblLayout w:type="fixed"/>
        <w:tblCellMar>
          <w:top w:w="28" w:type="dxa"/>
          <w:left w:w="28" w:type="dxa"/>
          <w:bottom w:w="28" w:type="dxa"/>
          <w:right w:w="28" w:type="dxa"/>
        </w:tblCellMar>
      </w:tblPr>
      <w:tblGrid>
        <w:gridCol w:w="2896"/>
        <w:gridCol w:w="2545"/>
        <w:gridCol w:w="2554"/>
        <w:gridCol w:w="149"/>
        <w:gridCol w:w="149"/>
        <w:gridCol w:w="213"/>
      </w:tblGrid>
      <w:tr>
        <w:trPr/>
        <w:tc>
          <w:tcPr>
            <w:tcW w:w="2896"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3">
              <w:r>
                <w:rPr>
                  <w:rStyle w:val="InternetLink"/>
                  <w:rFonts w:ascii="Times New Roman;sans-serif" w:hAnsi="Times New Roman;sans-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3">
              <w:r>
                <w:rPr>
                  <w:rStyle w:val="InternetLink"/>
                  <w:rFonts w:ascii="Times New Roman;sans-serif" w:hAnsi="Times New Roman;sans-serif"/>
                  <w:b w:val="false"/>
                  <w:color w:val="0000FF"/>
                  <w:sz w:val="20"/>
                  <w:u w:val="single"/>
                </w:rPr>
                <w:t>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261">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261">
              <w:r>
                <w:rPr>
                  <w:rStyle w:val="InternetLink"/>
                  <w:rFonts w:ascii="Times New Roman;sans-serif" w:hAnsi="Times New Roman;sans-serif"/>
                  <w:b w:val="false"/>
                  <w:color w:val="0000FF"/>
                  <w:sz w:val="20"/>
                  <w:u w:val="single"/>
                </w:rPr>
                <w:t>22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06">
              <w:r>
                <w:rPr>
                  <w:rStyle w:val="InternetLink"/>
                  <w:rFonts w:ascii="Times New Roman;sans-serif" w:hAnsi="Times New Roman;sans-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06">
              <w:r>
                <w:rPr>
                  <w:rStyle w:val="InternetLink"/>
                  <w:rFonts w:ascii="Times New Roman;sans-serif" w:hAnsi="Times New Roman;sans-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09">
              <w:r>
                <w:rPr>
                  <w:rStyle w:val="InternetLink"/>
                  <w:rFonts w:ascii="Times New Roman;sans-serif" w:hAnsi="Times New Roman;sans-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09">
              <w:r>
                <w:rPr>
                  <w:rStyle w:val="InternetLink"/>
                  <w:rFonts w:ascii="Times New Roman;sans-serif" w:hAnsi="Times New Roman;sans-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15">
              <w:r>
                <w:rPr>
                  <w:rStyle w:val="InternetLink"/>
                  <w:rFonts w:ascii="Times New Roman;sans-serif" w:hAnsi="Times New Roman;sans-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15">
              <w:r>
                <w:rPr>
                  <w:rStyle w:val="InternetLink"/>
                  <w:rFonts w:ascii="Times New Roman;sans-serif" w:hAnsi="Times New Roman;sans-serif"/>
                  <w:b w:val="false"/>
                  <w:color w:val="0000FF"/>
                  <w:sz w:val="20"/>
                  <w:u w:val="singl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18">
              <w:r>
                <w:rPr>
                  <w:rStyle w:val="InternetLink"/>
                  <w:rFonts w:ascii="Times New Roman;sans-serif" w:hAnsi="Times New Roman;sans-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18">
              <w:r>
                <w:rPr>
                  <w:rStyle w:val="InternetLink"/>
                  <w:rFonts w:ascii="Times New Roman;sans-serif" w:hAnsi="Times New Roman;sans-serif"/>
                  <w:b w:val="false"/>
                  <w:color w:val="0000FF"/>
                  <w:sz w:val="20"/>
                  <w:u w:val="singl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21">
              <w:r>
                <w:rPr>
                  <w:rStyle w:val="InternetLink"/>
                  <w:rFonts w:ascii="Times New Roman;sans-serif" w:hAnsi="Times New Roman;sans-serif"/>
                  <w:b w:val="false"/>
                  <w:color w:val="000080"/>
                  <w:sz w:val="20"/>
                  <w:u w:val="single"/>
                </w:rPr>
                <w:t xml:space="preserve">Item 2. Unregistered Sales of Equity Securities and Use of </w:t>
              </w:r>
            </w:hyperlink>
            <w:hyperlink w:anchor="i06cf80ae8bc9449b871cea12d3c1755c_121">
              <w:r>
                <w:rPr>
                  <w:rStyle w:val="InternetLink"/>
                  <w:rFonts w:ascii="Times New Roman;sans-serif" w:hAnsi="Times New Roman;sans-serif"/>
                  <w:b w:val="false"/>
                  <w:color w:val="000080"/>
                  <w:sz w:val="20"/>
                  <w:u w:val="single"/>
                </w:rPr>
                <w:t>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21">
              <w:r>
                <w:rPr>
                  <w:rStyle w:val="InternetLink"/>
                  <w:rFonts w:ascii="Times New Roman;sans-serif" w:hAnsi="Times New Roman;sans-serif"/>
                  <w:b w:val="false"/>
                  <w:color w:val="0000FF"/>
                  <w:sz w:val="20"/>
                  <w:u w:val="singl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27">
              <w:r>
                <w:rPr>
                  <w:rStyle w:val="InternetLink"/>
                  <w:rFonts w:ascii="Times New Roman;sans-serif" w:hAnsi="Times New Roman;sans-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27">
              <w:r>
                <w:rPr>
                  <w:rStyle w:val="InternetLink"/>
                  <w:rFonts w:ascii="Times New Roman;sans-serif" w:hAnsi="Times New Roman;sans-serif"/>
                  <w:b w:val="false"/>
                  <w:color w:val="0000FF"/>
                  <w:sz w:val="20"/>
                  <w:u w:val="singl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30">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30">
              <w:r>
                <w:rPr>
                  <w:rStyle w:val="InternetLink"/>
                  <w:rFonts w:ascii="Times New Roman;sans-serif" w:hAnsi="Times New Roman;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12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interim financial information required by this item is set forth in the unaudited Condensed Consolidated Financial Statements and Notes thereto in this Quarterly Report on Form 10-Q, as follows:</w:t>
      </w:r>
    </w:p>
    <w:tbl>
      <w:tblPr>
        <w:tblW w:w="7800" w:type="dxa"/>
        <w:jc w:val="left"/>
        <w:tblInd w:w="0" w:type="dxa"/>
        <w:tblLayout w:type="fixed"/>
        <w:tblCellMar>
          <w:top w:w="28" w:type="dxa"/>
          <w:left w:w="28" w:type="dxa"/>
          <w:bottom w:w="28" w:type="dxa"/>
          <w:right w:w="28" w:type="dxa"/>
        </w:tblCellMar>
      </w:tblPr>
      <w:tblGrid>
        <w:gridCol w:w="2626"/>
        <w:gridCol w:w="2311"/>
        <w:gridCol w:w="2322"/>
        <w:gridCol w:w="158"/>
        <w:gridCol w:w="158"/>
        <w:gridCol w:w="225"/>
      </w:tblGrid>
      <w:tr>
        <w:trPr/>
        <w:tc>
          <w:tcPr>
            <w:tcW w:w="262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6">
              <w:r>
                <w:rPr>
                  <w:rStyle w:val="InternetLink"/>
                  <w:rFonts w:ascii="Times New Roman;sans-serif" w:hAnsi="Times New Roman;sans-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6">
              <w:r>
                <w:rPr>
                  <w:rStyle w:val="InternetLink"/>
                  <w:rFonts w:ascii="Times New Roman;sans-serif" w:hAnsi="Times New Roman;sans-serif"/>
                  <w:b w:val="false"/>
                  <w:color w:val="0000FF"/>
                  <w:sz w:val="20"/>
                  <w:u w:val="single"/>
                </w:rPr>
                <w:t>3</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19">
              <w:r>
                <w:rPr>
                  <w:rStyle w:val="InternetLink"/>
                  <w:rFonts w:ascii="Times New Roman;sans-serif" w:hAnsi="Times New Roman;sans-serif"/>
                  <w:b w:val="false"/>
                  <w:color w:val="0000FF"/>
                  <w:sz w:val="20"/>
                  <w:u w:val="single"/>
                </w:rPr>
                <w:t>Condensed Consolidated Statements of Income and Comprehensive Income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19">
              <w:r>
                <w:rPr>
                  <w:rStyle w:val="InternetLink"/>
                  <w:rFonts w:ascii="Times New Roman;sans-serif" w:hAnsi="Times New Roman;sans-serif"/>
                  <w:b w:val="false"/>
                  <w:color w:val="0000FF"/>
                  <w:sz w:val="20"/>
                  <w:u w:val="single"/>
                </w:rPr>
                <w:t>4</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22">
              <w:r>
                <w:rPr>
                  <w:rStyle w:val="InternetLink"/>
                  <w:rFonts w:ascii="Times New Roman;sans-serif" w:hAnsi="Times New Roman;sans-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22">
              <w:r>
                <w:rPr>
                  <w:rStyle w:val="InternetLink"/>
                  <w:rFonts w:ascii="Times New Roman;sans-serif" w:hAnsi="Times New Roman;sans-serif"/>
                  <w:b w:val="false"/>
                  <w:color w:val="0000FF"/>
                  <w:sz w:val="20"/>
                  <w:u w:val="single"/>
                </w:rPr>
                <w:t>5</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25">
              <w:r>
                <w:rPr>
                  <w:rStyle w:val="InternetLink"/>
                  <w:rFonts w:ascii="Times New Roman;sans-serif" w:hAnsi="Times New Roman;sans-serif"/>
                  <w:b w:val="false"/>
                  <w:color w:val="0000FF"/>
                  <w:sz w:val="20"/>
                  <w:u w:val="single"/>
                </w:rPr>
                <w:t>Condensed Consolidated Statements of Stockholders’ Equity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25">
              <w:r>
                <w:rPr>
                  <w:rStyle w:val="InternetLink"/>
                  <w:rFonts w:ascii="Times New Roman;sans-serif" w:hAnsi="Times New Roman;sans-serif"/>
                  <w:b w:val="false"/>
                  <w:color w:val="0000FF"/>
                  <w:sz w:val="20"/>
                  <w:u w:val="single"/>
                </w:rPr>
                <w:t>6</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f80ae8bc9449b871cea12d3c1755c_28">
              <w:r>
                <w:rPr>
                  <w:rStyle w:val="InternetLink"/>
                  <w:rFonts w:ascii="Times New Roman;sans-serif" w:hAnsi="Times New Roman;sans-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cf80ae8bc9449b871cea12d3c1755c_28">
              <w:r>
                <w:rPr>
                  <w:rStyle w:val="InternetLink"/>
                  <w:rFonts w:ascii="Times New Roman;sans-serif" w:hAnsi="Times New Roman;sans-serif"/>
                  <w:b w:val="false"/>
                  <w:color w:val="0000FF"/>
                  <w:sz w:val="20"/>
                  <w:u w:val="single"/>
                </w:rPr>
                <w:t>7</w:t>
              </w:r>
            </w:hyperlink>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54"/>
        <w:gridCol w:w="2285"/>
        <w:gridCol w:w="2282"/>
        <w:gridCol w:w="211"/>
        <w:gridCol w:w="871"/>
        <w:gridCol w:w="109"/>
        <w:gridCol w:w="109"/>
        <w:gridCol w:w="109"/>
        <w:gridCol w:w="109"/>
        <w:gridCol w:w="215"/>
        <w:gridCol w:w="892"/>
        <w:gridCol w:w="159"/>
      </w:tblGrid>
      <w:tr>
        <w:trPr/>
        <w:tc>
          <w:tcPr>
            <w:tcW w:w="2854"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 of allowance for expected credit losses of $62.6 and $55.0 in 2025 and 2024,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buildings and equipment, net of accumulated depreciation of $574.5 and $554.1 in 2025 and 2024,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assets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 and 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debt discount and debt issuance costs of $57.9 and $47.2 in 2025 and 2024,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20,000,000 shares authorized, no shares issued or outstanding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Series A, $.01 par value; 25,000 shares authorized, 21,612 shares issued and outstanding in 2025 and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210,000,000 shares authorized, 69,795,165 and 69,627,398 shares issued, and 48,800,081 and 48,790,595 shares outstanding in 2025 and 2024,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nonvoting convertible common stock, $.01 par value; 20,000,000 shares authorized, 4,339,431 issued and no shares outstanding in 2025 and 2024,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25,334,515 and 25,176,234 shares in 2025 and 2024,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WESCO International, Inc.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15,061.4 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160" w:type="dxa"/>
        <w:jc w:val="center"/>
        <w:tblInd w:w="0" w:type="dxa"/>
        <w:tblLayout w:type="fixed"/>
        <w:tblCellMar>
          <w:top w:w="28" w:type="dxa"/>
          <w:left w:w="28" w:type="dxa"/>
          <w:bottom w:w="28" w:type="dxa"/>
          <w:right w:w="28" w:type="dxa"/>
        </w:tblCellMar>
      </w:tblPr>
      <w:tblGrid>
        <w:gridCol w:w="2234"/>
        <w:gridCol w:w="1957"/>
        <w:gridCol w:w="1989"/>
        <w:gridCol w:w="211"/>
        <w:gridCol w:w="766"/>
        <w:gridCol w:w="109"/>
        <w:gridCol w:w="109"/>
        <w:gridCol w:w="109"/>
        <w:gridCol w:w="109"/>
        <w:gridCol w:w="211"/>
        <w:gridCol w:w="766"/>
        <w:gridCol w:w="109"/>
        <w:gridCol w:w="109"/>
        <w:gridCol w:w="109"/>
        <w:gridCol w:w="109"/>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(excluding 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WESCO International, Inc.</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 adjustments,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989" w:type="dxa"/>
        <w:jc w:val="center"/>
        <w:tblInd w:w="0" w:type="dxa"/>
        <w:tblLayout w:type="fixed"/>
        <w:tblCellMar>
          <w:top w:w="28" w:type="dxa"/>
          <w:left w:w="28" w:type="dxa"/>
          <w:bottom w:w="28" w:type="dxa"/>
          <w:right w:w="28" w:type="dxa"/>
        </w:tblCellMar>
      </w:tblPr>
      <w:tblGrid>
        <w:gridCol w:w="2435"/>
        <w:gridCol w:w="2135"/>
        <w:gridCol w:w="2149"/>
        <w:gridCol w:w="214"/>
        <w:gridCol w:w="626"/>
        <w:gridCol w:w="109"/>
        <w:gridCol w:w="109"/>
        <w:gridCol w:w="109"/>
        <w:gridCol w:w="109"/>
        <w:gridCol w:w="214"/>
        <w:gridCol w:w="6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cost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accounts receivable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 costs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payments, net of cash acquired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related to net-share settlement of equity awards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common stock dividends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stock dividends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period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 except shares)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8249" w:type="dxa"/>
        <w:jc w:val="center"/>
        <w:tblInd w:w="0" w:type="dxa"/>
        <w:tblLayout w:type="fixed"/>
        <w:tblCellMar>
          <w:top w:w="28" w:type="dxa"/>
          <w:left w:w="28" w:type="dxa"/>
          <w:bottom w:w="28" w:type="dxa"/>
          <w:right w:w="28" w:type="dxa"/>
        </w:tblCellMar>
      </w:tblPr>
      <w:tblGrid>
        <w:gridCol w:w="716"/>
        <w:gridCol w:w="234"/>
        <w:gridCol w:w="236"/>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323"/>
        <w:gridCol w:w="323"/>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272"/>
        <w:gridCol w:w="792"/>
        <w:gridCol w:w="152"/>
        <w:gridCol w:w="327"/>
        <w:gridCol w:w="196"/>
        <w:gridCol w:w="69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69,627,398 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(25,176,234)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attributable to WESCO International,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69,795,165 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4,339,431 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21,612 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(25,334,515)</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(531.4)</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5,030.1 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8249" w:type="dxa"/>
        <w:jc w:val="center"/>
        <w:tblInd w:w="0" w:type="dxa"/>
        <w:tblLayout w:type="fixed"/>
        <w:tblCellMar>
          <w:top w:w="28" w:type="dxa"/>
          <w:left w:w="28" w:type="dxa"/>
          <w:bottom w:w="28" w:type="dxa"/>
          <w:right w:w="28" w:type="dxa"/>
        </w:tblCellMar>
      </w:tblPr>
      <w:tblGrid>
        <w:gridCol w:w="716"/>
        <w:gridCol w:w="234"/>
        <w:gridCol w:w="236"/>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323"/>
        <w:gridCol w:w="323"/>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272"/>
        <w:gridCol w:w="792"/>
        <w:gridCol w:w="152"/>
        <w:gridCol w:w="327"/>
        <w:gridCol w:w="196"/>
        <w:gridCol w:w="69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69,278,677 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(22,720,986)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(343,147)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(156,850)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attributable to WESCO International,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69,551,438 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4,339,431 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21,612 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(23,069,535)</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(401.7)</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International, Inc. (“Wesco International”) and its subsidiaries (collectively, “Wesco” or the “Company”), headquartered in Pittsburgh, Pennsylvania, is a leading provider of business-to-business distribution, logistics services and supply chain solutions.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segments comprising three strategic business units consisting of Electrical &amp; Electronic Solutions (“EES”), Communications &amp; Security Solutions (“CSS”) and Utility &amp; Broadband Solutions (“UBS”).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ACCOUNTING POLICIES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Wesco have been prepared in accordance with Rule 10-01 of Regulation S-X of the Securities and Exchange Commission (the “SEC”). The unaudited condensed consolidated financial information should be read in conjunction with the audited Consolidated Financial Statements and Notes thereto included in WESCO International, Inc.’s Annual Report on Form 10-K for the year ended December 31, 2024, as filed with the SEC on February 14, 2025. The Condensed Consolidated Balance Sheet at December 31, 2024 was derived from the audited Consolidated Financial Statements as of that date, but does not include all the disclosures required by accounting principles generally accepted in the United States of America.</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Balance Sheet as of March 31, 2025, the unaudited Condensed Consolidated Statements of Income and Comprehensive Income, the unaudited Condensed Consolidated Statements of Stockholders’ Equity, and the unaudited Condensed Consolidated Statements of Cash Flows for the three months ended March 31, 2025 and 2024, respectively, in the opinion of management, have been prepared on the same basis as the audited Consolidated Financial Statements and include all adjustments necessary for the fair statement of the results of the interim periods presented herein. All adjustments reflected in the unaudited condensed consolidated financial information are of a normal recurring nature unless indicated. The results for the interim periods presented herein are not necessarily indicative of the results to be expected for the full year.</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Statement of Cash Flows for the three months ended March 31, 2024, includes certain reclassifications to previously reported amounts to conform to the current period's presentation. Such reclassifications had no impact on the totals of operating, investing and financing cash flow activities.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a portion of the EES reportable segment was moved to the CSS reportable segment as a result of operational realignment. The reportable segment financial information for the three months ended March 31, 2024 has been recast to conform to the current year presentation. The recast does not impact previously reported condensed consolidated results. Refer to Note 14, “Business Segments” for the recasted segment disclosures.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and Recently Issued Accounting Standards and Disclosure Rules</w:t>
      </w:r>
    </w:p>
    <w:p>
      <w:pPr>
        <w:pStyle w:val="TextBody"/>
        <w:bidi w:val="0"/>
        <w:spacing w:lineRule="auto" w:line="288" w:before="120" w:after="120"/>
        <w:ind w:left="0" w:right="0" w:firstLine="270"/>
        <w:jc w:val="both"/>
        <w:rPr/>
      </w:pPr>
      <w:r>
        <w:rPr>
          <w:rFonts w:ascii="Times New Roman;sans-serif" w:hAnsi="Times New Roman;sans-serif"/>
          <w:b w:val="false"/>
          <w:color w:val="000000"/>
          <w:sz w:val="20"/>
        </w:rPr>
        <w:t>In November 2023, the Financial Accounting Standards Board (the “FASB”) issued Accounting Standards Update (“ASU”) 2023-07,</w:t>
      </w:r>
      <w:r>
        <w:rPr>
          <w:color w:val="000000"/>
        </w:rPr>
        <w:t xml:space="preserve">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which enhances prior reportable segment disclosure requirements in part by requiring entities to disclose significant expenses related to their reportable segments. The amendments in this ASU were effective on a retrospective basis for annual periods beginning after December 15, 2023 and interim periods within fiscal years beginning after December 15, 2024. The Company adopted the annual disclosure requirements of this ASU in the fourth quarter of 2024 and the interim disclosure requirements in the first quarter of 2025. The adoption of this ASU resulted in additional required disclosures, including the disclosure of certain expenses at the reportable segment level, described further in Note 14, “Business Segments”.</w:t>
      </w:r>
    </w:p>
    <w:p>
      <w:pPr>
        <w:pStyle w:val="TextBody"/>
        <w:bidi w:val="0"/>
        <w:spacing w:lineRule="auto" w:line="288" w:before="120" w:after="120"/>
        <w:ind w:left="0" w:right="0" w:firstLine="270"/>
        <w:jc w:val="both"/>
        <w:rPr/>
      </w:pPr>
      <w:r>
        <w:rPr>
          <w:rFonts w:ascii="Times New Roman;sans-serif" w:hAnsi="Times New Roman;sans-serif"/>
          <w:b w:val="false"/>
          <w:color w:val="000000"/>
          <w:sz w:val="20"/>
        </w:rPr>
        <w:t>In December 2023, the FASB issued ASU 2023-09,</w:t>
      </w:r>
      <w:r>
        <w:rPr>
          <w:color w:val="000000"/>
        </w:rPr>
        <w:t xml:space="preserve">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i/>
          <w:color w:val="000000"/>
          <w:sz w:val="20"/>
        </w:rPr>
        <w:t xml:space="preserve">(Topic 740): Improvements to Income Tax Disclosures, </w:t>
      </w:r>
      <w:r>
        <w:rPr>
          <w:rFonts w:ascii="Times New Roman;sans-serif" w:hAnsi="Times New Roman;sans-serif"/>
          <w:b w:val="false"/>
          <w:color w:val="000000"/>
          <w:sz w:val="20"/>
        </w:rPr>
        <w:t>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however, retrospective application is permitted. Management is currently evaluating the impact that this accounting standard will have on its consolidated financial statements and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120"/>
        <w:ind w:left="0" w:right="0" w:firstLine="27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xml:space="preserve">, which is intended to enhance expense disclosures, primarily by requiring disclosure of 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may be applied prospectively or retrospectively. Management is currently evaluating the impact that this accounting standard will have on its consolidated financial statements and notes thereto. </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Other pronouncements issued by the FASB or other authoritative accounting standards groups with future effective dates are either not applicable or are not expected to be material to Wesco’s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bidi w:val="0"/>
        <w:spacing w:lineRule="auto" w:line="288" w:before="18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distributes products and provides services to customers globally in various end markets within its business segments. The segments operate in the United States, Canada and various other countries.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Wesco’s net sales by geography for the periods presented:</w:t>
      </w:r>
    </w:p>
    <w:tbl>
      <w:tblPr>
        <w:tblW w:w="4870" w:type="dxa"/>
        <w:jc w:val="center"/>
        <w:tblInd w:w="0" w:type="dxa"/>
        <w:tblLayout w:type="fixed"/>
        <w:tblCellMar>
          <w:top w:w="28" w:type="dxa"/>
          <w:left w:w="28" w:type="dxa"/>
          <w:bottom w:w="28" w:type="dxa"/>
          <w:right w:w="28" w:type="dxa"/>
        </w:tblCellMar>
      </w:tblPr>
      <w:tblGrid>
        <w:gridCol w:w="750"/>
        <w:gridCol w:w="569"/>
        <w:gridCol w:w="571"/>
        <w:gridCol w:w="211"/>
        <w:gridCol w:w="766"/>
        <w:gridCol w:w="109"/>
        <w:gridCol w:w="109"/>
        <w:gridCol w:w="109"/>
        <w:gridCol w:w="109"/>
        <w:gridCol w:w="211"/>
        <w:gridCol w:w="766"/>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Canada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International</w:t>
            </w:r>
            <w:r>
              <w:rPr>
                <w:rFonts w:ascii="Times New Roman;sans-serif" w:hAnsi="Times New Roman;sans-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by geography</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No individual country's net sales are greater than 10% of total net sales.</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Wesco attributes revenues from external customers to individual countries on the basis of point of sale.</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Deferred revenue is generally recognized within a year or less from the date of the advance billing or payment receipt. At March 31, 2025 and December 31, 2024, $119.5 million and $141.8 million, respectively, of deferred revenue was recorded as a component of other current liabilities in the Condensed Consolidated Balance Sheets. The Company recognized $57.4 million and $42.8 million of revenue during the three months ended March 31, 2025 and 2024, respectively, that was included in the deferred revenue balances as of December 31, 2024 and 2023, respectively.</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by approximately $113.0 million and $110.8 million, for the three months ended March 31, 2025 and 2024, respectively. As of March 31, 2025 and December 31, 2024, the Company's estimated product return obligation was $41.8 million and $41.0 million, respectively.</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Billings to customers for shipping and handling are recognized in net sales. Wesco has elected to recognize shipping and handling costs as a fulfillment cost. Shipping and handling costs recorded as a component of selling, general and administrative expenses totaled $76.5 million and $69.6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Industrial Software Solutions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2025, the Company acquired 100% of the equity securities of Industrial Software Solutions I, Inc. and Industrial Software Solutions ULC (collectively, “ISS”), an industrial automation consulting company, software distributor, and AVEVA Select Partner, for total cash consideration of $35.2 million, net of cash acquired. The assets acquired primarily included a distribution agreement intangible asset and a customer relationships intangible asset, with fair values of $10.6 million and $5.0 million, respectively, based on income valuation methods, with the excess of $19.1 million primarily allocated to goodwill in the Company’s EES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Ascent, LLC</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2024, through its wholly-owned subsidiary Anixter Inc., the Company acquired 100% of the equity securities of Ascent, LLC (“Ascent”). Headquartered in St. Louis, Missouri, Ascent is a provider of data center facility management services with more than 300 employees in the U.S. and Canada. Ascent’s expertise in engineering and design-build consultation services, in addition to daily site operations and critical facility intelligence software, extends the Company’s suite of capabilities and solutions that serve the entire lifecycle of the data center. The Company funded the purchase price paid at closing with cash on hand as well as borrowings under its revolving credit facility. The total fair value of consideration transferred for the acquisition of Ascent consisted of $179.5 million, net of cash acquired.</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preliminary purchase consideration was allocated to the identified assets acquired and liabilities assumed based on their respective acquisition date fair value, with the excess allocated to goodwill. The Company identified a customer relationship intangible asset and estimated its fair value using an income valuation method. The excess purchase consideration recorded as goodwill is not deductible for income tax purposes, and has been assigned to the Company’s CSS reportable segment. The resulting goodwill is primarily attributable to Ascent’s workforce and expertise in engineering and design-build consultation services. </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assets acquired and liabilities assumed are based on preliminary calculations and valuations using estimates and assumptions at the time of acquisition. As the Company obtains additional information during the measurement period (not to exceed one year from the acquisition date), estimates and assumptions for the preliminary purchase consideration allocations may change materially. Since the initial measurement of the identified assets acquired and liabilities assumed, the Company has not recorded any material fair value adjustments.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preliminary allocation of the purchase consideration to the respective fair values of assets acquired and liabilities assumed for the acquisition of Ascent:</w:t>
      </w:r>
    </w:p>
    <w:tbl>
      <w:tblPr>
        <w:tblW w:w="7485" w:type="dxa"/>
        <w:jc w:val="center"/>
        <w:tblInd w:w="0" w:type="dxa"/>
        <w:tblLayout w:type="fixed"/>
        <w:tblCellMar>
          <w:top w:w="28" w:type="dxa"/>
          <w:left w:w="28" w:type="dxa"/>
          <w:bottom w:w="28" w:type="dxa"/>
          <w:right w:w="28" w:type="dxa"/>
        </w:tblCellMar>
      </w:tblPr>
      <w:tblGrid>
        <w:gridCol w:w="2179"/>
        <w:gridCol w:w="1917"/>
        <w:gridCol w:w="1933"/>
        <w:gridCol w:w="220"/>
        <w:gridCol w:w="642"/>
        <w:gridCol w:w="113"/>
        <w:gridCol w:w="109"/>
        <w:gridCol w:w="109"/>
        <w:gridCol w:w="109"/>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 asset</w:t>
            </w:r>
            <w:r>
              <w:rPr>
                <w:rFonts w:ascii="Times New Roman;sans-serif" w:hAnsi="Times New Roman;sans-serif"/>
                <w:b w:val="false"/>
                <w:color w:val="000000"/>
                <w:sz w:val="13"/>
              </w:rPr>
              <w:t>(1)</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 costs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 including goodwill and intangible asset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Consists of a customer relationship intangible asset with an estimated useful life of 15 years.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Independent Electric Supply Inc.</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1, 2024, the Company acquired 100% of the equity securities of Independent Electric Supply Inc. (“IES”), a full-line electrical distributor headquartered in Ontario, Canada for $13.2 million, net of cash acquired.</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entroCIM</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June 3, 2024, the Company acquired the assets and liabilities held by Warez, LLC and Hepta Systems, LLC, which own and operate the entroCIM business (collectively, “entroCIM”). entroCIM is an innovator in data center and building intelligence software. The total fair value of consideration for the acquisition of entroCIM of $36.5 million includes total cash consideration of $30.1 million, net of cash acquired, and contingent consideration not to exceed $8.0 million. The preliminary purchase consideration was primarily allocated to a developed software intangible asset with an estimated fair value of $8.0 million based on an income valuation method, with the excess of $29.0 million allocated to goodwill in the Company’s CSS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Wesco Integrated Supply (“WIS”) Divestiture</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2024, Wesco Distribution, Inc. (“Wesco Distribution”) completed the sale of its WIS business for total consideration of $354.9 million, which was adjusted for net working capital, closing cash, and closing indebtedness. The WIS business, located primarily in the U.S. and Canada, was part of the UBS reportable segment and provided products and services to large industrial and commercial end-users to support their maintenance, repair, and operating spend. The Company recognized a gain from the sale of $122.2 million, which was recorded as a component of other (income) expense, net in the Consolidated Statement of Income and Comprehensive Income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carrying value of goodwill by reportable segment for the period presented:</w:t>
      </w:r>
    </w:p>
    <w:tbl>
      <w:tblPr>
        <w:tblW w:w="8655" w:type="dxa"/>
        <w:jc w:val="center"/>
        <w:tblInd w:w="0" w:type="dxa"/>
        <w:tblLayout w:type="fixed"/>
        <w:tblCellMar>
          <w:top w:w="28" w:type="dxa"/>
          <w:left w:w="28" w:type="dxa"/>
          <w:bottom w:w="28" w:type="dxa"/>
          <w:right w:w="28" w:type="dxa"/>
        </w:tblCellMar>
      </w:tblPr>
      <w:tblGrid>
        <w:gridCol w:w="1244"/>
        <w:gridCol w:w="1092"/>
        <w:gridCol w:w="109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 for 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270"/>
        <w:jc w:val="both"/>
        <w:rPr/>
      </w:pPr>
      <w:r>
        <w:rPr/>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are as follows:</w:t>
      </w:r>
    </w:p>
    <w:tbl>
      <w:tblPr>
        <w:tblW w:w="10258" w:type="dxa"/>
        <w:jc w:val="center"/>
        <w:tblInd w:w="0" w:type="dxa"/>
        <w:tblLayout w:type="fixed"/>
        <w:tblCellMar>
          <w:top w:w="28" w:type="dxa"/>
          <w:left w:w="28" w:type="dxa"/>
          <w:bottom w:w="28" w:type="dxa"/>
          <w:right w:w="28" w:type="dxa"/>
        </w:tblCellMar>
      </w:tblPr>
      <w:tblGrid>
        <w:gridCol w:w="539"/>
        <w:gridCol w:w="315"/>
        <w:gridCol w:w="317"/>
        <w:gridCol w:w="364"/>
        <w:gridCol w:w="364"/>
        <w:gridCol w:w="173"/>
        <w:gridCol w:w="211"/>
        <w:gridCol w:w="766"/>
        <w:gridCol w:w="109"/>
        <w:gridCol w:w="109"/>
        <w:gridCol w:w="109"/>
        <w:gridCol w:w="109"/>
        <w:gridCol w:w="239"/>
        <w:gridCol w:w="717"/>
        <w:gridCol w:w="125"/>
        <w:gridCol w:w="109"/>
        <w:gridCol w:w="109"/>
        <w:gridCol w:w="109"/>
        <w:gridCol w:w="211"/>
        <w:gridCol w:w="766"/>
        <w:gridCol w:w="109"/>
        <w:gridCol w:w="109"/>
        <w:gridCol w:w="109"/>
        <w:gridCol w:w="109"/>
        <w:gridCol w:w="211"/>
        <w:gridCol w:w="766"/>
        <w:gridCol w:w="109"/>
        <w:gridCol w:w="109"/>
        <w:gridCol w:w="109"/>
        <w:gridCol w:w="109"/>
        <w:gridCol w:w="239"/>
        <w:gridCol w:w="717"/>
        <w:gridCol w:w="125"/>
        <w:gridCol w:w="109"/>
        <w:gridCol w:w="109"/>
        <w:gridCol w:w="109"/>
        <w:gridCol w:w="211"/>
        <w:gridCol w:w="76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Life (in years)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Gross Carrying Amount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Accumulated 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Gross Carrying Amount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Accumulated 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9 - 20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agreements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8 - 19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and 12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Excludes the original cost and related accumulated amortization of fully-amortized intangible assets.</w:t>
      </w:r>
    </w:p>
    <w:p>
      <w:pPr>
        <w:pStyle w:val="TextBody"/>
        <w:bidi w:val="0"/>
        <w:spacing w:lineRule="auto" w:line="288"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totaled $22.2 million and $21.9 million for the three months ended March 31, 2025 and 2024, respectively.</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remaining estimated amortization expense for intangible assets for the next five years and thereafter:</w:t>
      </w:r>
    </w:p>
    <w:tbl>
      <w:tblPr>
        <w:tblW w:w="3830" w:type="dxa"/>
        <w:jc w:val="center"/>
        <w:tblInd w:w="0" w:type="dxa"/>
        <w:tblLayout w:type="fixed"/>
        <w:tblCellMar>
          <w:top w:w="28" w:type="dxa"/>
          <w:left w:w="28" w:type="dxa"/>
          <w:bottom w:w="28" w:type="dxa"/>
          <w:right w:w="28" w:type="dxa"/>
        </w:tblCellMar>
      </w:tblPr>
      <w:tblGrid>
        <w:gridCol w:w="978"/>
        <w:gridCol w:w="859"/>
        <w:gridCol w:w="862"/>
        <w:gridCol w:w="211"/>
        <w:gridCol w:w="76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ending December 31,</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STOCK-BASED COMPENSATION</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Wesco’s stock-based compensation awards consist of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and stock-settled stock appreciation rights vest ratably over a three-year period and terminate on the tenth anniversary of the grant date unless terminated sooner under certain conditions. Restricted stock units awarded under the WESCO International, Inc. 2021 Omnibus Incentive Plan, which was adopted on May 27, 2021,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2025 awards, performance-based awards were typically based on two equally-weighted performance measures: the three-year average growth rate of Wesco’s net income attributable to common stockholders and the three-year cumulative return on net assets. The 2025 performance-based awards are based on two equally-weighted performance measures: the growth rate of Wesco’s earnings per share and return on net assets, both of which are measured on an annual basis as well as on a three-year cumulative basis, with each of the three years and the three-year cumulative measurement equally-weighted. The 2025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the March 1, 2025 grant date was measured using a Monte Carlo simulation.</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Wesco granted the following stock options, restricted stock units, and performance-based awards at the following weighted-average fair values:</w:t>
      </w:r>
    </w:p>
    <w:tbl>
      <w:tblPr>
        <w:tblW w:w="6292" w:type="dxa"/>
        <w:jc w:val="center"/>
        <w:tblInd w:w="0" w:type="dxa"/>
        <w:tblLayout w:type="fixed"/>
        <w:tblCellMar>
          <w:top w:w="28" w:type="dxa"/>
          <w:left w:w="28" w:type="dxa"/>
          <w:bottom w:w="28" w:type="dxa"/>
          <w:right w:w="28" w:type="dxa"/>
        </w:tblCellMar>
      </w:tblPr>
      <w:tblGrid>
        <w:gridCol w:w="1052"/>
        <w:gridCol w:w="924"/>
        <w:gridCol w:w="933"/>
        <w:gridCol w:w="109"/>
        <w:gridCol w:w="109"/>
        <w:gridCol w:w="129"/>
        <w:gridCol w:w="129"/>
        <w:gridCol w:w="129"/>
        <w:gridCol w:w="129"/>
        <w:gridCol w:w="250"/>
        <w:gridCol w:w="857"/>
        <w:gridCol w:w="129"/>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awards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stock options, as disclosed in the table above, were estimated using the following weighted-average assumptions in the respective periods:</w:t>
      </w:r>
    </w:p>
    <w:tbl>
      <w:tblPr>
        <w:tblW w:w="5588" w:type="dxa"/>
        <w:jc w:val="center"/>
        <w:tblInd w:w="0" w:type="dxa"/>
        <w:tblLayout w:type="fixed"/>
        <w:tblCellMar>
          <w:top w:w="28" w:type="dxa"/>
          <w:left w:w="28" w:type="dxa"/>
          <w:bottom w:w="28" w:type="dxa"/>
          <w:right w:w="28" w:type="dxa"/>
        </w:tblCellMar>
      </w:tblPr>
      <w:tblGrid>
        <w:gridCol w:w="771"/>
        <w:gridCol w:w="677"/>
        <w:gridCol w:w="682"/>
        <w:gridCol w:w="109"/>
        <w:gridCol w:w="109"/>
        <w:gridCol w:w="206"/>
        <w:gridCol w:w="206"/>
        <w:gridCol w:w="206"/>
        <w:gridCol w:w="206"/>
        <w:gridCol w:w="259"/>
        <w:gridCol w:w="252"/>
        <w:gridCol w:w="514"/>
        <w:gridCol w:w="109"/>
        <w:gridCol w:w="109"/>
        <w:gridCol w:w="109"/>
        <w:gridCol w:w="255"/>
        <w:gridCol w:w="256"/>
        <w:gridCol w:w="553"/>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391" w:type="dxa"/>
            <w:gridSpan w:val="6"/>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date of grant using the current fiscal year projected dividend distribution rate.</w:t>
      </w:r>
    </w:p>
    <w:p>
      <w:pPr>
        <w:pStyle w:val="TextBody"/>
        <w:bidi w:val="0"/>
        <w:spacing w:lineRule="auto" w:line="288"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stock options and related information for the three months ended March 31, 2025:</w:t>
      </w:r>
    </w:p>
    <w:tbl>
      <w:tblPr>
        <w:tblW w:w="9417" w:type="dxa"/>
        <w:jc w:val="center"/>
        <w:tblInd w:w="0" w:type="dxa"/>
        <w:tblLayout w:type="fixed"/>
        <w:tblCellMar>
          <w:top w:w="28" w:type="dxa"/>
          <w:left w:w="28" w:type="dxa"/>
          <w:bottom w:w="28" w:type="dxa"/>
          <w:right w:w="28" w:type="dxa"/>
        </w:tblCellMar>
      </w:tblPr>
      <w:tblGrid>
        <w:gridCol w:w="1065"/>
        <w:gridCol w:w="936"/>
        <w:gridCol w:w="938"/>
        <w:gridCol w:w="413"/>
        <w:gridCol w:w="413"/>
        <w:gridCol w:w="241"/>
        <w:gridCol w:w="109"/>
        <w:gridCol w:w="109"/>
        <w:gridCol w:w="109"/>
        <w:gridCol w:w="211"/>
        <w:gridCol w:w="721"/>
        <w:gridCol w:w="109"/>
        <w:gridCol w:w="109"/>
        <w:gridCol w:w="109"/>
        <w:gridCol w:w="109"/>
        <w:gridCol w:w="764"/>
        <w:gridCol w:w="764"/>
        <w:gridCol w:w="766"/>
        <w:gridCol w:w="109"/>
        <w:gridCol w:w="109"/>
        <w:gridCol w:w="109"/>
        <w:gridCol w:w="299"/>
        <w:gridCol w:w="576"/>
        <w:gridCol w:w="220"/>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br/>
              <w:t>(In millions)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2025</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154,402 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stock-settled stock appreciation rights and related information for the three months ended March 31, 2025:</w:t>
      </w:r>
    </w:p>
    <w:tbl>
      <w:tblPr>
        <w:tblW w:w="9312" w:type="dxa"/>
        <w:jc w:val="center"/>
        <w:tblInd w:w="0" w:type="dxa"/>
        <w:tblLayout w:type="fixed"/>
        <w:tblCellMar>
          <w:top w:w="28" w:type="dxa"/>
          <w:left w:w="28" w:type="dxa"/>
          <w:bottom w:w="28" w:type="dxa"/>
          <w:right w:w="28" w:type="dxa"/>
        </w:tblCellMar>
      </w:tblPr>
      <w:tblGrid>
        <w:gridCol w:w="1065"/>
        <w:gridCol w:w="936"/>
        <w:gridCol w:w="938"/>
        <w:gridCol w:w="413"/>
        <w:gridCol w:w="413"/>
        <w:gridCol w:w="241"/>
        <w:gridCol w:w="109"/>
        <w:gridCol w:w="109"/>
        <w:gridCol w:w="109"/>
        <w:gridCol w:w="211"/>
        <w:gridCol w:w="616"/>
        <w:gridCol w:w="109"/>
        <w:gridCol w:w="109"/>
        <w:gridCol w:w="109"/>
        <w:gridCol w:w="109"/>
        <w:gridCol w:w="764"/>
        <w:gridCol w:w="764"/>
        <w:gridCol w:w="766"/>
        <w:gridCol w:w="109"/>
        <w:gridCol w:w="109"/>
        <w:gridCol w:w="109"/>
        <w:gridCol w:w="263"/>
        <w:gridCol w:w="639"/>
        <w:gridCol w:w="19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br/>
              <w:t>(In millions)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2025</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677,135 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aggregate intrinsic value of stock-settled stock appreciation rights exercised during such period was $2.9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restricted stock units and related information for the three months ended March 31, 2025:</w:t>
      </w:r>
    </w:p>
    <w:tbl>
      <w:tblPr>
        <w:tblW w:w="5254" w:type="dxa"/>
        <w:jc w:val="center"/>
        <w:tblInd w:w="0" w:type="dxa"/>
        <w:tblLayout w:type="fixed"/>
        <w:tblCellMar>
          <w:top w:w="28" w:type="dxa"/>
          <w:left w:w="28" w:type="dxa"/>
          <w:bottom w:w="28" w:type="dxa"/>
          <w:right w:w="28" w:type="dxa"/>
        </w:tblCellMar>
      </w:tblPr>
      <w:tblGrid>
        <w:gridCol w:w="978"/>
        <w:gridCol w:w="860"/>
        <w:gridCol w:w="862"/>
        <w:gridCol w:w="449"/>
        <w:gridCol w:w="451"/>
        <w:gridCol w:w="241"/>
        <w:gridCol w:w="109"/>
        <w:gridCol w:w="109"/>
        <w:gridCol w:w="109"/>
        <w:gridCol w:w="211"/>
        <w:gridCol w:w="72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Fair</w:t>
              <w:br/>
              <w:t>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476,019 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performance-based awards and related information for the three months ended March 31, 2025:</w:t>
      </w:r>
    </w:p>
    <w:tbl>
      <w:tblPr>
        <w:tblW w:w="5180" w:type="dxa"/>
        <w:jc w:val="center"/>
        <w:tblInd w:w="0" w:type="dxa"/>
        <w:tblLayout w:type="fixed"/>
        <w:tblCellMar>
          <w:top w:w="28" w:type="dxa"/>
          <w:left w:w="28" w:type="dxa"/>
          <w:bottom w:w="28" w:type="dxa"/>
          <w:right w:w="28" w:type="dxa"/>
        </w:tblCellMar>
      </w:tblPr>
      <w:tblGrid>
        <w:gridCol w:w="978"/>
        <w:gridCol w:w="860"/>
        <w:gridCol w:w="862"/>
        <w:gridCol w:w="413"/>
        <w:gridCol w:w="413"/>
        <w:gridCol w:w="241"/>
        <w:gridCol w:w="109"/>
        <w:gridCol w:w="109"/>
        <w:gridCol w:w="109"/>
        <w:gridCol w:w="211"/>
        <w:gridCol w:w="72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Fair</w:t>
              <w:br/>
              <w:t>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211,630 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recognized $10.2 million and $10.1 million of non-cash stock-based compensation expense for the three months ended March 31, 2025 and 2024, respectively, which is included in selling, general and administrative expenses for such periods. As of March 31, 2025, there was $98.8 million of total unrecognized compensation expense related to unvested stock-based compensation arrangements for all awards previously made, which is expected to be recognized as follows:</w:t>
      </w:r>
    </w:p>
    <w:tbl>
      <w:tblPr>
        <w:tblW w:w="3718" w:type="dxa"/>
        <w:jc w:val="center"/>
        <w:tblInd w:w="0" w:type="dxa"/>
        <w:tblLayout w:type="fixed"/>
        <w:tblCellMar>
          <w:top w:w="28" w:type="dxa"/>
          <w:left w:w="28" w:type="dxa"/>
          <w:bottom w:w="28" w:type="dxa"/>
          <w:right w:w="28" w:type="dxa"/>
        </w:tblCellMar>
      </w:tblPr>
      <w:tblGrid>
        <w:gridCol w:w="978"/>
        <w:gridCol w:w="859"/>
        <w:gridCol w:w="862"/>
        <w:gridCol w:w="245"/>
        <w:gridCol w:w="595"/>
        <w:gridCol w:w="1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ending December 31,</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the Company’s Board of Directors adopted a resolution authorizing the repurchase of up to $1 billion of the Company’s common stock and Series A Preferred Stock. The share repurchase authorization has no expiration date and may be modified, suspended, or terminated at any time without prior notice.</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entered into spot repurchase transactions through a broker to purchase 153,228 shares of its common stock in the open market for cash totaling $25.3 million, including excise taxes. Wesco funded the repurchases with available cash and borrowings under its accounts receivable securitization and revolving credit facilities. During the three months ended March 31, 2024, the Company entered into spot repurchase transactions through a broker to purchase 343,147 shares of its common stock in the open market for cash totaling $50.5 million, including excise taxes. Wesco funded the repurchases with available cash and borrowings under its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dividends on common stock are declared at the discretion of the Board of Directors. The following table is a summary of cash dividends declared and paid on the Company’s common stock for the three months ended March 31, 2025: </w:t>
      </w:r>
    </w:p>
    <w:tbl>
      <w:tblPr>
        <w:tblW w:w="9076" w:type="dxa"/>
        <w:jc w:val="center"/>
        <w:tblInd w:w="0" w:type="dxa"/>
        <w:tblLayout w:type="fixed"/>
        <w:tblCellMar>
          <w:top w:w="28" w:type="dxa"/>
          <w:left w:w="28" w:type="dxa"/>
          <w:bottom w:w="28" w:type="dxa"/>
          <w:right w:w="28" w:type="dxa"/>
        </w:tblCellMar>
      </w:tblPr>
      <w:tblGrid>
        <w:gridCol w:w="582"/>
        <w:gridCol w:w="511"/>
        <w:gridCol w:w="512"/>
        <w:gridCol w:w="109"/>
        <w:gridCol w:w="109"/>
        <w:gridCol w:w="109"/>
        <w:gridCol w:w="464"/>
        <w:gridCol w:w="464"/>
        <w:gridCol w:w="466"/>
        <w:gridCol w:w="109"/>
        <w:gridCol w:w="109"/>
        <w:gridCol w:w="109"/>
        <w:gridCol w:w="464"/>
        <w:gridCol w:w="464"/>
        <w:gridCol w:w="466"/>
        <w:gridCol w:w="109"/>
        <w:gridCol w:w="109"/>
        <w:gridCol w:w="109"/>
        <w:gridCol w:w="375"/>
        <w:gridCol w:w="1096"/>
        <w:gridCol w:w="194"/>
        <w:gridCol w:w="109"/>
        <w:gridCol w:w="109"/>
        <w:gridCol w:w="109"/>
        <w:gridCol w:w="245"/>
        <w:gridCol w:w="593"/>
        <w:gridCol w:w="872"/>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Dividend Payment</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14,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million</w:t>
            </w:r>
          </w:p>
        </w:tc>
      </w:tr>
    </w:tbl>
    <w:p>
      <w:pPr>
        <w:pStyle w:val="TextBody"/>
        <w:bidi w:val="0"/>
        <w:spacing w:lineRule="auto" w:line="288"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cash dividends declared and paid on the Company’s common stock for the three months ended March 31, 2024:</w:t>
      </w:r>
    </w:p>
    <w:tbl>
      <w:tblPr>
        <w:tblW w:w="9076" w:type="dxa"/>
        <w:jc w:val="center"/>
        <w:tblInd w:w="0" w:type="dxa"/>
        <w:tblLayout w:type="fixed"/>
        <w:tblCellMar>
          <w:top w:w="28" w:type="dxa"/>
          <w:left w:w="28" w:type="dxa"/>
          <w:bottom w:w="28" w:type="dxa"/>
          <w:right w:w="28" w:type="dxa"/>
        </w:tblCellMar>
      </w:tblPr>
      <w:tblGrid>
        <w:gridCol w:w="582"/>
        <w:gridCol w:w="511"/>
        <w:gridCol w:w="512"/>
        <w:gridCol w:w="109"/>
        <w:gridCol w:w="109"/>
        <w:gridCol w:w="109"/>
        <w:gridCol w:w="464"/>
        <w:gridCol w:w="464"/>
        <w:gridCol w:w="466"/>
        <w:gridCol w:w="109"/>
        <w:gridCol w:w="109"/>
        <w:gridCol w:w="109"/>
        <w:gridCol w:w="464"/>
        <w:gridCol w:w="464"/>
        <w:gridCol w:w="466"/>
        <w:gridCol w:w="109"/>
        <w:gridCol w:w="109"/>
        <w:gridCol w:w="109"/>
        <w:gridCol w:w="375"/>
        <w:gridCol w:w="1096"/>
        <w:gridCol w:w="194"/>
        <w:gridCol w:w="109"/>
        <w:gridCol w:w="109"/>
        <w:gridCol w:w="109"/>
        <w:gridCol w:w="245"/>
        <w:gridCol w:w="593"/>
        <w:gridCol w:w="872"/>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Dividend Payment</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million</w:t>
            </w:r>
          </w:p>
        </w:tc>
      </w:tr>
    </w:tbl>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Company's Board of Directors also declared and the Company paid quarterly cash dividends of $0.664 per depositary share relating to its Series A Preferred Stock totaling $14.4 million each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EARNINGS PER SHARE</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pStyle w:val="TextBody"/>
        <w:bidi w:val="0"/>
        <w:spacing w:lineRule="auto" w:line="288"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for the periods presented:</w:t>
      </w:r>
    </w:p>
    <w:tbl>
      <w:tblPr>
        <w:tblW w:w="10205" w:type="dxa"/>
        <w:jc w:val="center"/>
        <w:tblInd w:w="0" w:type="dxa"/>
        <w:tblLayout w:type="fixed"/>
        <w:tblCellMar>
          <w:top w:w="28" w:type="dxa"/>
          <w:left w:w="28" w:type="dxa"/>
          <w:bottom w:w="28" w:type="dxa"/>
          <w:right w:w="28" w:type="dxa"/>
        </w:tblCellMar>
      </w:tblPr>
      <w:tblGrid>
        <w:gridCol w:w="2761"/>
        <w:gridCol w:w="2141"/>
        <w:gridCol w:w="2160"/>
        <w:gridCol w:w="109"/>
        <w:gridCol w:w="109"/>
        <w:gridCol w:w="128"/>
        <w:gridCol w:w="128"/>
        <w:gridCol w:w="128"/>
        <w:gridCol w:w="128"/>
        <w:gridCol w:w="248"/>
        <w:gridCol w:w="725"/>
        <w:gridCol w:w="128"/>
        <w:gridCol w:w="109"/>
        <w:gridCol w:w="109"/>
        <w:gridCol w:w="109"/>
        <w:gridCol w:w="211"/>
        <w:gridCol w:w="616"/>
        <w:gridCol w:w="158"/>
      </w:tblGrid>
      <w:tr>
        <w:trPr/>
        <w:tc>
          <w:tcPr>
            <w:tcW w:w="276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312" w:type="dxa"/>
            <w:gridSpan w:val="6"/>
            <w:tcBorders/>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WESCO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in computing 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issuable upon exercise of dilutive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and common share equivalents used in computing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diluted earnings per share attributable to common stockholders excludes stock-based awards that would have had an antidilutive effect on earnings per share. For the three months ended March 31, 2025 and 2024, there were approximately 0.5 million and 0.2 million antidilutive shares,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Wesco's outstanding indebtedness:</w:t>
      </w:r>
    </w:p>
    <w:tbl>
      <w:tblPr>
        <w:tblW w:w="10205" w:type="dxa"/>
        <w:jc w:val="center"/>
        <w:tblInd w:w="0" w:type="dxa"/>
        <w:tblLayout w:type="fixed"/>
        <w:tblCellMar>
          <w:top w:w="28" w:type="dxa"/>
          <w:left w:w="28" w:type="dxa"/>
          <w:bottom w:w="28" w:type="dxa"/>
          <w:right w:w="28" w:type="dxa"/>
        </w:tblCellMar>
      </w:tblPr>
      <w:tblGrid>
        <w:gridCol w:w="2760"/>
        <w:gridCol w:w="2421"/>
        <w:gridCol w:w="2428"/>
        <w:gridCol w:w="211"/>
        <w:gridCol w:w="766"/>
        <w:gridCol w:w="109"/>
        <w:gridCol w:w="109"/>
        <w:gridCol w:w="109"/>
        <w:gridCol w:w="109"/>
        <w:gridCol w:w="220"/>
        <w:gridCol w:w="800"/>
        <w:gridCol w:w="163"/>
      </w:tblGrid>
      <w:tr>
        <w:trPr/>
        <w:tc>
          <w:tcPr>
            <w:tcW w:w="276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lines of credit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Securitization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6.000% Anixter Senior Notes due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7.250% Senior Notes due 2028, less debt discount of $4.0 and $4.4 in 2025 and 2024,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6.375% Senior Notes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6.625%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6.375% Senior Notes due 2033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Fair value adjustments to the Anixter Senior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debt and current portion of 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Securitization Facility</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2025, Wesco Distribution amended its accounts receivable securitization facility (the “Receivables Facility”) pursuant to the terms and conditions of a Ninth Amendment to Fifth Amended and Restated Receivables Purchase Agreement (the “Ninth Receivables Amendment”), by and among WESCO Receivables Corp., Wesco Distribution, the various purchasers and purchaser agents party thereto and PNC Bank, National Association, as administrator. The Ninth Receivables Amendment modified the receivables purchase agreement originally entered into on June 22, 2020. The Ninth Receivables Amendment, among other things, extended the scheduled termination date of the Receivables Facility to February 28, 2028, and removed the credit spread adjustment applicable to term SOFR investments. No other material terms were changed.</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2025, Wesco Distribution amended its revolving credit facility (the “Revolving Credit Facility”) pursuant to the terms and conditions of the Seventh Amendment to Fourth Amended and Restated Credit Agreement (the “Seventh Revolver Amendment”), by and among Wesco Distribution, the other U.S. borrowers party thereto, WESCO Distribution Canada LP, the other Canadian borrowers party thereto, Wesco, the lenders party thereto and Barclays Bank PLC, as administrative agent. The Seventh Revolver Amendment amended the revolving credit agreement originally entered into on June 22, 2020, to, among other things, (i) extend the maturity date of the Revolving Credit Facility to February 28, 2030, (ii) increase the capacity to request increases in the revolving commitments under the Revolving Credit Facility from $450 million to $500 million, (iii) increase certain negative covenant baskets, and (iv) remove the credit spread adjustment applicable to term SOFR and daily simple SOFR loans. No other material terms were changed.</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6.375% Senior Notes due 2033</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2025, Wesco Distribution issued $800 million aggregate principal amount of 6.375% senior notes due 2033 (the “2033 Notes”). The 2033 Notes were issued at a price of 100% of the aggregate principal amount thereof. Wesco incurred costs related to the issuance of the 2033 Notes totaling $10.3 million, which were recorded as a reduction to the carrying value of the debt and are amortized over the life of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2033 Notes were issued pursuant to, and are governed by, an indenture (the “2033 Notes Indenture”), dated as of March 6, 2025, among Wesco Distribution, the Company, Anixter Inc., and U.S. Bank Trust Company, National Association, as trustee (the “Trustee”). The 2033 Notes and related guarantees were issued in a private transaction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the net proceeds from the issuance of the 2033 Notes to redeem all of the Company’s outstanding 10.625% Series A Fixed-Rate Reset Cumulative Perpetual Preferred Stock (the “Series A Preferred Stock”) and all of the related depositary shares representing fractional interests in the Series A Preferred Stock in June 2025, and repay a portion of the amounts outstanding under the Revolving Credit Facility. Prior to redeeming the Series A Preferred Stock, the Company used the net proceeds to temporarily repay all of the outstanding borrowings under its Revolving Credit Facility and to repay a portion of the amounts outstanding under its Receivables Facility. The Company intends to subsequently redraw under the Receivables Facility and/or the Revolving Credit Facility in an aggregate amount sufficient to redeem the Series A Preferred Stock.</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2033 Notes are unsecured and unsubordinated obligations of Wesco Distribution and are guaranteed on an unsecured, unsubordinated basis by the Company and Anixter Inc. The 2033 Notes accrue interest at a rate of 6.375% per annum, payable semi-annually in arrears on March 15 and September 15 of each year. The 2033 Notes will mature on March 15, 2033.</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Distribution may redeem all or a part of the 2033 Notes at any time prior to March 15, 2028 by paying a “make-whole” premium plus accrued and unpaid interest, if any, to but excluding the redemption date. In addition, any time prior to March 15, 2028, Wesco Distribution may redeem up to 35% of the original aggregate principal amount of the 2033 Notes with the net cash proceeds from certain equity offerings. At any time between March 15, 2028 and March 14, 2029, Wesco Distribution may redeem all or a part of the 2033 Notes at a redemption price equal to 103.188% of the principal amount. Between March 15, 2029 and March 14, 2030, Wesco Distribution may redeem all or a part of the 2033 Notes at a redemption price equal to 101.594% of the principal amount. On and after March 15, 2030, Wesco Distribution may redeem all or a part of the 2033 Notes at a redemption price equal to 100% of the principal amount.</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2033 Notes Indenture contains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2033 Notes receiving investment grade credit ratings.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2033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2033 Notes Indenture will allow either the Trustee or the holders of at least 25% in aggregate principal amount of the series of the then-outstanding 2033 Notes to accelerate or, in certain cases, will automatically cause the acceleration of the amounts due under the 2033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EMPLOYEE BENEFIT PLANS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sponsors defined contribution retirement savings plans for the majority of its employees in the U.S. and certain employees in Canada, which provide employer contributions. Wesco incurred expenses of $19.0 million and $18.8 million for the three months ended March 31, 2025 and 2024, respectively, for its defined contribution plans.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Distribution sponsors a non-qualified deferred compensation plan (the “Wesco Deferred Compensation Plan”) that permits select employees to make pre-tax deferrals of salary and bonus. Employees have the option to transfer balances allocated to their accounts in the Wesco Deferred Compensation Plan into any of the available investment options. The Wesco Deferred Compensation Plan is an unfunded plan. As of March 31, 2025 and December 31, 2024, the Company’s obligation under the Wesco Deferred Compensation Plan was $32.1 million and $32.5 million, respectively, which is included in other noncurrent liabilities in the Condensed Consolidated Balance Sheets.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sponsors several defined benefit plans, including the EECOL Electric ULC Retirement Plan, the EECOL Electric ULC Supplemental Executive Retirement Plan, the Pension Plan for Employees of Anixter Canada Inc., and various defined benefit pension plans covering employees of foreign subsidiaries in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periodic pension benefit for the three months ended March 31, 2025 was $0.4 million, which included service cost of $0.4 million, and other non-service activity with a net benefit of $0.8 million. The net periodic pension cost for the three months ended March 31, 2024 was $6.4 million, which included $0.5 million in service cost, as well as other non-service activity with a net cost of $5.9 million, which includes settlement cost of $5.5 million related to the settlement of the Anixter Inc. Pension Plan, as described below. Service cost is reported as a component of selling, general and administrative expenses. The other components of net periodic pension (benefit) cost are presented as components of other expense, net. </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contribute approximately $7.1 million to its defined benefit plans in 2025. Approximately $1.4 million was contributed during the three months ended March 31, 2025.</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Anixter Inc. Pension Plan Settlement</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Anixter Inc. sponsored the Anixter Inc. Pension Plan, which was terminated in 2022 and settled in 2024. On February 12, 2024, the remaining benefit obligation of the Anixter Inc. Pension Plan was settled through the purchase of single premium annuity contracts for total cash of $138.8 million. The purchase was funded entirely by the assets of the plan.</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recognized settlement cost of $5.5 million to recognize unrealized losses previously reported as a component of other comprehensive income (loss) related to the benefit obligation of the Anixter Inc. Pension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FAIR VALUE OF FINANCIAL INSTRUMENTS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primarily consist of cash and cash equivalents, accounts receivable, accounts payable, bank overdrafts, outstanding indebtedness, foreign currency forward contracts, and benefit plan assets. Except for benefit plan assets, outstanding indebtedness and foreign currency forward contracts, the carrying value of the Company’s other financial instruments approximates fair value.</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the Company’s various defined benefit plans primarily comprise common/collective/pool funds (i.e., mutual funds). These funds are valued at the net asset value (“NAV”) of shares held in the underlying funds. Investments for which fair value is measured using the NAV per share practical expedient are not classified in the fair value hierarchy.</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Wesco’s debt instruments with fixed interest rates was $3,875.2 million and $3,074.9 million as of March 31, 2025 and December 31, 2024, respectively. The estimated fair value of this debt was $3,928.3 million and $3,127.3 million as of March 31, 2025 and December 31, 2024, respectively. The reported carrying values of Wesco’s other debt instruments, including those with variable interest rates, approximated their fair values as of March 31, 2025 and December 31, 2024.</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currency forward contracts have investment-grade credit ratings. The Company regularly monitors the creditworthiness of its counterparties as a risk mitigation effort to protect the value of its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March 31, 2025 and December 31, 2024, foreign currency forward contracts were revalued at then-current foreign exchange rates with the changes in valuation reflected directly in other non-operating expense (income) in the Condensed Consolidated Statements of Income and Comprehensive Income offsetting the transaction gain (loss) recorded on foreign currency-denominated accounts. The gross and net notional amounts of foreign currency forward contracts outstanding were approximately $376.3 million and $345.7 million, at March 31, 2025 and December 31, 2024, respectively. While all of the Company’s foreign currency forward contracts are subject to master netting arrangements with its counterparties, assets and liabilities related to these contracts are presented on a gross basis within the Condensed Consolidated Balance Sheets. The gross fair value of assets and liabilities related to foreign currency forward contracts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March 31, 2025 and 2024 was 23.4% and 21.0%, respectively. For the three months ended March 31, 2025 and 2024, the effective tax rate reflects discrete income tax benefits of $4.7 million and $7.7 million, respectively, resulting from the exercise and vesting of stock-based awards. These discrete income tax benefits reduced the estimated annual effective tax rate in such periods by approximately 3.0 and 5.3 percentage points, respectively.</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purchased transferable clean energy tax credits in the amount of $53.3 million. The Company used these tax credits to reduce its 2024 U.S. federal income tax liability. The Company has taken appropriate measures to mitigate the transferee liability associated with these tax credits, including but not limited to conducting due diligence to confirm the eligibility of the underlying projects or production, as applicable, for the tax credits and the eligibility of the tax credits for transfer, obtaining appropriate contractual protections from the sellers, and obtaining tax credit insurance.</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excluding discrete income tax benefits, differs from the federal statutory income tax rate due primarily to state income taxes, nondeductible expenses, and the tax impact of international operations. </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adjustments to the Company's assessment of uncertain tax positions since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BUSINESS SEGMENTS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segments comprising three strategic business units: EES, CSS and UBS. These operating segments are equivalent to the Company’s reportable segments. The President and Chief Executive Officer serves as the Company’s Chief Operating Decision Maker (“CODM”). The CODM evaluates the performance of the Company’s reportable segments based on adjusted earnings before interest, taxes, depreciation and amortization (“adjusted EBITDA”), which is the Company’s measure of segment profit or loss.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incurs corporate costs primarily related to treasury, tax, information technology, legal and other centralized functions. The Company also has various corporate assets. Segment assets may not include jointly used assets, but segment results include depreciation expense or other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described in Note 2, “Accounting Policies,” the reportable segment information for the three months ended March 31, 2024 for the EES and CSS reportable segments has been recast to conform to the current year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reportable segments and reconcile adjusted EBITDA by segment to income before income taxes on a consolidated basis for the periods presented:</w:t>
      </w:r>
    </w:p>
    <w:tbl>
      <w:tblPr>
        <w:tblW w:w="10205" w:type="dxa"/>
        <w:jc w:val="center"/>
        <w:tblInd w:w="0" w:type="dxa"/>
        <w:tblLayout w:type="fixed"/>
        <w:tblCellMar>
          <w:top w:w="28" w:type="dxa"/>
          <w:left w:w="28" w:type="dxa"/>
          <w:bottom w:w="28" w:type="dxa"/>
          <w:right w:w="28" w:type="dxa"/>
        </w:tblCellMar>
      </w:tblPr>
      <w:tblGrid>
        <w:gridCol w:w="1293"/>
        <w:gridCol w:w="1001"/>
        <w:gridCol w:w="1012"/>
        <w:gridCol w:w="268"/>
        <w:gridCol w:w="261"/>
        <w:gridCol w:w="654"/>
        <w:gridCol w:w="138"/>
        <w:gridCol w:w="138"/>
        <w:gridCol w:w="138"/>
        <w:gridCol w:w="268"/>
        <w:gridCol w:w="261"/>
        <w:gridCol w:w="654"/>
        <w:gridCol w:w="138"/>
        <w:gridCol w:w="138"/>
        <w:gridCol w:w="138"/>
        <w:gridCol w:w="327"/>
        <w:gridCol w:w="321"/>
        <w:gridCol w:w="654"/>
        <w:gridCol w:w="138"/>
        <w:gridCol w:w="138"/>
        <w:gridCol w:w="138"/>
        <w:gridCol w:w="800"/>
        <w:gridCol w:w="588"/>
        <w:gridCol w:w="601"/>
      </w:tblGrid>
      <w:tr>
        <w:trPr/>
        <w:tc>
          <w:tcPr>
            <w:tcW w:w="12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EES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UBS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Reportable Segments Total</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5,343.7</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(excluding depreciation and amortization)</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4,218.1</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payroll expenses</w:t>
            </w:r>
            <w:r>
              <w:rPr>
                <w:rFonts w:ascii="Times New Roman;sans-serif" w:hAnsi="Times New Roman;sans-serif"/>
                <w:b w:val="false"/>
                <w:color w:val="000000"/>
                <w:sz w:val="13"/>
              </w:rPr>
              <w:t>(1)(3)</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(2)</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w:t>
            </w:r>
          </w:p>
        </w:tc>
        <w:tc>
          <w:tcPr>
            <w:tcW w:w="5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adjusted EBITDA</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expense</w:t>
            </w:r>
            <w:r>
              <w:rPr>
                <w:rFonts w:ascii="Times New Roman;sans-serif" w:hAnsi="Times New Roman;sans-serif"/>
                <w:b w:val="false"/>
                <w:color w:val="000000"/>
                <w:sz w:val="13"/>
              </w:rPr>
              <w:t>(3)</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amounts (Corporate):</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3"/>
              </w:rPr>
              <w:t>(4)</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The reportable segments do not incur interest expense as these costs are centrally controlled through the Corporate treasury function.</w:t>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93"/>
        <w:gridCol w:w="1001"/>
        <w:gridCol w:w="1012"/>
        <w:gridCol w:w="268"/>
        <w:gridCol w:w="261"/>
        <w:gridCol w:w="654"/>
        <w:gridCol w:w="138"/>
        <w:gridCol w:w="138"/>
        <w:gridCol w:w="138"/>
        <w:gridCol w:w="268"/>
        <w:gridCol w:w="261"/>
        <w:gridCol w:w="654"/>
        <w:gridCol w:w="138"/>
        <w:gridCol w:w="138"/>
        <w:gridCol w:w="138"/>
        <w:gridCol w:w="327"/>
        <w:gridCol w:w="321"/>
        <w:gridCol w:w="654"/>
        <w:gridCol w:w="138"/>
        <w:gridCol w:w="138"/>
        <w:gridCol w:w="138"/>
        <w:gridCol w:w="800"/>
        <w:gridCol w:w="588"/>
        <w:gridCol w:w="601"/>
      </w:tblGrid>
      <w:tr>
        <w:trPr/>
        <w:tc>
          <w:tcPr>
            <w:tcW w:w="12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EES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UBS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Reportable Segments Total</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(excluding depreciation and amortization)</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4,212.1</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payroll expenses</w:t>
            </w:r>
            <w:r>
              <w:rPr>
                <w:rFonts w:ascii="Times New Roman;sans-serif" w:hAnsi="Times New Roman;sans-serif"/>
                <w:b w:val="false"/>
                <w:color w:val="000000"/>
                <w:sz w:val="13"/>
              </w:rPr>
              <w:t>(1)(3)</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(2)</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w:t>
            </w:r>
          </w:p>
        </w:tc>
        <w:tc>
          <w:tcPr>
            <w:tcW w:w="5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adjusted EBITDA</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expense</w:t>
            </w:r>
            <w:r>
              <w:rPr>
                <w:rFonts w:ascii="Times New Roman;sans-serif" w:hAnsi="Times New Roman;sans-serif"/>
                <w:b w:val="false"/>
                <w:color w:val="000000"/>
                <w:sz w:val="13"/>
              </w:rPr>
              <w:t>(3)</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amounts (Corporate):</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3"/>
              </w:rPr>
              <w:t>(4)</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The reportable segments do not incur interest expense as these costs are centrally controlled through the Corporate treasury function.</w:t>
            </w:r>
          </w:p>
        </w:tc>
      </w:tr>
    </w:tbl>
    <w:p>
      <w:pPr>
        <w:pStyle w:val="TextBody"/>
        <w:bidi w:val="0"/>
        <w:spacing w:before="120" w:after="283"/>
        <w:jc w:val="both"/>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depreciation and amortization by reportable segment for the periods presented:</w:t>
      </w:r>
    </w:p>
    <w:tbl>
      <w:tblPr>
        <w:tblW w:w="5249" w:type="dxa"/>
        <w:jc w:val="center"/>
        <w:tblInd w:w="0" w:type="dxa"/>
        <w:tblLayout w:type="fixed"/>
        <w:tblCellMar>
          <w:top w:w="28" w:type="dxa"/>
          <w:left w:w="28" w:type="dxa"/>
          <w:bottom w:w="28" w:type="dxa"/>
          <w:right w:w="28" w:type="dxa"/>
        </w:tblCellMar>
      </w:tblPr>
      <w:tblGrid>
        <w:gridCol w:w="810"/>
        <w:gridCol w:w="709"/>
        <w:gridCol w:w="716"/>
        <w:gridCol w:w="451"/>
        <w:gridCol w:w="233"/>
        <w:gridCol w:w="233"/>
        <w:gridCol w:w="233"/>
        <w:gridCol w:w="233"/>
        <w:gridCol w:w="233"/>
        <w:gridCol w:w="451"/>
        <w:gridCol w:w="233"/>
        <w:gridCol w:w="233"/>
        <w:gridCol w:w="109"/>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EES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UBS</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segments total</w:t>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other expense (income), net by reportable segment for the periods presented, which primarily consists of net foreign currency exchange (gains) losses and the non-service cost components of net periodic pension (benefit) cost:</w:t>
      </w:r>
    </w:p>
    <w:tbl>
      <w:tblPr>
        <w:tblW w:w="5249" w:type="dxa"/>
        <w:jc w:val="center"/>
        <w:tblInd w:w="0" w:type="dxa"/>
        <w:tblLayout w:type="fixed"/>
        <w:tblCellMar>
          <w:top w:w="28" w:type="dxa"/>
          <w:left w:w="28" w:type="dxa"/>
          <w:bottom w:w="28" w:type="dxa"/>
          <w:right w:w="28" w:type="dxa"/>
        </w:tblCellMar>
      </w:tblPr>
      <w:tblGrid>
        <w:gridCol w:w="810"/>
        <w:gridCol w:w="709"/>
        <w:gridCol w:w="716"/>
        <w:gridCol w:w="451"/>
        <w:gridCol w:w="233"/>
        <w:gridCol w:w="233"/>
        <w:gridCol w:w="233"/>
        <w:gridCol w:w="233"/>
        <w:gridCol w:w="233"/>
        <w:gridCol w:w="451"/>
        <w:gridCol w:w="233"/>
        <w:gridCol w:w="233"/>
        <w:gridCol w:w="109"/>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EES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UBS</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segments total</w:t>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capital expenditures by reportable segment for the periods presented:</w:t>
      </w:r>
    </w:p>
    <w:tbl>
      <w:tblPr>
        <w:tblW w:w="5249" w:type="dxa"/>
        <w:jc w:val="center"/>
        <w:tblInd w:w="0" w:type="dxa"/>
        <w:tblLayout w:type="fixed"/>
        <w:tblCellMar>
          <w:top w:w="28" w:type="dxa"/>
          <w:left w:w="28" w:type="dxa"/>
          <w:bottom w:w="28" w:type="dxa"/>
          <w:right w:w="28" w:type="dxa"/>
        </w:tblCellMar>
      </w:tblPr>
      <w:tblGrid>
        <w:gridCol w:w="810"/>
        <w:gridCol w:w="709"/>
        <w:gridCol w:w="716"/>
        <w:gridCol w:w="451"/>
        <w:gridCol w:w="233"/>
        <w:gridCol w:w="233"/>
        <w:gridCol w:w="233"/>
        <w:gridCol w:w="233"/>
        <w:gridCol w:w="233"/>
        <w:gridCol w:w="451"/>
        <w:gridCol w:w="233"/>
        <w:gridCol w:w="233"/>
        <w:gridCol w:w="109"/>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EES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UBS</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segments total</w:t>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total assets by reportable segment for the periods presented:</w:t>
      </w:r>
    </w:p>
    <w:tbl>
      <w:tblPr>
        <w:tblW w:w="4989" w:type="dxa"/>
        <w:jc w:val="center"/>
        <w:tblInd w:w="0" w:type="dxa"/>
        <w:tblLayout w:type="fixed"/>
        <w:tblCellMar>
          <w:top w:w="28" w:type="dxa"/>
          <w:left w:w="28" w:type="dxa"/>
          <w:bottom w:w="28" w:type="dxa"/>
          <w:right w:w="28" w:type="dxa"/>
        </w:tblCellMar>
      </w:tblPr>
      <w:tblGrid>
        <w:gridCol w:w="810"/>
        <w:gridCol w:w="709"/>
        <w:gridCol w:w="716"/>
        <w:gridCol w:w="211"/>
        <w:gridCol w:w="871"/>
        <w:gridCol w:w="109"/>
        <w:gridCol w:w="109"/>
        <w:gridCol w:w="109"/>
        <w:gridCol w:w="109"/>
        <w:gridCol w:w="211"/>
        <w:gridCol w:w="871"/>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UBS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segments total</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27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Total assets for Corporate primarily consist of cash and cash equivalents, deferred income taxes, property, buildings and equipment, capitalized cloud computing arrangement costs, operating lease assets, and pension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2025, the Company provided notice of its intent to redeem all 21,612 outstanding shares of its Series A Preferred Stock, and the related depositary shares, each representing 1/1,000th of one share of Series A Preferred Stock. The shares will be redeemed in June 2025 at a redemption price of $25,000 per share, plus accrued and unpaid dividends of approximately $12.9 million. As described in Note 9, “Debt,” the Company plans to fund this redemption in part by using the net proceeds from the issuance of the 2033 Notes. The Company expects to recognize $30 million from the redemption as income attributable to common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ind w:left="0" w:right="0" w:firstLine="270"/>
        <w:jc w:val="both"/>
        <w:rPr/>
      </w:pPr>
      <w:r>
        <w:rPr>
          <w:rFonts w:ascii="Times New Roman;sans-serif" w:hAnsi="Times New Roman;sans-serif"/>
          <w:b w:val="false"/>
          <w:i/>
          <w:color w:val="000000"/>
          <w:sz w:val="20"/>
        </w:rPr>
        <w:t xml:space="preserve">The following discussion should be read in conjunction with the unaudited condensed consolidated financial statements and notes thereto included in Item 1 of this Quarterly Report on Form 10-Q and WESCO International, Inc.’s audited Consolidated Financial Statements and Management’s Discussion and Analysis of Financial Condition and Results of Operations included in its Annual Report on Form 10-K for the fiscal year ended December 31, 2024. The matters discussed herein may contain forward-looking statements that are subject to certain risks and uncertainties that could cause actual results to differ materially from expectations. Certain of these risks are set forth in Item 1A of WESCO International, Inc.’s Annual Report on Form 10-K for the fiscal year ended December 31, 2024, as well as WESCO International, Inc.’s other reports filed with the Securities and Exchange Commission (the </w:t>
      </w:r>
      <w:r>
        <w:rPr>
          <w:color w:val="000000"/>
        </w:rPr>
        <w:t>“</w:t>
      </w:r>
      <w:r>
        <w:rPr>
          <w:rFonts w:ascii="Times New Roman;sans-serif" w:hAnsi="Times New Roman;sans-serif"/>
          <w:b w:val="false"/>
          <w:i/>
          <w:color w:val="000000"/>
          <w:sz w:val="20"/>
        </w:rPr>
        <w:t>SEC</w:t>
      </w:r>
      <w:r>
        <w:rPr>
          <w:color w:val="000000"/>
        </w:rPr>
        <w:t>”</w:t>
      </w:r>
      <w:r>
        <w:rPr>
          <w:rFonts w:ascii="Times New Roman;sans-serif" w:hAnsi="Times New Roman;sans-serif"/>
          <w:b w:val="false"/>
          <w:i/>
          <w:color w:val="000000"/>
          <w:sz w:val="20"/>
        </w:rPr>
        <w:t xml:space="preserve">). In this Item 2, </w:t>
      </w:r>
      <w:r>
        <w:rPr>
          <w:color w:val="000000"/>
        </w:rPr>
        <w:t>“</w:t>
      </w:r>
      <w:r>
        <w:rPr>
          <w:rFonts w:ascii="Times New Roman;sans-serif" w:hAnsi="Times New Roman;sans-serif"/>
          <w:b w:val="false"/>
          <w:i/>
          <w:color w:val="000000"/>
          <w:sz w:val="20"/>
        </w:rPr>
        <w:t>Wesco</w:t>
      </w:r>
      <w:r>
        <w:rPr>
          <w:color w:val="000000"/>
        </w:rPr>
        <w:t xml:space="preserve">” </w:t>
      </w:r>
      <w:r>
        <w:rPr>
          <w:rFonts w:ascii="Times New Roman;sans-serif" w:hAnsi="Times New Roman;sans-serif"/>
          <w:b w:val="false"/>
          <w:i/>
          <w:color w:val="000000"/>
          <w:sz w:val="20"/>
        </w:rPr>
        <w:t xml:space="preserve">refers to WESCO International, Inc., and its subsidiaries and its predecessors unless the context otherwise requires. References to </w:t>
      </w:r>
      <w:r>
        <w:rPr>
          <w:color w:val="000000"/>
        </w:rPr>
        <w:t>“</w:t>
      </w:r>
      <w:r>
        <w:rPr>
          <w:rFonts w:ascii="Times New Roman;sans-serif" w:hAnsi="Times New Roman;sans-serif"/>
          <w:b w:val="false"/>
          <w:i/>
          <w:color w:val="000000"/>
          <w:sz w:val="20"/>
        </w:rPr>
        <w:t>we,</w:t>
      </w:r>
      <w:r>
        <w:rPr>
          <w:color w:val="000000"/>
        </w:rPr>
        <w:t>” “</w:t>
      </w:r>
      <w:r>
        <w:rPr>
          <w:rFonts w:ascii="Times New Roman;sans-serif" w:hAnsi="Times New Roman;sans-serif"/>
          <w:b w:val="false"/>
          <w:i/>
          <w:color w:val="000000"/>
          <w:sz w:val="20"/>
        </w:rPr>
        <w:t>us,</w:t>
      </w:r>
      <w:r>
        <w:rPr>
          <w:color w:val="000000"/>
        </w:rPr>
        <w:t>” “</w:t>
      </w:r>
      <w:r>
        <w:rPr>
          <w:rFonts w:ascii="Times New Roman;sans-serif" w:hAnsi="Times New Roman;sans-serif"/>
          <w:b w:val="false"/>
          <w:i/>
          <w:color w:val="000000"/>
          <w:sz w:val="20"/>
        </w:rPr>
        <w:t>our</w:t>
      </w:r>
      <w:r>
        <w:rPr>
          <w:color w:val="000000"/>
        </w:rPr>
        <w:t xml:space="preserve">” </w:t>
      </w:r>
      <w:r>
        <w:rPr>
          <w:rFonts w:ascii="Times New Roman;sans-serif" w:hAnsi="Times New Roman;sans-serif"/>
          <w:b w:val="false"/>
          <w:i/>
          <w:color w:val="000000"/>
          <w:sz w:val="20"/>
        </w:rPr>
        <w:t xml:space="preserve">and the </w:t>
      </w:r>
      <w:r>
        <w:rPr>
          <w:color w:val="000000"/>
        </w:rPr>
        <w:t>“</w:t>
      </w:r>
      <w:r>
        <w:rPr>
          <w:rFonts w:ascii="Times New Roman;sans-serif" w:hAnsi="Times New Roman;sans-serif"/>
          <w:b w:val="false"/>
          <w:i/>
          <w:color w:val="000000"/>
          <w:sz w:val="20"/>
        </w:rPr>
        <w:t>Company</w:t>
      </w:r>
      <w:r>
        <w:rPr>
          <w:color w:val="000000"/>
        </w:rPr>
        <w:t xml:space="preserve">” </w:t>
      </w:r>
      <w:r>
        <w:rPr>
          <w:rFonts w:ascii="Times New Roman;sans-serif" w:hAnsi="Times New Roman;sans-serif"/>
          <w:b w:val="false"/>
          <w:i/>
          <w:color w:val="000000"/>
          <w:sz w:val="20"/>
        </w:rPr>
        <w:t>refer to Wesco and its subsidiaries.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expense (income),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Company Overview </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Wesco, headquartered in Pittsburgh, Pennsylvania, is a leading provider of business-to-business distribution, logistics services and supply chain solutions.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approximately 20,000 people, maintain relationships with more than 35,000 suppliers, and serve nearly 140,000 customers worldwide. With millions of products, end-to-end supply chain services, and leading digital capabilities, Wesco provides innovative solutions to meet customer needs across commercial and industrial businesses, contractors, educational institutions, government agencies,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segments comprising three strategic business units: Electrical &amp; Electronic Solutions (“EES”), Communications &amp; Security Solutions (“CSS”) and Utility &amp; Broadband Solutions (“UBS”). These operating segments are equivalent to our reportable segments. The following is a description of each of our reportable segments and their business activities.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Electrical &amp; Electronic Solutions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EES segment, with approximately 6,700 employees serving customers in over 50 countries, is a North American leader, and supplies a broad range of products and solutions primarily to construction, industrial and original equipment manufacturer (“OEM”) customers.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Communications &amp; Security Solutions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CSS segment, with approximately 4,800 employees serving customers in over 50 countries, is a global leader in data center, network infrastructure and security solutions.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Utility &amp; Broadband Solutions</w:t>
      </w:r>
    </w:p>
    <w:p>
      <w:pPr>
        <w:pStyle w:val="TextBody"/>
        <w:bidi w:val="0"/>
        <w:spacing w:lineRule="auto" w:line="26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UBS segment is a leader in North America, with approximately 2,500 employees serving customers primarily in the U.S. and Canada, and provides products and services to investor-owned utilities, public power companies, including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copper cable, connectivity products, pole line hardware, racks, cabinets, safety and MRO products, and point-to-point wireless devices. UBS also offers a complete set of service solutions to improve customer supply chain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Highlights</w:t>
      </w:r>
    </w:p>
    <w:p>
      <w:pPr>
        <w:pStyle w:val="TextBody"/>
        <w:bidi w:val="0"/>
        <w:spacing w:lineRule="auto" w:line="26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Against a backdrop of increased uncertainty and volatility, our financial results for the first three months of 2025 compared to the first three months of 2024 reflect relatively flat reported sales results, with organic sales up 5.6%. We had very strong growth in the CSS data center solutions business driven by large project activity with customers, but saw continued weakness in the utility business, as expected, due to ongoing customer destocking. Financial results were impacted by higher facilities and transportation costs, partially offset by lower payroll and payroll-related expenses, all of which are inclusive of the impact of the April 1, 2024 divestiture of our Wesco Integrated Supply (“WIS”) business.</w:t>
      </w:r>
    </w:p>
    <w:p>
      <w:pPr>
        <w:pStyle w:val="TextBody"/>
        <w:bidi w:val="0"/>
        <w:spacing w:lineRule="auto" w:line="26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2025, we acquired Industrial Software Solutions (ISS), an AVEVA Select distributor that specializes in industrial automation software and solutions primarily in Western Canada, Alaska and the Pacific Northwest. This acquisition allows us to pursue strategic cross-selling opportunities, expand market presence and capabilities, and aligns with our goal of increasing service offerings to our customers.</w:t>
      </w:r>
    </w:p>
    <w:p>
      <w:pPr>
        <w:pStyle w:val="TextBody"/>
        <w:bidi w:val="0"/>
        <w:spacing w:lineRule="auto" w:line="26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issued $800 million aggregate principal amount of 6.375% senior notes due 2033 on March 6, 2025 to support the planned redemption of our outstanding 10.625% Series A Fixed-Rate Reset Cumulative Perpetual Preferred Stock (the “Series A Preferred Stock”) in June 2025. Following the redemption of our Series A Preferred Stock, we will have no significant debt maturities until 2028 and will have strong liquidity to execute our capital allocation priorities. Therefore, we expect this redemption to create substantial net income, earnings per share, and cash flow benefit. </w:t>
      </w:r>
    </w:p>
    <w:p>
      <w:pPr>
        <w:pStyle w:val="TextBody"/>
        <w:bidi w:val="0"/>
        <w:spacing w:lineRule="auto" w:line="26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Our increased inventories in the first quarter of 2025 and experience with successfully navigating global supply chain challenges will help address supplier price increases and the potential supply chain impact of global tariffs on our customers. We have taken several actions in response to tariffs, including but not limited to, pass through price increases, leveraging scale to provide locally sourced products, reducing imports from high tariff countries, optimizing supply chain logistics, and re-engineering our global supply chain.</w:t>
      </w:r>
    </w:p>
    <w:p>
      <w:pPr>
        <w:pStyle w:val="TextBody"/>
        <w:bidi w:val="0"/>
        <w:spacing w:lineRule="auto" w:line="26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Alongside our strong liquidity, we believe these strategic actions will help us navigate supply chain risks and economic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Quarter of 2025 versus First Quarter of 2024</w:t>
      </w:r>
    </w:p>
    <w:p>
      <w:pPr>
        <w:pStyle w:val="TextBody"/>
        <w:bidi w:val="0"/>
        <w:spacing w:lineRule="auto" w:line="288" w:before="240" w:after="180"/>
        <w:jc w:val="left"/>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12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and organic sales growth for the periods presented:</w:t>
      </w:r>
    </w:p>
    <w:tbl>
      <w:tblPr>
        <w:tblW w:w="10205" w:type="dxa"/>
        <w:jc w:val="left"/>
        <w:tblInd w:w="0" w:type="dxa"/>
        <w:tblLayout w:type="fixed"/>
        <w:tblCellMar>
          <w:top w:w="28" w:type="dxa"/>
          <w:left w:w="28" w:type="dxa"/>
          <w:bottom w:w="28" w:type="dxa"/>
          <w:right w:w="28" w:type="dxa"/>
        </w:tblCellMar>
      </w:tblPr>
      <w:tblGrid>
        <w:gridCol w:w="209"/>
        <w:gridCol w:w="183"/>
        <w:gridCol w:w="185"/>
        <w:gridCol w:w="224"/>
        <w:gridCol w:w="816"/>
        <w:gridCol w:w="116"/>
        <w:gridCol w:w="109"/>
        <w:gridCol w:w="109"/>
        <w:gridCol w:w="109"/>
        <w:gridCol w:w="224"/>
        <w:gridCol w:w="816"/>
        <w:gridCol w:w="116"/>
        <w:gridCol w:w="109"/>
        <w:gridCol w:w="109"/>
        <w:gridCol w:w="109"/>
        <w:gridCol w:w="239"/>
        <w:gridCol w:w="218"/>
        <w:gridCol w:w="545"/>
        <w:gridCol w:w="109"/>
        <w:gridCol w:w="109"/>
        <w:gridCol w:w="109"/>
        <w:gridCol w:w="291"/>
        <w:gridCol w:w="291"/>
        <w:gridCol w:w="730"/>
        <w:gridCol w:w="109"/>
        <w:gridCol w:w="109"/>
        <w:gridCol w:w="109"/>
        <w:gridCol w:w="242"/>
        <w:gridCol w:w="242"/>
        <w:gridCol w:w="606"/>
        <w:gridCol w:w="109"/>
        <w:gridCol w:w="109"/>
        <w:gridCol w:w="109"/>
        <w:gridCol w:w="215"/>
        <w:gridCol w:w="217"/>
        <w:gridCol w:w="508"/>
        <w:gridCol w:w="109"/>
        <w:gridCol w:w="109"/>
        <w:gridCol w:w="109"/>
        <w:gridCol w:w="239"/>
        <w:gridCol w:w="193"/>
        <w:gridCol w:w="578"/>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Growth/(Decline)</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Acquisition/Divestiture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Organic Sales</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12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 first quarter of 2025 had one less workday compared to the first quarter of 2024.</w:t>
      </w:r>
    </w:p>
    <w:p>
      <w:pPr>
        <w:pStyle w:val="TextBody"/>
        <w:bidi w:val="0"/>
        <w:spacing w:lineRule="auto" w:line="276"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were $5,343.7 million for the first quarter of 2025 compared to $5,350.0 million for the first quarter of 2024, a decrease of 0.1%. Adjusting in part for the 2.8% net decrease from the divestiture of the WIS business and acquisition of Ascent, organic sales for the first quarter of 2025 grew by 5.6%. This growth is reflective of an approximately 4% increase in volume, driven by volume increases in the CSS and EES segments, partially offset by a decline in the UBS segment, and by the impact of changes in price, which favorably impacted consolidated organic sales by approximately 1%.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6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for the first quarter of 2025 was $4,218.1 million compared to $4,212.1 million for the first quarter of 2024, an increase of 0.1%. Cost of goods sold as a percentage of net sales was 78.9% and 78.7% for the first quarter of 2025 and 2024, respectively. The unfavorable increase of 20 basis points primarily reflects a decrease in CSS and EES gross margin partially offset by the impact of the divestiture of the WIS business, and also reflects lower supplier volume rebates and higher inventory adjustments.</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(“SG&amp;A”) expenses for the first quarter of 2025 totaled $836.3 million versus $829.4 million for the first quarter of 2024, an increase of $6.9 million, or 0.8%.</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SG&amp;A expenses to adjusted SG&amp;A expenses, which is a non-GAAP financial measure, for the periods presented: </w:t>
      </w:r>
    </w:p>
    <w:tbl>
      <w:tblPr>
        <w:tblW w:w="9507" w:type="dxa"/>
        <w:jc w:val="center"/>
        <w:tblInd w:w="0" w:type="dxa"/>
        <w:tblLayout w:type="fixed"/>
        <w:tblCellMar>
          <w:top w:w="28" w:type="dxa"/>
          <w:left w:w="28" w:type="dxa"/>
          <w:bottom w:w="28" w:type="dxa"/>
          <w:right w:w="28" w:type="dxa"/>
        </w:tblCellMar>
      </w:tblPr>
      <w:tblGrid>
        <w:gridCol w:w="1623"/>
        <w:gridCol w:w="1428"/>
        <w:gridCol w:w="1434"/>
        <w:gridCol w:w="707"/>
        <w:gridCol w:w="364"/>
        <w:gridCol w:w="368"/>
        <w:gridCol w:w="349"/>
        <w:gridCol w:w="349"/>
        <w:gridCol w:w="351"/>
        <w:gridCol w:w="707"/>
        <w:gridCol w:w="364"/>
        <w:gridCol w:w="368"/>
        <w:gridCol w:w="319"/>
        <w:gridCol w:w="319"/>
        <w:gridCol w:w="457"/>
      </w:tblGrid>
      <w:tr>
        <w:trPr/>
        <w:tc>
          <w:tcPr>
            <w:tcW w:w="16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of net sales</w:t>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of net sales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SG&amp;A Expenses:</w:t>
            </w:r>
          </w:p>
        </w:tc>
        <w:tc>
          <w:tcPr>
            <w:tcW w:w="502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15.5%</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Digital transformation costs</w:t>
            </w:r>
            <w:r>
              <w:rPr>
                <w:rFonts w:ascii="Times New Roman;sans-serif" w:hAnsi="Times New Roman;sans-serif"/>
                <w:b w:val="false"/>
                <w:color w:val="000000"/>
                <w:sz w:val="13"/>
              </w:rPr>
              <w:t>(1)</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Excise taxes on excess pension plan assets</w:t>
            </w:r>
            <w:r>
              <w:rPr>
                <w:rFonts w:ascii="Times New Roman;sans-serif" w:hAnsi="Times New Roman;sans-serif"/>
                <w:b w:val="false"/>
                <w:color w:val="000000"/>
                <w:sz w:val="13"/>
              </w:rPr>
              <w:t>(3)</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selling, general and administrative expenses</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15.1%</w:t>
            </w:r>
          </w:p>
        </w:tc>
      </w:tr>
    </w:tbl>
    <w:p>
      <w:pPr>
        <w:pStyle w:val="TextBody"/>
        <w:bidi w:val="0"/>
        <w:spacing w:lineRule="auto" w:line="288" w:before="60" w:after="6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(3)    </w:t>
      </w:r>
      <w:r>
        <w:rPr>
          <w:rFonts w:ascii="Times New Roman;sans-serif" w:hAnsi="Times New Roman;sans-serif"/>
          <w:b w:val="false"/>
          <w:color w:val="000000"/>
          <w:sz w:val="18"/>
        </w:rPr>
        <w:t>Excise taxes on excess pension plan assets represent the excise taxes applicable to the excess pension plan assets following the final settlement of the Company's U.S. pension plan.</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SG&amp;A payroll and payroll-related expenses for the first quarter of 2025 of $519.4 million decreased by $4.7 million compared to the same period in 2024 primarily as a result of a decrease of $3.1 million in commissions and incentives, which include the impact of the WIS divestiture.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SG&amp;A expenses not related to payroll and payroll-related costs for the first quarter of 2025 were $316.9 million, an increase of $11.6 million compared to the same period in 2024, which primarily reflects higher costs to operate our facilities of $6.9 million and higher transportation costs of $6.9 million.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Income from Operations</w:t>
      </w:r>
    </w:p>
    <w:p>
      <w:pPr>
        <w:pStyle w:val="TextBody"/>
        <w:bidi w:val="0"/>
        <w:spacing w:lineRule="auto" w:line="288" w:before="12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was $240.9 million for the first quarter of 2025 compared to $263.0 million for the first quarter of 2024. The decrease of $22.1 million, or 8.4%, reflects a slight decline in sales, higher cost of goods sold as a percentage of net sales due to a decrease in CSS and EES gross margin partially offset by the impact of the divestiture of the WIS business, and an increase in SG&amp;A expenses, as described above.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expense totaled $86.3 million for the first quarter of 2025 compared to $94.4 million for the first quarter of 2024. The decrease of $8.1 million, or 8.6%, primarily reflects lower borrowings and lower interest rates.</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 totaled $0.2 million for the first quarter of 2025 compared to $21.6 million for the first quarter of 2024. Due to fluctuations in the U.S. dollar against certain foreign currencies, we recognized a net foreign currency exchange loss of $1.1 million for the first quarter of 2025 compared to a net loss of $17.4 million for the first quarter of 2024. We recognized net benefits of $0.8 million and net costs of $5.9 million associated with the non-service cost components of net periodic pension (benefit) cost for the three months ended March 31, 2025 and 2024, respectively.</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other non-operating (income) expense to adjusted other non-operating (income) expense, which is a non-GAAP financial measure, for the periods presented: </w:t>
      </w:r>
    </w:p>
    <w:tbl>
      <w:tblPr>
        <w:tblW w:w="7333" w:type="dxa"/>
        <w:jc w:val="center"/>
        <w:tblInd w:w="0" w:type="dxa"/>
        <w:tblLayout w:type="fixed"/>
        <w:tblCellMar>
          <w:top w:w="28" w:type="dxa"/>
          <w:left w:w="28" w:type="dxa"/>
          <w:bottom w:w="28" w:type="dxa"/>
          <w:right w:w="28" w:type="dxa"/>
        </w:tblCellMar>
      </w:tblPr>
      <w:tblGrid>
        <w:gridCol w:w="1411"/>
        <w:gridCol w:w="1240"/>
        <w:gridCol w:w="1249"/>
        <w:gridCol w:w="707"/>
        <w:gridCol w:w="364"/>
        <w:gridCol w:w="368"/>
        <w:gridCol w:w="170"/>
        <w:gridCol w:w="170"/>
        <w:gridCol w:w="170"/>
        <w:gridCol w:w="661"/>
        <w:gridCol w:w="341"/>
        <w:gridCol w:w="482"/>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5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Other (Income) Expense, net:</w:t>
            </w:r>
          </w:p>
        </w:tc>
        <w:tc>
          <w:tcPr>
            <w:tcW w:w="3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termination of business arrangement</w:t>
            </w:r>
            <w:r>
              <w:rPr>
                <w:rFonts w:ascii="Times New Roman;sans-serif" w:hAnsi="Times New Roman;sans-serif"/>
                <w:b w:val="false"/>
                <w:color w:val="000000"/>
                <w:sz w:val="13"/>
              </w:rPr>
              <w:t>(1)</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Pension settlement cost</w:t>
            </w:r>
            <w:r>
              <w:rPr>
                <w:rFonts w:ascii="Times New Roman;sans-serif" w:hAnsi="Times New Roman;sans-serif"/>
                <w:b w:val="false"/>
                <w:color w:val="000000"/>
                <w:sz w:val="13"/>
              </w:rPr>
              <w:t>(2)</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other (income) expense, net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bl>
    <w:p>
      <w:pPr>
        <w:pStyle w:val="TextBody"/>
        <w:bidi w:val="0"/>
        <w:spacing w:lineRule="auto" w:line="288" w:before="40" w:after="4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Loss on termination of business arrangement represents the loss recognized as a result of management's decision to terminate a business arrangement with a third party.</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 xml:space="preserve">Pension settlement cost represents expense related to the final settlement of the Company's U.S. pension plan. </w:t>
      </w:r>
    </w:p>
    <w:p>
      <w:pPr>
        <w:pStyle w:val="TextBody"/>
        <w:bidi w:val="0"/>
        <w:spacing w:lineRule="auto" w:line="276" w:before="18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was $36.1 million for the first quarter of 2025 compared to $30.9 million for the corresponding quarter of the prior year, resulting in effective tax rates of 23.4% and 21.0%, respectively. The higher effective tax rate for the first quarter of 2025 is due to lower discrete income tax benefits resulting from the exercise and vesting of stock-based awards as compared to the prior year.</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Net Income and Earnings per Share</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and earnings per diluted share attributable to common stockholders were $104.0 million and $2.10, respectively, for the first quarter of 2025 compared to $101.4 million and $1.95, respectively, for the first quarter of 2024. Adjusted for the non-GAAP adjustments above and the related income tax effects, net income and earnings per diluted share attributable to common stockholders were $109.6 million and $2.21, respectively, for the three months ended March 31, 2025 and $119.2 million and $2.30, respectively, for the three months ended March 31, 2024. </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adjusted earnings per diluted share primarily reflects the increase in cost of goods sold as a percentage of net sales and increase in SG&amp;A expenses, partially offset by decreases in interest expense and adjusted other expense, all of which are discussed above. Additionally, there was a positive impact from the reduction in outstanding shares during the first quarter of 2025 as compared to the first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76" w:before="180" w:after="120"/>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was $310.7 million for the first quarter of 2025, compared to $340.4 million for the first quarter of 2024, a decrease of $29.7 million, or 8.7% year-over-year. The decrease primarily reflects a $6.3 million decrease in net sales, a $6.0 million increase in cost of goods sold related to increased large project sales, and a $6.9 million increase in SG&amp;A expenses, all of which include the impact of the WIS divestiture. Included in the increase in SG&amp;A expenses is a $6.9 million decrease in restructuring costs, which is an adjustment to calculate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20"/>
        <w:jc w:val="both"/>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financial results of our operating segments comprising three strategic business units consisting of EES, CSS and UBS for the three months ended March 31, 2025. As further described below and in Note 14, “Business Segments” of our Notes to the unaudited Condensed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 As previously described in Note 2, “Accounting Policies,” the reportable segment information for the three months ended March 31, 2024 for the EES and CSS reportable segments has been recast to conform to the current year presentation.</w:t>
      </w:r>
    </w:p>
    <w:p>
      <w:pPr>
        <w:pStyle w:val="TextBody"/>
        <w:bidi w:val="0"/>
        <w:spacing w:lineRule="auto" w:line="276"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Electrical &amp; Electronic Solutions</w:t>
      </w:r>
    </w:p>
    <w:tbl>
      <w:tblPr>
        <w:tblW w:w="10205" w:type="dxa"/>
        <w:jc w:val="left"/>
        <w:tblInd w:w="0" w:type="dxa"/>
        <w:tblLayout w:type="fixed"/>
        <w:tblCellMar>
          <w:top w:w="28" w:type="dxa"/>
          <w:left w:w="28" w:type="dxa"/>
          <w:bottom w:w="28" w:type="dxa"/>
          <w:right w:w="28" w:type="dxa"/>
        </w:tblCellMar>
      </w:tblPr>
      <w:tblGrid>
        <w:gridCol w:w="398"/>
        <w:gridCol w:w="349"/>
        <w:gridCol w:w="356"/>
        <w:gridCol w:w="301"/>
        <w:gridCol w:w="265"/>
        <w:gridCol w:w="488"/>
        <w:gridCol w:w="113"/>
        <w:gridCol w:w="113"/>
        <w:gridCol w:w="113"/>
        <w:gridCol w:w="301"/>
        <w:gridCol w:w="265"/>
        <w:gridCol w:w="488"/>
        <w:gridCol w:w="109"/>
        <w:gridCol w:w="109"/>
        <w:gridCol w:w="109"/>
        <w:gridCol w:w="223"/>
        <w:gridCol w:w="213"/>
        <w:gridCol w:w="533"/>
        <w:gridCol w:w="109"/>
        <w:gridCol w:w="109"/>
        <w:gridCol w:w="109"/>
        <w:gridCol w:w="237"/>
        <w:gridCol w:w="237"/>
        <w:gridCol w:w="592"/>
        <w:gridCol w:w="109"/>
        <w:gridCol w:w="109"/>
        <w:gridCol w:w="109"/>
        <w:gridCol w:w="235"/>
        <w:gridCol w:w="235"/>
        <w:gridCol w:w="589"/>
        <w:gridCol w:w="109"/>
        <w:gridCol w:w="109"/>
        <w:gridCol w:w="109"/>
        <w:gridCol w:w="214"/>
        <w:gridCol w:w="215"/>
        <w:gridCol w:w="508"/>
        <w:gridCol w:w="109"/>
        <w:gridCol w:w="109"/>
        <w:gridCol w:w="109"/>
        <w:gridCol w:w="238"/>
        <w:gridCol w:w="189"/>
        <w:gridCol w:w="562"/>
      </w:tblGrid>
      <w:tr>
        <w:trP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Growth/(Decline)</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Organic Sales</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w:t>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EES reported net sales of $2,065.3 million for the first quarter of 2025 compared to $2,064.3 million for the first quarter of 2024, an increase of $1.0 million. EES organic sales for the first quarter of 2025 grew by 3.4%, driven by the impact of changes in price. Volume did not have a material impact on the year over year growth in EES organic sales.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EES adjusted EBITDA decreased $19.2 million, or 11.9% year-over-year. The decrease primarily reflects an increase in cost of goods sold of $13.2 million, which is inclusive of higher inventory adjustments of approximately $4.0 million. Additionally, SG&amp;A expenses increased $7.0 million as compared to the prior year, which was primarily attributed to an increase in transportation costs of $2.5 million and an increase in operations expenses of $2.5 million.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Communications &amp; Security Solutions</w:t>
      </w:r>
    </w:p>
    <w:tbl>
      <w:tblPr>
        <w:tblW w:w="10205" w:type="dxa"/>
        <w:jc w:val="left"/>
        <w:tblInd w:w="0" w:type="dxa"/>
        <w:tblLayout w:type="fixed"/>
        <w:tblCellMar>
          <w:top w:w="28" w:type="dxa"/>
          <w:left w:w="28" w:type="dxa"/>
          <w:bottom w:w="28" w:type="dxa"/>
          <w:right w:w="28" w:type="dxa"/>
        </w:tblCellMar>
      </w:tblPr>
      <w:tblGrid>
        <w:gridCol w:w="373"/>
        <w:gridCol w:w="327"/>
        <w:gridCol w:w="333"/>
        <w:gridCol w:w="290"/>
        <w:gridCol w:w="265"/>
        <w:gridCol w:w="479"/>
        <w:gridCol w:w="111"/>
        <w:gridCol w:w="111"/>
        <w:gridCol w:w="111"/>
        <w:gridCol w:w="290"/>
        <w:gridCol w:w="265"/>
        <w:gridCol w:w="479"/>
        <w:gridCol w:w="109"/>
        <w:gridCol w:w="109"/>
        <w:gridCol w:w="109"/>
        <w:gridCol w:w="303"/>
        <w:gridCol w:w="218"/>
        <w:gridCol w:w="522"/>
        <w:gridCol w:w="109"/>
        <w:gridCol w:w="109"/>
        <w:gridCol w:w="109"/>
        <w:gridCol w:w="237"/>
        <w:gridCol w:w="237"/>
        <w:gridCol w:w="592"/>
        <w:gridCol w:w="109"/>
        <w:gridCol w:w="109"/>
        <w:gridCol w:w="109"/>
        <w:gridCol w:w="228"/>
        <w:gridCol w:w="228"/>
        <w:gridCol w:w="571"/>
        <w:gridCol w:w="109"/>
        <w:gridCol w:w="109"/>
        <w:gridCol w:w="109"/>
        <w:gridCol w:w="213"/>
        <w:gridCol w:w="214"/>
        <w:gridCol w:w="508"/>
        <w:gridCol w:w="109"/>
        <w:gridCol w:w="109"/>
        <w:gridCol w:w="109"/>
        <w:gridCol w:w="271"/>
        <w:gridCol w:w="243"/>
        <w:gridCol w:w="551"/>
      </w:tblGrid>
      <w:tr>
        <w:trPr/>
        <w:tc>
          <w:tcPr>
            <w:tcW w:w="3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Growth/(Decline)</w:t>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Organic Sales</w:t>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w:t>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CSS reported net sales of $2,000.3 million for the first quarter of 2025 compared to $1,704.8 million for the first quarter of 2024, an increase of $295.5 million, or 17.3%, which is inclusive of a favorable impact from the acquisition of Ascent of 2.3%. CSS organic sales for the first quarter of 2025 grew by 18.1%, primarily reflecting volume growth in the data center solutions business. Changes in price did not have a material impact on the year-over-year growth in CSS organic sales.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CSS adjusted EBITDA increased $27.3 million, or 20.8% year-over-year. The increase primarily reflects a $295.5 million increase in net sales, as described above, partially offset by a corresponding increase in cost of goods sold of $247.2 million, and an increase in SG&amp;A expenses of $20.7 million. The increase in SG&amp;A expenses is primarily attributed to a $6.9 million increase in transportation costs consistent with higher sales, increased salaries of $4.0 million and increased commissions and incentives of $3.5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Utility &amp; Broadband Solutions</w:t>
      </w:r>
    </w:p>
    <w:tbl>
      <w:tblPr>
        <w:tblW w:w="10205" w:type="dxa"/>
        <w:jc w:val="left"/>
        <w:tblInd w:w="0" w:type="dxa"/>
        <w:tblLayout w:type="fixed"/>
        <w:tblCellMar>
          <w:top w:w="28" w:type="dxa"/>
          <w:left w:w="28" w:type="dxa"/>
          <w:bottom w:w="28" w:type="dxa"/>
          <w:right w:w="28" w:type="dxa"/>
        </w:tblCellMar>
      </w:tblPr>
      <w:tblGrid>
        <w:gridCol w:w="376"/>
        <w:gridCol w:w="330"/>
        <w:gridCol w:w="336"/>
        <w:gridCol w:w="292"/>
        <w:gridCol w:w="265"/>
        <w:gridCol w:w="480"/>
        <w:gridCol w:w="112"/>
        <w:gridCol w:w="112"/>
        <w:gridCol w:w="112"/>
        <w:gridCol w:w="292"/>
        <w:gridCol w:w="265"/>
        <w:gridCol w:w="480"/>
        <w:gridCol w:w="109"/>
        <w:gridCol w:w="109"/>
        <w:gridCol w:w="109"/>
        <w:gridCol w:w="303"/>
        <w:gridCol w:w="232"/>
        <w:gridCol w:w="523"/>
        <w:gridCol w:w="109"/>
        <w:gridCol w:w="109"/>
        <w:gridCol w:w="109"/>
        <w:gridCol w:w="266"/>
        <w:gridCol w:w="266"/>
        <w:gridCol w:w="576"/>
        <w:gridCol w:w="109"/>
        <w:gridCol w:w="109"/>
        <w:gridCol w:w="109"/>
        <w:gridCol w:w="229"/>
        <w:gridCol w:w="228"/>
        <w:gridCol w:w="573"/>
        <w:gridCol w:w="109"/>
        <w:gridCol w:w="109"/>
        <w:gridCol w:w="109"/>
        <w:gridCol w:w="213"/>
        <w:gridCol w:w="214"/>
        <w:gridCol w:w="508"/>
        <w:gridCol w:w="109"/>
        <w:gridCol w:w="109"/>
        <w:gridCol w:w="109"/>
        <w:gridCol w:w="249"/>
        <w:gridCol w:w="185"/>
        <w:gridCol w:w="553"/>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Growth/(Decline)</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Organic Sales</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UBS reported net sales of $1,278.1 million for the first quarter of 2025 compared to $1,580.9 million for the first quarter of 2024, a decrease of $302.8 million, or 19.2%, which is inclusive of an unfavorable impact from the divestiture of the WIS business of 12.2%. UBS organic sales for the first quarter of 2025 declined by 4.9%, reflecting volume declines, primarily as a result of ongoing customer destocking. Changes in price did not have a material impact on the year-over-year decline in UBS organic sales.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UBS adjusted EBITDA decreased $31.1 million, or 18.4% year-over-year. The decrease primarily reflects the $302.8 million decline in net sales, as described above, partially offset by a corresponding decrease in cost of goods sold of $254.4 million, which is inclusive of lower supplier volume rebates of $3.8 million. SG&amp;A expenses decreased $17.8 million as compared to the prior year, primarily due to lower salaries of $5.2 million, lower commissions and incentives of $4.0 million, and lower benefits of $2.6 million, all of which are primarily attributable to the divestiture of the WIS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reconcile net income attributable to common stockholders to adjusted EBITDA and adjusted EBITDA margin % by segment, which are non-GAAP financial measures, for the periods presented: </w:t>
      </w:r>
    </w:p>
    <w:tbl>
      <w:tblPr>
        <w:tblW w:w="10205" w:type="dxa"/>
        <w:jc w:val="left"/>
        <w:tblInd w:w="0" w:type="dxa"/>
        <w:tblLayout w:type="fixed"/>
        <w:tblCellMar>
          <w:top w:w="28" w:type="dxa"/>
          <w:left w:w="28" w:type="dxa"/>
          <w:bottom w:w="28" w:type="dxa"/>
          <w:right w:w="28" w:type="dxa"/>
        </w:tblCellMar>
      </w:tblPr>
      <w:tblGrid>
        <w:gridCol w:w="1162"/>
        <w:gridCol w:w="894"/>
        <w:gridCol w:w="904"/>
        <w:gridCol w:w="125"/>
        <w:gridCol w:w="125"/>
        <w:gridCol w:w="125"/>
        <w:gridCol w:w="281"/>
        <w:gridCol w:w="202"/>
        <w:gridCol w:w="483"/>
        <w:gridCol w:w="125"/>
        <w:gridCol w:w="125"/>
        <w:gridCol w:w="125"/>
        <w:gridCol w:w="281"/>
        <w:gridCol w:w="202"/>
        <w:gridCol w:w="483"/>
        <w:gridCol w:w="125"/>
        <w:gridCol w:w="125"/>
        <w:gridCol w:w="125"/>
        <w:gridCol w:w="352"/>
        <w:gridCol w:w="253"/>
        <w:gridCol w:w="483"/>
        <w:gridCol w:w="125"/>
        <w:gridCol w:w="125"/>
        <w:gridCol w:w="125"/>
        <w:gridCol w:w="560"/>
        <w:gridCol w:w="373"/>
        <w:gridCol w:w="377"/>
        <w:gridCol w:w="125"/>
        <w:gridCol w:w="125"/>
        <w:gridCol w:w="125"/>
        <w:gridCol w:w="315"/>
        <w:gridCol w:w="291"/>
        <w:gridCol w:w="434"/>
      </w:tblGrid>
      <w:tr>
        <w:trPr/>
        <w:tc>
          <w:tcPr>
            <w:tcW w:w="116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UBS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income taxes</w:t>
            </w:r>
            <w:r>
              <w:rPr>
                <w:rFonts w:ascii="Times New Roman;sans-serif" w:hAnsi="Times New Roman;sans-serif"/>
                <w:b w:val="false"/>
                <w:color w:val="000000"/>
                <w:sz w:val="13"/>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3"/>
              </w:rPr>
              <w:t>(1)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Digital transformation costs</w:t>
            </w:r>
            <w:r>
              <w:rPr>
                <w:rFonts w:ascii="Times New Roman;sans-serif" w:hAnsi="Times New Roman;sans-serif"/>
                <w:b w:val="false"/>
                <w:color w:val="000000"/>
                <w:sz w:val="13"/>
              </w:rPr>
              <w:t>(2)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Cloud computing arrangement amortization</w:t>
            </w:r>
            <w:r>
              <w:rPr>
                <w:rFonts w:ascii="Times New Roman;sans-serif" w:hAnsi="Times New Roman;sans-serif"/>
                <w:b w:val="false"/>
                <w:color w:val="000000"/>
                <w:sz w:val="13"/>
              </w:rPr>
              <w:t>(3)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310.7</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w:t>
            </w:r>
            <w:r>
              <w:rPr>
                <w:color w:val="000000"/>
              </w:rPr>
              <w:t>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w:t>
            </w:r>
            <w:r>
              <w:rPr>
                <w:color w:val="000000"/>
              </w:rPr>
              <w:t>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Restructuring costs include severance costs incurred pursuant to an ongoing restructuring plan.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tbl>
      <w:tblPr>
        <w:tblW w:w="10205" w:type="dxa"/>
        <w:jc w:val="left"/>
        <w:tblInd w:w="0" w:type="dxa"/>
        <w:tblLayout w:type="fixed"/>
        <w:tblCellMar>
          <w:top w:w="28" w:type="dxa"/>
          <w:left w:w="28" w:type="dxa"/>
          <w:bottom w:w="28" w:type="dxa"/>
          <w:right w:w="28" w:type="dxa"/>
        </w:tblCellMar>
      </w:tblPr>
      <w:tblGrid>
        <w:gridCol w:w="1162"/>
        <w:gridCol w:w="895"/>
        <w:gridCol w:w="905"/>
        <w:gridCol w:w="125"/>
        <w:gridCol w:w="125"/>
        <w:gridCol w:w="125"/>
        <w:gridCol w:w="282"/>
        <w:gridCol w:w="202"/>
        <w:gridCol w:w="483"/>
        <w:gridCol w:w="125"/>
        <w:gridCol w:w="125"/>
        <w:gridCol w:w="125"/>
        <w:gridCol w:w="283"/>
        <w:gridCol w:w="201"/>
        <w:gridCol w:w="485"/>
        <w:gridCol w:w="125"/>
        <w:gridCol w:w="125"/>
        <w:gridCol w:w="125"/>
        <w:gridCol w:w="352"/>
        <w:gridCol w:w="253"/>
        <w:gridCol w:w="483"/>
        <w:gridCol w:w="125"/>
        <w:gridCol w:w="125"/>
        <w:gridCol w:w="125"/>
        <w:gridCol w:w="560"/>
        <w:gridCol w:w="373"/>
        <w:gridCol w:w="377"/>
        <w:gridCol w:w="125"/>
        <w:gridCol w:w="125"/>
        <w:gridCol w:w="125"/>
        <w:gridCol w:w="315"/>
        <w:gridCol w:w="291"/>
        <w:gridCol w:w="428"/>
      </w:tblGrid>
      <w:tr>
        <w:trPr/>
        <w:tc>
          <w:tcPr>
            <w:tcW w:w="116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EES</w:t>
            </w:r>
            <w:r>
              <w:rPr>
                <w:rFonts w:ascii="Times New Roman;sans-serif" w:hAnsi="Times New Roman;sans-serif"/>
                <w:b/>
                <w:color w:val="000000"/>
                <w:sz w:val="13"/>
              </w:rPr>
              <w:t>(1)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CSS</w:t>
            </w:r>
            <w:r>
              <w:rPr>
                <w:rFonts w:ascii="Times New Roman;sans-serif" w:hAnsi="Times New Roman;sans-serif"/>
                <w:b/>
                <w:color w:val="000000"/>
                <w:sz w:val="13"/>
              </w:rPr>
              <w:t>(1)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UBS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income taxes</w:t>
            </w:r>
            <w:r>
              <w:rPr>
                <w:rFonts w:ascii="Times New Roman;sans-serif" w:hAnsi="Times New Roman;sans-serif"/>
                <w:b w:val="false"/>
                <w:color w:val="000000"/>
                <w:sz w:val="13"/>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3"/>
              </w:rPr>
              <w:t>(2)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Digital transformation costs</w:t>
            </w:r>
            <w:r>
              <w:rPr>
                <w:rFonts w:ascii="Times New Roman;sans-serif" w:hAnsi="Times New Roman;sans-serif"/>
                <w:b w:val="false"/>
                <w:color w:val="000000"/>
                <w:sz w:val="13"/>
              </w:rPr>
              <w:t>(4)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Excise taxes on excess pension plan assets</w:t>
            </w:r>
            <w:r>
              <w:rPr>
                <w:rFonts w:ascii="Times New Roman;sans-serif" w:hAnsi="Times New Roman;sans-serif"/>
                <w:b w:val="false"/>
                <w:color w:val="000000"/>
                <w:sz w:val="13"/>
              </w:rPr>
              <w:t>(5)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Cloud computing arrangement amortization</w:t>
            </w:r>
            <w:r>
              <w:rPr>
                <w:rFonts w:ascii="Times New Roman;sans-serif" w:hAnsi="Times New Roman;sans-serif"/>
                <w:b w:val="false"/>
                <w:color w:val="000000"/>
                <w:sz w:val="13"/>
              </w:rPr>
              <w:t>(6)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340.4</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w:t>
            </w:r>
            <w:r>
              <w:rPr>
                <w:color w:val="000000"/>
              </w:rPr>
              <w:t>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w:t>
            </w:r>
            <w:r>
              <w:rPr>
                <w:color w:val="000000"/>
              </w:rPr>
              <w:t>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As previously described in Note 2, “Accounting Policies,” the reportable segment information for the three months ended March 31, 2024 for the EES and CSS reportable segments has been recast to conform to the current year presentation.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Restructuring costs include severance costs incurred pursuant to an ongoing restructuring plan.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Excise taxes on excess pension plan assets represent the excise taxes applicable to the excess pension plan assets following the final settlement of the Company's U.S. pension plan.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ans-serif" w:hAnsi="Times New Roman;sans-serif"/>
                <w:b w:val="false"/>
                <w:color w:val="000000"/>
                <w:sz w:val="12"/>
              </w:rPr>
              <w:t>(6)</w:t>
            </w:r>
            <w:r>
              <w:rPr>
                <w:color w:val="000000"/>
              </w:rPr>
              <w:t xml:space="preserve"> </w:t>
            </w:r>
            <w:r>
              <w:rPr>
                <w:rFonts w:ascii="Times New Roman;sans-serif" w:hAnsi="Times New Roman;sans-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bl>
    <w:p>
      <w:pPr>
        <w:pStyle w:val="TextBody"/>
        <w:bidi w:val="0"/>
        <w:spacing w:lineRule="auto" w:line="288" w:before="20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selling, general and administrative expenses, income from operations, other non-operating (income) expense, provision for income taxes and earnings per diluted share to adjusted selling, general and administrative expenses, adjusted income from operations, adjusted other non-operating (income) expense, adjusted provision for income taxes and adjusted earnings per diluted share, which are non-GAAP financial measures, for the periods presented:</w:t>
      </w:r>
    </w:p>
    <w:tbl>
      <w:tblPr>
        <w:tblW w:w="10205" w:type="dxa"/>
        <w:jc w:val="center"/>
        <w:tblInd w:w="0" w:type="dxa"/>
        <w:tblLayout w:type="fixed"/>
        <w:tblCellMar>
          <w:top w:w="28" w:type="dxa"/>
          <w:left w:w="28" w:type="dxa"/>
          <w:bottom w:w="28" w:type="dxa"/>
          <w:right w:w="28" w:type="dxa"/>
        </w:tblCellMar>
      </w:tblPr>
      <w:tblGrid>
        <w:gridCol w:w="2537"/>
        <w:gridCol w:w="2189"/>
        <w:gridCol w:w="2198"/>
        <w:gridCol w:w="661"/>
        <w:gridCol w:w="364"/>
        <w:gridCol w:w="348"/>
        <w:gridCol w:w="162"/>
        <w:gridCol w:w="162"/>
        <w:gridCol w:w="162"/>
        <w:gridCol w:w="620"/>
        <w:gridCol w:w="341"/>
        <w:gridCol w:w="461"/>
      </w:tblGrid>
      <w:tr>
        <w:trPr/>
        <w:tc>
          <w:tcPr>
            <w:tcW w:w="2537"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4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SG&amp;A Expenses:</w:t>
            </w:r>
          </w:p>
        </w:tc>
        <w:tc>
          <w:tcPr>
            <w:tcW w:w="3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Digital transformation costs</w:t>
            </w:r>
            <w:r>
              <w:rPr>
                <w:rFonts w:ascii="Times New Roman;sans-serif" w:hAnsi="Times New Roman;sans-serif"/>
                <w:b w:val="false"/>
                <w:color w:val="000000"/>
                <w:sz w:val="13"/>
              </w:rPr>
              <w:t>(1)</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Excise taxes on excess pension plan assets</w:t>
            </w:r>
            <w:r>
              <w:rPr>
                <w:rFonts w:ascii="Times New Roman;sans-serif" w:hAnsi="Times New Roman;sans-serif"/>
                <w:b w:val="false"/>
                <w:color w:val="000000"/>
                <w:sz w:val="13"/>
              </w:rPr>
              <w:t>(3)</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selling, general and administrative expenses</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Income from Operations:</w:t>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Digital transformation costs</w:t>
            </w:r>
            <w:r>
              <w:rPr>
                <w:rFonts w:ascii="Times New Roman;sans-serif" w:hAnsi="Times New Roman;sans-serif"/>
                <w:b w:val="false"/>
                <w:color w:val="000000"/>
                <w:sz w:val="13"/>
              </w:rPr>
              <w:t>(1)</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Excise taxes on excess pension plan assets</w:t>
            </w:r>
            <w:r>
              <w:rPr>
                <w:rFonts w:ascii="Times New Roman;sans-serif" w:hAnsi="Times New Roman;sans-serif"/>
                <w:b w:val="false"/>
                <w:color w:val="000000"/>
                <w:sz w:val="13"/>
              </w:rPr>
              <w:t>(3)</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income from operations</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Other (Income) Expense, net:</w:t>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termination of business arrangement</w:t>
            </w:r>
            <w:r>
              <w:rPr>
                <w:rFonts w:ascii="Times New Roman;sans-serif" w:hAnsi="Times New Roman;sans-serif"/>
                <w:b w:val="false"/>
                <w:color w:val="000000"/>
                <w:sz w:val="13"/>
              </w:rPr>
              <w:t>(4)</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Pension settlement cost</w:t>
            </w:r>
            <w:r>
              <w:rPr>
                <w:rFonts w:ascii="Times New Roman;sans-serif" w:hAnsi="Times New Roman;sans-serif"/>
                <w:b w:val="false"/>
                <w:color w:val="000000"/>
                <w:sz w:val="13"/>
              </w:rPr>
              <w:t>(5)</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other (income) expense, net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Provision for Income Taxes:</w:t>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val="false"/>
                <w:color w:val="000000"/>
                <w:sz w:val="20"/>
              </w:rPr>
              <w:t>Income tax effect of adjustments to income from operations and other (income) expense, net</w:t>
            </w:r>
            <w:r>
              <w:rPr>
                <w:rFonts w:ascii="Times New Roman;sans-serif" w:hAnsi="Times New Roman;sans-serif"/>
                <w:b w:val="false"/>
                <w:color w:val="000000"/>
                <w:sz w:val="13"/>
              </w:rPr>
              <w:t>(6)</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provision for income taxes</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r>
    </w:tbl>
    <w:p>
      <w:pPr>
        <w:pStyle w:val="TextBody"/>
        <w:bidi w:val="0"/>
        <w:spacing w:lineRule="auto" w:line="288" w:before="60" w:after="6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(3)    </w:t>
      </w:r>
      <w:r>
        <w:rPr>
          <w:rFonts w:ascii="Times New Roman;sans-serif" w:hAnsi="Times New Roman;sans-serif"/>
          <w:b w:val="false"/>
          <w:color w:val="000000"/>
          <w:sz w:val="18"/>
        </w:rPr>
        <w:t>Excise taxes on excess pension plan assets represent the excise taxes applicable to the excess pension plan assets following the final settlement of the Company's U.S. pension plan.</w:t>
      </w:r>
    </w:p>
    <w:p>
      <w:pPr>
        <w:pStyle w:val="TextBody"/>
        <w:bidi w:val="0"/>
        <w:spacing w:lineRule="auto" w:line="288" w:before="40" w:after="40"/>
        <w:ind w:left="0" w:right="0" w:hanging="270"/>
        <w:jc w:val="both"/>
        <w:rPr/>
      </w:pPr>
      <w:r>
        <w:rPr>
          <w:rFonts w:ascii="Times New Roman;sans-serif" w:hAnsi="Times New Roman;sans-serif"/>
          <w:b w:val="false"/>
          <w:color w:val="000000"/>
          <w:sz w:val="12"/>
        </w:rPr>
        <w:t>(4)    </w:t>
      </w:r>
      <w:r>
        <w:rPr>
          <w:rFonts w:ascii="Times New Roman;sans-serif" w:hAnsi="Times New Roman;sans-serif"/>
          <w:b w:val="false"/>
          <w:color w:val="000000"/>
          <w:sz w:val="18"/>
        </w:rPr>
        <w:t>Loss on termination of business arrangement represents the loss recognized as a result of management's decision to terminate a business arrangement with a third party.</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(5)    </w:t>
      </w:r>
      <w:r>
        <w:rPr>
          <w:rFonts w:ascii="Times New Roman;sans-serif" w:hAnsi="Times New Roman;sans-serif"/>
          <w:b w:val="false"/>
          <w:color w:val="000000"/>
          <w:sz w:val="18"/>
        </w:rPr>
        <w:t xml:space="preserve">Pension settlement cost represents expense related to the final settlement of the Company's U.S. pension plan. </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(6)    </w:t>
      </w:r>
      <w:r>
        <w:rPr>
          <w:rFonts w:ascii="Times New Roman;sans-serif" w:hAnsi="Times New Roman;sans-serif"/>
          <w:b w:val="false"/>
          <w:color w:val="000000"/>
          <w:sz w:val="18"/>
        </w:rPr>
        <w:t xml:space="preserve">The adjustments to income from operations and other (income) expense, net have been tax effected at rates of 26.4% and 27.0% for the three months ended March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tbl>
      <w:tblPr>
        <w:tblW w:w="8456" w:type="dxa"/>
        <w:jc w:val="left"/>
        <w:tblInd w:w="0" w:type="dxa"/>
        <w:tblLayout w:type="fixed"/>
        <w:tblCellMar>
          <w:top w:w="28" w:type="dxa"/>
          <w:left w:w="28" w:type="dxa"/>
          <w:bottom w:w="28" w:type="dxa"/>
          <w:right w:w="28" w:type="dxa"/>
        </w:tblCellMar>
      </w:tblPr>
      <w:tblGrid>
        <w:gridCol w:w="1884"/>
        <w:gridCol w:w="1657"/>
        <w:gridCol w:w="1664"/>
        <w:gridCol w:w="324"/>
        <w:gridCol w:w="948"/>
        <w:gridCol w:w="167"/>
        <w:gridCol w:w="109"/>
        <w:gridCol w:w="109"/>
        <w:gridCol w:w="109"/>
        <w:gridCol w:w="319"/>
        <w:gridCol w:w="933"/>
        <w:gridCol w:w="233"/>
      </w:tblGrid>
      <w:tr>
        <w:trP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Diluted Share:</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income from operations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other (income) expense,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income before income taxes</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provision for income taxes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WESCO International, Inc.</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common stockholders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diluted share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Note: For the three months ended March 31, 2025, SG&amp;A expenses, income from operations, other non-operating (income) expense, the provision for income taxes and earnings per diluted share have been adjusted to exclude digital transformation costs, restructuring costs, the loss on termination of business arrangement, and the related income tax effects. For the three months ended March 31, 2024, SG&amp;A expenses, income from operations, other non-operating expense, the provision for income taxes and earnings per diluted share have been adjusted to exclude digital transformation costs, restructuring costs, pension settlement cost and excise taxes on excess pension plan assets related to the final settlement of the Anixter Inc. Pension Plan, and the related income tax effects. These non-GAAP financial measures provide a better understanding of our financial results on a comparable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needs generally arise from fluctuations in our working capital requirements, information technology investments, capital expenditures, acquisitions, the payment of dividends, and debt service obligations. As of March 31, 2025, we had approximately $1.7 billion in available borrowing capacity under our Revolving Credit Facility, after giving effect to outstanding letters of credit and certain borrowings under our international lines of credit, and $275.0 million of available borrowing capacity under our Receivables Facility, which combined with available cash of $404.8 million, provided liquidity of approximately $2.4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9, “Debt” of our Notes to the unaudited Condensed Consolidated Financial Statements, on March 6, 2025, Wesco Distribution issued $800 million aggregate principal amount of 6.375% senior notes due 2033 (the “2033 Notes”). We intend to use the net proceeds from the issuance of the 2033 Notes to redeem all of the Company’s outstanding Series A Preferred Stock and all of the related depositary shares representing fractional interests in the Series A Preferred Stock in June 2025, and repay a portion of the amounts outstanding under the Revolving Credit Facility. Prior to redeeming the Series A Preferred Stock, we used the net proceeds to temporarily repay all of the outstanding borrowings under our Revolving Credit Facility and to repay a portion of the amounts outstanding under our Receivables Facility. We intend to subsequently redraw under the Receivables Facility and/or the Revolving Credit Facility in an aggregate amount sufficient to redeem the Series A Preferred Stock.</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in the first three months of 2025 after the Federal Reserve reduced its benchmark interest rate by a total of 100 basis points in the second half of 2024. Future interest rate changes would raise or lower the rates we pay on our variable rate debt and would contribute to fluctuations in interest expense versus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approximately 74% of our debt portfolio consisted of fixed rate debt. As noted above, we used the net proceeds from our issuance of the 2033 Notes to temporarily repay all of the outstanding borrowings under our Revolving Credit Facility and a portion of the amounts outstanding under our Receivables Facility, which are both variable rate facilities. We intend to subsequently withdraw under our Receivables Facility and/or our Revolving Credit Facility in an aggregate amount sufficient to redeem the Series A Preferred Stock. We believe our capital structure has an appropriate mix of fixed versus variable rate debt and secured versus unsecured instruments.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Over the next several quarters, we expect that our excess liquidity will be directed primarily at share repurchases, the payment of dividends, debt reduction, digital transformation initiatives, potential acquisitions and related integration activities, and the redemption of Series A Preferred Stock.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the first quarter of 2025, future market disruptions could occur which could potentially affect our liquidity. We believe cash provided by operations and financing activities will be adequate to cover our operational and business needs for at least the next twelve months.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communicate on a regular basis with our lenders regarding our financial and working capital performance, and liquidity position. We were in compliance with all financial covenants and restrictions contained in our debt agreements as of March 31, 2025.</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also measure our ability to meet our debt obligations based on our financial leverage ratio, which was 3.1x as of March 31, 2025 and 2.9x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financial leverage ratio, which is a non-GAAP financial measure, for the periods presented:</w:t>
      </w:r>
    </w:p>
    <w:tbl>
      <w:tblPr>
        <w:tblW w:w="6977" w:type="dxa"/>
        <w:jc w:val="center"/>
        <w:tblInd w:w="0" w:type="dxa"/>
        <w:tblLayout w:type="fixed"/>
        <w:tblCellMar>
          <w:top w:w="28" w:type="dxa"/>
          <w:left w:w="28" w:type="dxa"/>
          <w:bottom w:w="28" w:type="dxa"/>
          <w:right w:w="28" w:type="dxa"/>
        </w:tblCellMar>
      </w:tblPr>
      <w:tblGrid>
        <w:gridCol w:w="1520"/>
        <w:gridCol w:w="1333"/>
        <w:gridCol w:w="1346"/>
        <w:gridCol w:w="196"/>
        <w:gridCol w:w="691"/>
        <w:gridCol w:w="109"/>
        <w:gridCol w:w="109"/>
        <w:gridCol w:w="109"/>
        <w:gridCol w:w="109"/>
        <w:gridCol w:w="221"/>
        <w:gridCol w:w="781"/>
        <w:gridCol w:w="453"/>
      </w:tblGrid>
      <w:tr>
        <w:trPr/>
        <w:tc>
          <w:tcPr>
            <w:tcW w:w="15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ratios)</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Digital transformation costs</w:t>
            </w:r>
            <w:r>
              <w:rPr>
                <w:rFonts w:ascii="Times New Roman;sans-serif" w:hAnsi="Times New Roman;sans-serif"/>
                <w:b w:val="false"/>
                <w:color w:val="000000"/>
                <w:sz w:val="12"/>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costs</w:t>
            </w:r>
            <w:r>
              <w:rPr>
                <w:rFonts w:ascii="Times New Roman;sans-serif" w:hAnsi="Times New Roman;sans-serif"/>
                <w:b w:val="false"/>
                <w:color w:val="000000"/>
                <w:sz w:val="12"/>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Cloud computing arrangement amortization</w:t>
            </w:r>
            <w:r>
              <w:rPr>
                <w:rFonts w:ascii="Times New Roman;sans-serif" w:hAnsi="Times New Roman;sans-serif"/>
                <w:b w:val="false"/>
                <w:color w:val="000000"/>
                <w:sz w:val="12"/>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Loss on abandonment of assets</w:t>
            </w:r>
            <w:r>
              <w:rPr>
                <w:rFonts w:ascii="Times New Roman;sans-serif" w:hAnsi="Times New Roman;sans-serif"/>
                <w:b w:val="false"/>
                <w:color w:val="000000"/>
                <w:sz w:val="12"/>
              </w:rPr>
              <w:t>(4)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Excise taxes on excess pension plan assets</w:t>
            </w:r>
            <w:r>
              <w:rPr>
                <w:rFonts w:ascii="Times New Roman;sans-serif" w:hAnsi="Times New Roman;sans-serif"/>
                <w:b w:val="false"/>
                <w:color w:val="000000"/>
                <w:sz w:val="12"/>
              </w:rPr>
              <w:t>(5)</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 and current portion of long-term debt,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5,045.5 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ans-serif" w:hAnsi="Times New Roman;sans-serif"/>
                <w:b w:val="false"/>
                <w:color w:val="000000"/>
                <w:sz w:val="18"/>
              </w:rPr>
              <w:t>Debt issuance costs and debt discount</w:t>
            </w:r>
            <w:r>
              <w:rPr>
                <w:rFonts w:ascii="Times New Roman;sans-serif" w:hAnsi="Times New Roman;sans-serif"/>
                <w:b w:val="false"/>
                <w:color w:val="000000"/>
                <w:sz w:val="12"/>
              </w:rPr>
              <w:t>(6)</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ans-serif" w:hAnsi="Times New Roman;sans-serif"/>
                <w:b w:val="false"/>
                <w:color w:val="000000"/>
                <w:sz w:val="18"/>
              </w:rPr>
              <w:t>Fair value adjustments to the Anixter Senior Notes</w:t>
            </w:r>
            <w:r>
              <w:rPr>
                <w:rFonts w:ascii="Times New Roman;sans-serif" w:hAnsi="Times New Roman;sans-serif"/>
                <w:b w:val="false"/>
                <w:color w:val="000000"/>
                <w:sz w:val="12"/>
              </w:rPr>
              <w:t>(6)</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Cash and cash equivalents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 of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4,409.5 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leverage ratio</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Excise taxes on excess pension plan assets represent the excise taxes applicable to the excess pension plan assets following the final settlement of the Company's U.S. pension plan.</w:t>
      </w:r>
    </w:p>
    <w:p>
      <w:pPr>
        <w:pStyle w:val="TextBody"/>
        <w:bidi w:val="0"/>
        <w:spacing w:lineRule="auto" w:line="288" w:before="60" w:after="60"/>
        <w:ind w:left="0" w:right="0" w:hanging="27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Debt is presented in the condensed consolidated balance sheets net of debt issuance and debt discount costs, and includes adjustments to record the long-term debt assumed in the merger with Anixter at its acquisition date fair value.</w:t>
      </w:r>
    </w:p>
    <w:p>
      <w:pPr>
        <w:pStyle w:val="TextBody"/>
        <w:bidi w:val="0"/>
        <w:spacing w:lineRule="auto" w:line="288" w:before="180" w:after="120"/>
        <w:jc w:val="both"/>
        <w:rPr>
          <w:rFonts w:ascii="Times New Roman;sans-serif" w:hAnsi="Times New Roman;sans-serif"/>
          <w:b w:val="false"/>
          <w:color w:val="000000"/>
          <w:sz w:val="18"/>
        </w:rPr>
      </w:pPr>
      <w:r>
        <w:rPr>
          <w:rFonts w:ascii="Times New Roman;sans-serif" w:hAnsi="Times New Roman;sans-serif"/>
          <w:b w:val="false"/>
          <w:color w:val="000000"/>
          <w:sz w:val="18"/>
        </w:rPr>
        <w:t>Note: Financial leverage ratio is a non-GAAP measure of the use of debt. Financial leverage ratio is calculated by dividing total debt, excluding debt issuance costs, debt discount and fair value adjustments, net of cash, by adjusted EBITDA. EBITDA is defined as the trailing twelve months earnings before interest, taxes,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undistributed earnings of our foreign subsidiaries have been taxed in the U.S. under either the one-time tax imposed on the deemed repatriation of undistributed foreign earnings (the “transition tax”), or the global intangible low-taxed income tax regime imposed by the Tax Cuts and Jobs Act of 2017. However, the distribution of earnings by our foreign subsidiaries in the form of dividends, or otherwise, may be subject to additional taxation. We believe that we are able to maintain sufficient liquidity for our domestic operations and commitments without repatriating cash from our foreign subsidiaries. Therefore, we continue to assert that the remaining undistributed earnings of our foreign subsidiaries are indefinitely reinvested.</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$1,550 million. As of March 31, 2025, we had no balance outstanding on the Revolving Credit Facility and $1,275.0 million outstanding under the Receivables Facility. The maximum borrowing limits of our international lines of credit vary by facility and range between $0.6 million and $9.5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As of March 31, 2025, we had $0.4 million outstanding under our international lines of credit.</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amendments to the Receivables Facility and Revolving Credit Facility as well as disclosure of our debt instruments, including our outstanding indebtedness as of March 31, 2025, see Note 9, “Debt” of our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An analysis of cash flow for the first three months of 2025 and 2024 follows:</w:t>
      </w:r>
    </w:p>
    <w:p>
      <w:pPr>
        <w:pStyle w:val="TextBody"/>
        <w:bidi w:val="0"/>
        <w:spacing w:lineRule="auto" w:line="288" w:before="120" w:after="120"/>
        <w:jc w:val="both"/>
        <w:rPr/>
      </w:pPr>
      <w:r>
        <w:rPr>
          <w:rFonts w:ascii="Times New Roman;sans-serif" w:hAnsi="Times New Roman;sans-serif"/>
          <w:b w:val="false"/>
          <w:i/>
          <w:color w:val="000000"/>
          <w:sz w:val="20"/>
        </w:rPr>
        <w:t>Operating Activities</w:t>
      </w:r>
      <w:r>
        <w:rPr>
          <w:color w:val="000000"/>
        </w:rPr>
        <w:t xml:space="preserve"> </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three months of 2025 totaled $28.0 million, compared to $746.3 million for the first three months of 2024. Net cash provided by operating activities for the first three months of 2025 included net income of $118.3 million and non-cash adjustments to net income totaling $66.5 million, which primarily comprised depreciation and amortization, stock-based compensation expense, and amortization of debt issuance costs and debt discount.</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sources of cash in the first three months of 2025 included an increase in accounts payable of $343.8 million primarily due to the increase in inventory as well as the timing of purchases and payment to suppliers, and a decrease in other accounts receivable of $65.1 million, primarily due to the collection of supplier volume rebates earned in 2024 in excess of current year accruals. Primary uses of cash in the first three months of 2025 included an increase in inventories of $227.4 million, primarily due to an increase in volume related to ongoing projects, an increase in trade accounts receivable of $188.7 million due to significant growth in sales in the CSS segment, as well as the timing of receipts from customers. Uses of cash in the first three months of 2025 also included a decrease in accrued payroll and benefit costs of $77.1 million primarily due to the payment of management incentive compensation earned in 2024 and an increase in accrued sales incentives, an increase in other current and noncurrent assets of $35.6 million primarily due to increases in capitalized costs associated with developing cloud computing arrangements, and a decrease in other current and noncurrent liabilities of $36.9 million, primarily due to decreases in accrued income taxes payable, related to the purchase of transferable tax credits. </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first three months of 2024 included net income of $116.1 million and non-cash adjustments to net income totaling $70.1 million, which primarily comprised depreciation and amortization, stock-based compensation expense, pension settlement costs, other operating activities, and amortization of debt issuance costs and debt discount. </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Other sources of cash in the first three months of 2024 included an increase in accounts payable of $620.9 million primarily due to the impact of a system conversion, the timing of inventory purchases, and a bank holiday at the end of the quarter that delayed payments, a decrease in other accounts receivable of $78.9 million primarily due to the collection of supplier volume rebates earned in 2023 in excess of income accrued during the current period, and an increase in other current and noncurrent liabilities of $75.0 million, due to increases in accrued interest payable and deferred revenue, partially offset by a decrease in federal taxes payable. Primary uses of cash in the first three months of 2024 included an increase in trade accounts receivable of $116.1 million due to the timing of receipts from customers, an increase in other current and noncurrent assets of $60.1 million primarily due to excess pension plan assets, an increase in supplier prepayments, capitalized costs associated with developing cloud computing arrangements, and a decrease in accrued payroll and benefit costs of $44.0 million resulting primarily from the payment of management incentive compensation earned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first three months of 2025 was $54.4 million compared to $16.5 million used in the first three months of 2024. Included in the first three months of 2025 was $35.2 million paid to acquire Industrial Software Solutions, net of cash acquired. Capital expenditures were $20.4 million for the first three months of 2025 and 2024, which primarily comprised leasehold improvements to support our global network of locations, internal-use computer software and information technology hardware to support our digital transformation initiatives, as well as machinery and equipment.</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first three months of 2025 was $2.3 million, compared to net cash used in financing activities of $254.5 million during the first three months of 2024. During the first three months of 2025, financing activities primarily comprised the proceeds of $800.0 million related to the issuance of the 2033 Notes, net repayments of $525.0 million related to our Revolving Credit Facility, net repayments of $175.0 million related to our Receivables Facility, and payment of total debt issuance costs of $14.0 million related to the issuance of the 2033 Notes and amendments to the Revolving Credit Facility and Receivables Facility. The first three months of 2025 also included $25.0 million of common stock repurchases, $22.1 million and $14.4 million of dividends paid to holders of our common stock and Series A Preferred Stock, respectively, and $18.0 million of payments for taxes related to the exercise and vesting of stock-based awards.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three months of 2024, financing activities primarily comprised proceeds of $900.0 million and $850.0 million related to the issuance of the 2029 Notes and 2032 Notes, respectively, net repayments of $953.0 million related to our Revolving Credit Facility, net repayments of $912.0 million related to our Receivables Facility, and payment of total debt issuance costs of $26.6 million related to the issuance of the 2029 and 2032 Notes and amendments to the Revolving Credit Facility and Receivables Facility. The first three months of 2024 also included $50.0 million of common stock repurchases, $25.2 million of payments for taxes related to the exercise and vesting of stock-based awards, and $20.9 million and $14.4 million of dividends paid to holders of our common stock and Series A Preferred Stock, respectively.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Cash Obligations and Other Commercial Commitments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contractual obligations and other commercial commitments that would require an update to the disclosure provided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not significantly affected by seasonal factors. Sales during the first and fourth quarters have historically been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critical accounting estimates disclosed in Part II, Item 7. “Management’s Discussion and Analysis of Financial Condition and Results of Operations” of our Annual Report on Form 10-K for the year ended December 31, 2024.</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Recent Accounting Standards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“Accounting Policies” of our Notes to the unaudited Condensed Consolidated Financial Statements for a description of recently adopted and recently issued accounting standards.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00" w:after="12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06cf80ae8bc9449b871cea12d3c1755c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lineRule="auto" w:line="288" w:before="200" w:after="6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evolving impacts from tariffs or other trade tensions between the U.S. and other countries (including implementation of new tariffs and retaliatory measures);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sustainability and environmental protection; the inability to successfully develop, manage or implement new technology initiatives or business strategies, including with respect to the expansion of e-commerce capabilities and other digital solutions and digitalization initiatives; disruption of information technology systems or operations; natural disasters (including as a result of climate change), health epidemics, pandemics and other outbreaks; supply chain disruptions; geopolitical issues, including the impact of the evolving conflicts in the Middle East and Russia/Ukraine; the impact of sanctions imposed on, or other actions taken by the U.S. or other countries against, Russia or China;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changes to the market risks that were previously disclosed in our Annual Report on Form 10-K for the fiscal year ended December 31, 2024, refer to Part I, Item 2, “Management’s Discussion and Analysis of Financial Condition and Results of Operations” and to Part II,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and internal control over financial reporting were effective as of the end of the period covered by this report.</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that occurred during the quarterly period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in Note 12, “Commitments and Contingencies” to the Notes to the unaudited Condensed Consolidated Financial Statements, 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Item 1A. to Part I of WESCO International, Inc.’s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all issuer purchases of common stock during the three months ended March 31, 2025:</w:t>
      </w:r>
    </w:p>
    <w:tbl>
      <w:tblPr>
        <w:tblW w:w="10205" w:type="dxa"/>
        <w:jc w:val="center"/>
        <w:tblInd w:w="0" w:type="dxa"/>
        <w:tblLayout w:type="fixed"/>
        <w:tblCellMar>
          <w:top w:w="28" w:type="dxa"/>
          <w:left w:w="28" w:type="dxa"/>
          <w:bottom w:w="28" w:type="dxa"/>
          <w:right w:w="28" w:type="dxa"/>
        </w:tblCellMar>
      </w:tblPr>
      <w:tblGrid>
        <w:gridCol w:w="545"/>
        <w:gridCol w:w="419"/>
        <w:gridCol w:w="425"/>
        <w:gridCol w:w="645"/>
        <w:gridCol w:w="439"/>
        <w:gridCol w:w="440"/>
        <w:gridCol w:w="109"/>
        <w:gridCol w:w="109"/>
        <w:gridCol w:w="109"/>
        <w:gridCol w:w="270"/>
        <w:gridCol w:w="924"/>
        <w:gridCol w:w="139"/>
        <w:gridCol w:w="109"/>
        <w:gridCol w:w="109"/>
        <w:gridCol w:w="109"/>
        <w:gridCol w:w="920"/>
        <w:gridCol w:w="744"/>
        <w:gridCol w:w="746"/>
        <w:gridCol w:w="109"/>
        <w:gridCol w:w="109"/>
        <w:gridCol w:w="109"/>
        <w:gridCol w:w="548"/>
        <w:gridCol w:w="1607"/>
        <w:gridCol w:w="413"/>
      </w:tblGrid>
      <w:tr>
        <w:trPr/>
        <w:tc>
          <w:tcPr>
            <w:tcW w:w="5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as Part of Publicly Announced Plans or Programs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Approximate Dollar Value of Shares That May Yet be Purchased Under the Plans or Programs </w:t>
            </w:r>
            <w:r>
              <w:rPr>
                <w:rFonts w:ascii="Times New Roman;sans-serif" w:hAnsi="Times New Roman;sans-serif"/>
                <w:b/>
                <w:color w:val="000000"/>
                <w:sz w:val="10"/>
              </w:rPr>
              <w:t>(2)</w:t>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 2025</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28, 2025</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 2025</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175,368 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153,228 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10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247,770</w:t>
            </w:r>
            <w:r>
              <w:rPr>
                <w:color w:val="000000"/>
              </w:rPr>
              <w:t>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153,228</w:t>
            </w:r>
            <w:r>
              <w:rPr>
                <w:color w:val="000000"/>
              </w:rPr>
              <w:t> </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There were 94,542 shares purchased during the quarterly period ended March 31, 2025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 and performance-based awards.</w:t>
      </w:r>
    </w:p>
    <w:p>
      <w:pPr>
        <w:pStyle w:val="TextBody"/>
        <w:bidi w:val="0"/>
        <w:spacing w:lineRule="auto" w:line="288" w:before="120" w:after="283"/>
        <w:ind w:left="0" w:right="0" w:hanging="27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On May 31, 2022, Wesco’s Board of Directors authorized the repurchase of up to $1 billion of the Company’s common stock and Series A Preferred Stock. The share repurchase authorization has no expiration date and may be modified, suspended, or terminated at any time without prior notice. During the three months ended March 31, 2025, the Company entered into spot repurchase transactions through brokers to purchase 153,228 shares of its common stock in the open market for cash totaling $25.0 million. Wesco funded the repurchases with available cash and borrowings under its accounts receivable securitization and revolving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w:t>
      </w:r>
      <w:r>
        <w:rPr>
          <w:rFonts w:ascii="Times New Roman;sans-serif" w:hAnsi="Times New Roman;sans-serif"/>
          <w:b/>
          <w:color w:val="000000"/>
          <w:sz w:val="20"/>
        </w:rPr>
        <w:t xml:space="preserve">Exhibits. </w:t>
      </w:r>
    </w:p>
    <w:p>
      <w:pPr>
        <w:pStyle w:val="TextBody"/>
        <w:bidi w:val="0"/>
        <w:spacing w:lineRule="auto" w:line="288" w:before="240" w:after="1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46"/>
        <w:gridCol w:w="217"/>
        <w:gridCol w:w="218"/>
        <w:gridCol w:w="109"/>
        <w:gridCol w:w="109"/>
        <w:gridCol w:w="109"/>
        <w:gridCol w:w="2304"/>
        <w:gridCol w:w="1991"/>
        <w:gridCol w:w="1956"/>
        <w:gridCol w:w="109"/>
        <w:gridCol w:w="109"/>
        <w:gridCol w:w="109"/>
        <w:gridCol w:w="950"/>
        <w:gridCol w:w="689"/>
        <w:gridCol w:w="980"/>
      </w:tblGrid>
      <w:tr>
        <w:trPr/>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Filing or Sequential Page Number</w:t>
            </w:r>
          </w:p>
        </w:tc>
      </w:tr>
      <w:tr>
        <w:trPr/>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Indenture, dated as of March 6, 2025, among WESCO Distribution, Inc., WESCO International, Inc., Anixter, Inc., and U.S. Bank Trust Company, National Association, as Trustee.</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4.1 to Wesco’s Current Report on Form 8-K, dated March 6, 2025</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Form of 6.375% Senior Note due 2033 (included as Exhibit A to the Indenture filed as Exhibit 4.1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A to Exhibit 4.1 to Wesco’s Current Report on Form 8-K, dated March 6, 2025</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1q25exx101.htm">
              <w:r>
                <w:rPr>
                  <w:rStyle w:val="InternetLink"/>
                  <w:rFonts w:ascii="Times New Roman;sans-serif" w:hAnsi="Times New Roman;sans-serif"/>
                  <w:b w:val="false"/>
                  <w:color w:val="0000FF"/>
                  <w:sz w:val="20"/>
                  <w:u w:val="single"/>
                </w:rPr>
                <w:t>Form of WESCO International, Inc. 2021 Omnibus Incentive Plan Performance Share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Seventh Amendment to Fourth Amended and Restated Credit Agreement, dated as of February 28, 2025, by and among WESCO Distribution, Inc., the other U.S. borrowers party thereto, WESCO Distribution Canada LP, the other Canadian borrowers party thereto, WESCO International, Inc., the lenders party thereto and Barclays Bank PLC</w:t>
              </w:r>
            </w:hyperlink>
            <w:hyperlink r:id="rId5">
              <w:r>
                <w:rPr>
                  <w:rStyle w:val="InternetLink"/>
                  <w:rFonts w:ascii="Times New Roman;sans-serif" w:hAnsi="Times New Roman;sans-serif"/>
                  <w:b w:val="false"/>
                  <w:color w:val="000080"/>
                  <w:sz w:val="20"/>
                  <w:u w:val="single"/>
                </w:rPr>
                <w:t>,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 to Wesco’s Current Report on Form 8-K, dated March 6, 2025</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Ninth Amendment to Fifth Amended and Restated Receivables Purchase Agreement, dated as of February 28, 2025, by and among WESCO Distribution, Inc., WESCO Receivables Corp., the various purchasers and purchaser agents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 to Wesco’s Current Report on Form 8-K, dated March 6, 2025</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1q25exx311.htm">
              <w:r>
                <w:rPr>
                  <w:rStyle w:val="InternetLink"/>
                  <w:rFonts w:ascii="Times New Roman;sans-serif" w:hAnsi="Times New Roman;sans-serif"/>
                  <w:b w:val="false"/>
                  <w:color w:val="0000FF"/>
                  <w:sz w:val="20"/>
                  <w:u w:val="single"/>
                </w:rPr>
                <w:t>Certification of Chief Executive Officer pursuant to Rules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1q25exx312.htm">
              <w:r>
                <w:rPr>
                  <w:rStyle w:val="InternetLink"/>
                  <w:rFonts w:ascii="Times New Roman;sans-serif" w:hAnsi="Times New Roman;sans-serif"/>
                  <w:b w:val="false"/>
                  <w:color w:val="0000FF"/>
                  <w:sz w:val="20"/>
                  <w:u w:val="single"/>
                </w:rPr>
                <w:t>Certification of Chief Financial Officer pursuant to Rules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1q25ex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60"/>
              <w:jc w:val="both"/>
              <w:rPr/>
            </w:pPr>
            <w:hyperlink w:anchor="wcc-1q25ex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6cf80ae8bc9449b871cea12d3c1755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29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6"/>
        <w:gridCol w:w="676"/>
        <w:gridCol w:w="9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WESCO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bl>
    <w:tbl>
      <w:tblPr>
        <w:tblW w:w="5999" w:type="dxa"/>
        <w:jc w:val="center"/>
        <w:tblInd w:w="0" w:type="dxa"/>
        <w:tblLayout w:type="fixed"/>
        <w:tblCellMar>
          <w:top w:w="28" w:type="dxa"/>
          <w:left w:w="28" w:type="dxa"/>
          <w:bottom w:w="28" w:type="dxa"/>
          <w:right w:w="28" w:type="dxa"/>
        </w:tblCellMar>
      </w:tblPr>
      <w:tblGrid>
        <w:gridCol w:w="417"/>
        <w:gridCol w:w="368"/>
        <w:gridCol w:w="370"/>
        <w:gridCol w:w="134"/>
        <w:gridCol w:w="134"/>
        <w:gridCol w:w="136"/>
        <w:gridCol w:w="1295"/>
        <w:gridCol w:w="1295"/>
        <w:gridCol w:w="1850"/>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S. Schulz</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S. Schulz</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left"/>
        <w:rPr/>
      </w:pPr>
      <w:r>
        <w:rPr/>
      </w:r>
    </w:p>
    <w:tbl>
      <w:tblPr>
        <w:tblW w:w="7679" w:type="dxa"/>
        <w:jc w:val="center"/>
        <w:tblInd w:w="0" w:type="dxa"/>
        <w:tblLayout w:type="fixed"/>
        <w:tblCellMar>
          <w:top w:w="28" w:type="dxa"/>
          <w:left w:w="28" w:type="dxa"/>
          <w:bottom w:w="28" w:type="dxa"/>
          <w:right w:w="28" w:type="dxa"/>
        </w:tblCellMar>
      </w:tblPr>
      <w:tblGrid>
        <w:gridCol w:w="417"/>
        <w:gridCol w:w="368"/>
        <w:gridCol w:w="370"/>
        <w:gridCol w:w="134"/>
        <w:gridCol w:w="134"/>
        <w:gridCol w:w="136"/>
        <w:gridCol w:w="1786"/>
        <w:gridCol w:w="1786"/>
        <w:gridCol w:w="2548"/>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S. Kulasa</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S. Kulasa</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Corporate Controller and Chief Accounting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WESCO INTERNATIONAL,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 xml:space="preserve">2021 OMNIBUS INCENTIVE PLAN </w:t>
      </w:r>
    </w:p>
    <w:p>
      <w:pPr>
        <w:pStyle w:val="TextBody"/>
        <w:bidi w:val="0"/>
        <w:spacing w:lineRule="auto" w:line="288" w:before="0" w:after="0"/>
        <w:jc w:val="center"/>
        <w:rPr>
          <w:rFonts w:ascii="sans-serif" w:hAnsi="sans-serif"/>
          <w:b/>
          <w:color w:val="000000"/>
          <w:sz w:val="22"/>
          <w:u w:val="single"/>
        </w:rPr>
      </w:pPr>
      <w:r>
        <w:rPr>
          <w:rFonts w:ascii="sans-serif" w:hAnsi="sans-serif"/>
          <w:b/>
          <w:color w:val="000000"/>
          <w:sz w:val="22"/>
          <w:u w:val="single"/>
        </w:rPr>
        <w:t xml:space="preserve">PERFORMANCE SHARE UNIT AWARD AGREEMENT </w:t>
      </w:r>
    </w:p>
    <w:p>
      <w:pPr>
        <w:pStyle w:val="TextBody"/>
        <w:bidi w:val="0"/>
        <w:spacing w:before="0" w:after="0"/>
        <w:jc w:val="center"/>
        <w:rPr/>
      </w:pPr>
      <w:r>
        <w:rPr/>
      </w:r>
    </w:p>
    <w:p>
      <w:pPr>
        <w:pStyle w:val="TextBody"/>
        <w:bidi w:val="0"/>
        <w:spacing w:lineRule="auto" w:line="288" w:before="0" w:after="0"/>
        <w:jc w:val="left"/>
        <w:rPr/>
      </w:pPr>
      <w:r>
        <w:rPr>
          <w:rFonts w:ascii="sans-serif" w:hAnsi="sans-serif"/>
          <w:b w:val="false"/>
          <w:color w:val="000000"/>
          <w:sz w:val="22"/>
        </w:rPr>
        <w:t>This Performance Share Unit Award Agreement (this “</w:t>
      </w:r>
      <w:r>
        <w:rPr>
          <w:rFonts w:ascii="sans-serif" w:hAnsi="sans-serif"/>
          <w:b w:val="false"/>
          <w:color w:val="000000"/>
          <w:sz w:val="22"/>
          <w:u w:val="single"/>
        </w:rPr>
        <w:t>Award Agreement</w:t>
      </w:r>
      <w:r>
        <w:rPr>
          <w:color w:val="000000"/>
        </w:rPr>
        <w:t>”</w:t>
      </w:r>
      <w:r>
        <w:rPr>
          <w:rFonts w:ascii="sans-serif" w:hAnsi="sans-serif"/>
          <w:b w:val="false"/>
          <w:color w:val="000000"/>
          <w:sz w:val="22"/>
        </w:rPr>
        <w:t>) evidences an Award of Performance Share Units (“</w:t>
      </w:r>
      <w:r>
        <w:rPr>
          <w:rFonts w:ascii="sans-serif" w:hAnsi="sans-serif"/>
          <w:b w:val="false"/>
          <w:color w:val="000000"/>
          <w:sz w:val="22"/>
          <w:u w:val="single"/>
        </w:rPr>
        <w:t>PSUs</w:t>
      </w:r>
      <w:r>
        <w:rPr>
          <w:color w:val="000000"/>
        </w:rPr>
        <w:t>”</w:t>
      </w:r>
      <w:r>
        <w:rPr>
          <w:rFonts w:ascii="sans-serif" w:hAnsi="sans-serif"/>
          <w:b w:val="false"/>
          <w:color w:val="000000"/>
          <w:sz w:val="22"/>
        </w:rPr>
        <w:t>) by WESCO International, Inc., a Delaware corporation (the “</w:t>
      </w:r>
      <w:r>
        <w:rPr>
          <w:rFonts w:ascii="sans-serif" w:hAnsi="sans-serif"/>
          <w:b w:val="false"/>
          <w:color w:val="000000"/>
          <w:sz w:val="22"/>
          <w:u w:val="single"/>
        </w:rPr>
        <w:t>Company</w:t>
      </w:r>
      <w:r>
        <w:rPr>
          <w:color w:val="000000"/>
        </w:rPr>
        <w:t>”</w:t>
      </w:r>
      <w:r>
        <w:rPr>
          <w:rFonts w:ascii="sans-serif" w:hAnsi="sans-serif"/>
          <w:b w:val="false"/>
          <w:color w:val="000000"/>
          <w:sz w:val="22"/>
        </w:rPr>
        <w:t>) under the WESCO International, Inc. 2021 Omnibus Incentive Plan (the “</w:t>
      </w:r>
      <w:r>
        <w:rPr>
          <w:rFonts w:ascii="sans-serif" w:hAnsi="sans-serif"/>
          <w:b w:val="false"/>
          <w:color w:val="000000"/>
          <w:sz w:val="22"/>
          <w:u w:val="single"/>
        </w:rPr>
        <w:t>Plan</w:t>
      </w:r>
      <w:r>
        <w:rPr>
          <w:color w:val="000000"/>
        </w:rPr>
        <w:t>”</w:t>
      </w:r>
      <w:r>
        <w:rPr>
          <w:rFonts w:ascii="sans-serif" w:hAnsi="sans-serif"/>
          <w:b w:val="false"/>
          <w:color w:val="000000"/>
          <w:sz w:val="22"/>
        </w:rPr>
        <w:t xml:space="preserve">). Capitalized terms not defined in the Award Agreement have the meanings given to them in the Plan.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7"/>
        <w:gridCol w:w="552"/>
        <w:gridCol w:w="555"/>
        <w:gridCol w:w="2737"/>
        <w:gridCol w:w="2361"/>
        <w:gridCol w:w="3373"/>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Grantee:</w:t>
            </w:r>
          </w:p>
        </w:tc>
        <w:tc>
          <w:tcPr>
            <w:tcW w:w="84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[NAME]</w:t>
            </w:r>
          </w:p>
        </w:tc>
      </w:tr>
      <w:tr>
        <w:trPr/>
        <w:tc>
          <w:tcPr>
            <w:tcW w:w="17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 xml:space="preserve">Grant Date: </w:t>
            </w:r>
          </w:p>
        </w:tc>
        <w:tc>
          <w:tcPr>
            <w:tcW w:w="84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[DATE]</w:t>
            </w:r>
          </w:p>
        </w:tc>
      </w:tr>
      <w:tr>
        <w:trPr/>
        <w:tc>
          <w:tcPr>
            <w:tcW w:w="17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Number of Performance Share Units:</w:t>
            </w:r>
          </w:p>
        </w:tc>
        <w:tc>
          <w:tcPr>
            <w:tcW w:w="8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[NUMBER]</w:t>
            </w:r>
          </w:p>
          <w:p>
            <w:pPr>
              <w:pStyle w:val="TableContents"/>
              <w:bidi w:val="0"/>
              <w:spacing w:lineRule="auto" w:line="288" w:before="0" w:after="0"/>
              <w:jc w:val="left"/>
              <w:rPr/>
            </w:pPr>
            <w:r>
              <w:rPr>
                <w:rFonts w:ascii="sans-serif" w:hAnsi="sans-serif"/>
                <w:b w:val="false"/>
                <w:color w:val="000000"/>
                <w:sz w:val="22"/>
              </w:rPr>
              <w:t xml:space="preserve">The percentage of PSUs that will actually vest will range from 0% to 200% (plus a Relative Total Stockholder Return modifier, if applicable) and be determined based on the achievement of the Performance Metrics described below and on </w:t>
            </w:r>
            <w:r>
              <w:rPr>
                <w:rFonts w:ascii="sans-serif" w:hAnsi="sans-serif"/>
                <w:b w:val="false"/>
                <w:color w:val="000000"/>
                <w:sz w:val="22"/>
                <w:u w:val="single"/>
              </w:rPr>
              <w:t>Exhibit A</w:t>
            </w:r>
            <w:r>
              <w:rPr>
                <w:rFonts w:ascii="sans-serif" w:hAnsi="sans-serif"/>
                <w:b w:val="false"/>
                <w:color w:val="000000"/>
                <w:sz w:val="22"/>
              </w:rPr>
              <w:t>.</w:t>
            </w:r>
          </w:p>
          <w:p>
            <w:pPr>
              <w:pStyle w:val="TableContents"/>
              <w:bidi w:val="0"/>
              <w:spacing w:before="0" w:after="0"/>
              <w:jc w:val="left"/>
              <w:rPr/>
            </w:pPr>
            <w:r>
              <w:rPr/>
            </w:r>
          </w:p>
        </w:tc>
      </w:tr>
      <w:tr>
        <w:trPr/>
        <w:tc>
          <w:tcPr>
            <w:tcW w:w="17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Performance Period:</w:t>
            </w:r>
          </w:p>
        </w:tc>
        <w:tc>
          <w:tcPr>
            <w:tcW w:w="84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January 1, 20__ to December 31, 20__</w:t>
            </w:r>
          </w:p>
        </w:tc>
      </w:tr>
      <w:tr>
        <w:trPr/>
        <w:tc>
          <w:tcPr>
            <w:tcW w:w="17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Vesting Date:</w:t>
            </w:r>
          </w:p>
        </w:tc>
        <w:tc>
          <w:tcPr>
            <w:tcW w:w="84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 xml:space="preserve">The date on which the Compensation Committee of the Company’s Board of Directors certifies the level of achievement of the applicable performance goals, which date shall occur between January 1 and March 1 of the calendar year immediately following the completion of the Performance Period. </w:t>
            </w:r>
          </w:p>
        </w:tc>
      </w:tr>
      <w:tr>
        <w:trPr/>
        <w:tc>
          <w:tcPr>
            <w:tcW w:w="173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Vesting:</w:t>
            </w:r>
          </w:p>
        </w:tc>
        <w:tc>
          <w:tcPr>
            <w:tcW w:w="84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The PSUs will only vest if Grantee does not experience a Termination of Service prior to the Vesting Date and only to the extent that the Performance Metrics are achieved, and any unvested PSUs will be forfeited upon Termination of Service. </w:t>
              <w:br/>
              <w:br/>
              <w:t>Notwithstanding the foregoing or any provision in the Plan:</w:t>
              <w:br/>
              <w:br/>
              <w:t xml:space="preserve">(1) In the event of Termination of Service due to (i) Grantee’s Retirement after attaining a minimum age of 65, (ii) Grantee’s Retirement after attaining a minimum age of 60 and a minimum of five years of service with the Company or its Subsidiaries, (iii) Grantee’s Disability, or (iv) Grantee’s Death, the PSUs will remain outstanding and vest on a pro rata basis on the Vesting Date as if there had not been a Termination of Service, based on actual performance to the extent that the Performance Metrics are achieved. In such case, the pro rata basis will be determined by multiplying (i) the number of PSUs, by (ii) a fraction, the numerator of which is the number of whole months from the beginning of the Performance Period through Grantee’s Termination of Service, and the denominator of which is thirty-six (36) months. </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(2) Upon a Change in Control that occurs during the Performance Period, the PSUs will immediately vest as of the date of such Change in Control at the higher of (i) the target level or (ii) actual performance but assuming that the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3"/>
        <w:gridCol w:w="732"/>
        <w:gridCol w:w="561"/>
        <w:gridCol w:w="2640"/>
        <w:gridCol w:w="2181"/>
        <w:gridCol w:w="3098"/>
      </w:tblGrid>
      <w:tr>
        <w:trPr/>
        <w:tc>
          <w:tcPr>
            <w:tcW w:w="99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Performance Period ended on the latest practicable date on or prior to the date of such Change in Control. </w:t>
            </w:r>
          </w:p>
          <w:p>
            <w:pPr>
              <w:pStyle w:val="TableContents"/>
              <w:bidi w:val="0"/>
              <w:spacing w:before="0" w:after="0"/>
              <w:jc w:val="left"/>
              <w:rPr/>
            </w:pPr>
            <w:r>
              <w:rPr/>
            </w:r>
          </w:p>
        </w:tc>
      </w:tr>
      <w:tr>
        <w:trPr/>
        <w:tc>
          <w:tcPr>
            <w:tcW w:w="22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 xml:space="preserve">Performance Metrics: </w:t>
            </w:r>
          </w:p>
        </w:tc>
        <w:tc>
          <w:tcPr>
            <w:tcW w:w="79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sans-serif" w:hAnsi="sans-serif"/>
                <w:b w:val="false"/>
                <w:color w:val="000000"/>
                <w:sz w:val="22"/>
              </w:rPr>
              <w:t xml:space="preserve">Return on Net Assets (RONA) Growth and Earnings Per Shares (EPS) Growth, subject to a Relative Total Stockholder Return (TSR) modifier, as described on </w:t>
            </w:r>
            <w:r>
              <w:rPr>
                <w:rFonts w:ascii="sans-serif" w:hAnsi="sans-serif"/>
                <w:b w:val="false"/>
                <w:color w:val="000000"/>
                <w:sz w:val="22"/>
                <w:u w:val="single"/>
              </w:rPr>
              <w:t>Exhibit A</w:t>
            </w:r>
            <w:r>
              <w:rPr>
                <w:rFonts w:ascii="sans-serif" w:hAnsi="sans-serif"/>
                <w:b w:val="false"/>
                <w:color w:val="000000"/>
                <w:sz w:val="22"/>
              </w:rPr>
              <w:t xml:space="preserve">. </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br/>
              <w:t xml:space="preserve">In calculating RONA Growth, EPS Growth and TSR, the Committee may exclude or adjust for certain items that are not indicative of ongoing results or are otherwise appropriate for comparability purposes. The exclusion or adjustment for certain items may result in the calculation of RONA Growth and EPS Growth that differs from reported results in accordance with generally accepted accounting principles.  Examples of items that may be excluded from or adjusted in calculations include, but are not limited to: “strategic” items (investments, charges or credits related to the high-level strategic direction of the Company, such as restructurings, acquisitions, divestitures, integration or transformation activities and costs, the purchase or sale of equities, and the issuance or payment of debt); “regulatory” items (charges or credits due to changes in tax or accounting rules); “external” items (charges or credits due to external events such as natural disasters); and “other” significant unusual, nonrecurring or discrete items (such as charges or credits due to litigation or legal settlements, the disposal of assets or asset impairment, other adjustments). </w:t>
            </w:r>
          </w:p>
          <w:p>
            <w:pPr>
              <w:pStyle w:val="TableContents"/>
              <w:bidi w:val="0"/>
              <w:spacing w:before="0" w:after="0"/>
              <w:jc w:val="left"/>
              <w:rPr/>
            </w:pPr>
            <w:r>
              <w:rPr/>
            </w:r>
          </w:p>
        </w:tc>
      </w:tr>
      <w:tr>
        <w:trPr/>
        <w:tc>
          <w:tcPr>
            <w:tcW w:w="22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Delivery:</w:t>
            </w:r>
          </w:p>
        </w:tc>
        <w:tc>
          <w:tcPr>
            <w:tcW w:w="79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Vested PSUs will be settled by delivery of Shares as soon as practicable after the earlier to occur of: (1) the Vesting Date; or (2) a Change in Control. PSUs shall be subject to tax withholding in accordance with Section 12(d)(i) of the Plan. In no event will settlement occur later than March 15 of the calendar year immediately following the completion of the Performance Period.</w:t>
            </w:r>
          </w:p>
        </w:tc>
      </w:tr>
      <w:tr>
        <w:trPr/>
        <w:tc>
          <w:tcPr>
            <w:tcW w:w="22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Non-Competition, Non-Solicitation and Confidentiality:</w:t>
            </w:r>
          </w:p>
        </w:tc>
        <w:tc>
          <w:tcPr>
            <w:tcW w:w="79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00"/>
              <w:jc w:val="left"/>
              <w:rPr/>
            </w:pPr>
            <w:r>
              <w:rPr>
                <w:rFonts w:ascii="sans-serif" w:hAnsi="sans-serif"/>
                <w:b w:val="false"/>
                <w:color w:val="000000"/>
                <w:sz w:val="22"/>
                <w:u w:val="single"/>
              </w:rPr>
              <w:t>Non-Competition and Non-Solicitation</w:t>
            </w:r>
            <w:r>
              <w:rPr>
                <w:rFonts w:ascii="sans-serif" w:hAnsi="sans-serif"/>
                <w:b w:val="false"/>
                <w:color w:val="000000"/>
                <w:sz w:val="22"/>
              </w:rPr>
              <w:t>. During Grantee’s employment and for a period of one year thereafter:</w:t>
            </w:r>
          </w:p>
          <w:p>
            <w:pPr>
              <w:pStyle w:val="TableContents"/>
              <w:bidi w:val="0"/>
              <w:spacing w:lineRule="auto" w:line="288" w:before="0" w:after="200"/>
              <w:jc w:val="left"/>
              <w:rPr>
                <w:rFonts w:ascii="sans-serif" w:hAnsi="sans-serif"/>
                <w:b w:val="false"/>
                <w:color w:val="000000"/>
                <w:sz w:val="22"/>
              </w:rPr>
            </w:pPr>
            <w:r>
              <w:rPr>
                <w:rFonts w:ascii="sans-serif" w:hAnsi="sans-serif"/>
                <w:b w:val="false"/>
                <w:color w:val="000000"/>
                <w:sz w:val="22"/>
              </w:rPr>
              <w:t xml:space="preserve">(1)    Grantee shall not directly or indirectly call upon, contact or solicit any customer or prospective customer of the Company or its Subsidiaries (A) with whom Grantee dealt directly or indirectly or for which Grantee had responsibility while employed by the Company or its Subsidiaries, or (B) about whom Grantee acquired confidential information during Grantee’s employment with the Company or its Subsidiaries, for the purpose of offering, selling or providing products or services that are competitive with those offered by the Company or its Subsidiaries. Grantee shall not solicit or divert, or attempt to solicit or divert, either directly or indirectly, any opportunity or business of the Company or its Subsidiaries to any competitor. </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(2)     Grantee shall not, to the detriment of the Company or its Subsidiaries, directly or indirectly, as an owner, partner, employee, agent, consultant, advisor, servant or contractor, engage in or facilitate or support others to engage in any Competing Business Line, or otherwise engage in Competing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sans-serif" w:hAnsi="sans-serif"/>
                <w:b w:val="false"/>
                <w:color w:val="000000"/>
                <w:sz w:val="22"/>
              </w:rPr>
              <w:t>Services. This provision shall not prevent Grantee from owning less than 1% of the outstanding shares of a publicly-traded entity or less than 3% of a private equity fund. For purposes of this provision, (A) “</w:t>
            </w:r>
            <w:r>
              <w:rPr>
                <w:rFonts w:ascii="sans-serif" w:hAnsi="sans-serif"/>
                <w:b w:val="false"/>
                <w:color w:val="000000"/>
                <w:sz w:val="22"/>
                <w:u w:val="single"/>
              </w:rPr>
              <w:t>Competing Business Line</w:t>
            </w:r>
            <w:r>
              <w:rPr>
                <w:color w:val="000000"/>
              </w:rPr>
              <w:t xml:space="preserve">” </w:t>
            </w:r>
            <w:r>
              <w:rPr>
                <w:rFonts w:ascii="sans-serif" w:hAnsi="sans-serif"/>
                <w:b w:val="false"/>
                <w:color w:val="000000"/>
                <w:sz w:val="22"/>
              </w:rPr>
              <w:t>means any business that is in competition with any business engaged in by the Company or its Subsidiaries with respect to which Grantee provides services, or about which Grantee received Confidential Information (as defined below) and (B) Grantee will be deemed to be providing “</w:t>
            </w:r>
            <w:r>
              <w:rPr>
                <w:rFonts w:ascii="sans-serif" w:hAnsi="sans-serif"/>
                <w:b w:val="false"/>
                <w:color w:val="000000"/>
                <w:sz w:val="22"/>
                <w:u w:val="single"/>
              </w:rPr>
              <w:t>Competing Services</w:t>
            </w:r>
            <w:r>
              <w:rPr>
                <w:color w:val="000000"/>
              </w:rPr>
              <w:t xml:space="preserve">” </w:t>
            </w:r>
            <w:r>
              <w:rPr>
                <w:rFonts w:ascii="sans-serif" w:hAnsi="sans-serif"/>
                <w:b w:val="false"/>
                <w:color w:val="000000"/>
                <w:sz w:val="22"/>
              </w:rPr>
              <w:t>if the nature of such services are sufficiently similar in position scope and geographic scope to any position held by Grantee during employment with the Company or its Subsidiaries, such that engaging in such services on behalf of a Competing Business Line would threaten the Company’s or its Subsidiaries’ legitimate business interests.</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(3)     Grantee shall not, directly or indirectly, solicit the employment of or hire as an employee or consultant or agent (A) any employee of the Company or its Subsidiaries or (B) any former employee of the Company or its Subsidiaries whose employment ceased within 180 days prior to the date of such solicitation or hiring.</w:t>
            </w:r>
          </w:p>
          <w:p>
            <w:pPr>
              <w:pStyle w:val="TableContents"/>
              <w:bidi w:val="0"/>
              <w:spacing w:before="0" w:after="0"/>
              <w:jc w:val="left"/>
              <w:rPr/>
            </w:pPr>
            <w:r>
              <w:rPr/>
            </w:r>
          </w:p>
          <w:p>
            <w:pPr>
              <w:pStyle w:val="TableContents"/>
              <w:bidi w:val="0"/>
              <w:spacing w:lineRule="auto" w:line="288" w:before="0" w:after="160"/>
              <w:jc w:val="left"/>
              <w:rPr/>
            </w:pPr>
            <w:r>
              <w:rPr>
                <w:rFonts w:ascii="sans-serif" w:hAnsi="sans-serif"/>
                <w:b w:val="false"/>
                <w:color w:val="000000"/>
                <w:sz w:val="22"/>
                <w:u w:val="single"/>
              </w:rPr>
              <w:t>Confidentiality</w:t>
            </w:r>
            <w:r>
              <w:rPr>
                <w:rFonts w:ascii="sans-serif" w:hAnsi="sans-serif"/>
                <w:b w:val="false"/>
                <w:color w:val="000000"/>
                <w:sz w:val="22"/>
              </w:rPr>
              <w:t>. “</w:t>
            </w:r>
            <w:r>
              <w:rPr>
                <w:rFonts w:ascii="sans-serif" w:hAnsi="sans-serif"/>
                <w:b w:val="false"/>
                <w:color w:val="000000"/>
                <w:sz w:val="22"/>
                <w:u w:val="single"/>
              </w:rPr>
              <w:t>Confidential Information</w:t>
            </w:r>
            <w:r>
              <w:rPr>
                <w:color w:val="000000"/>
              </w:rPr>
              <w:t xml:space="preserve">” </w:t>
            </w:r>
            <w:r>
              <w:rPr>
                <w:rFonts w:ascii="sans-serif" w:hAnsi="sans-serif"/>
                <w:b w:val="false"/>
                <w:color w:val="000000"/>
                <w:sz w:val="22"/>
              </w:rPr>
              <w:t xml:space="preserve">means information regarding the business or operations of the Company or its Subsidiaries, both oral and written, including, but not limited to, documents and the Company or Subsidiary information contained in such documents; drawings; designs; plans; specifications; instructions; data; manuals; electronic media such as computer files, computer programs, and data stored electronically; security code numbers; financial, marketing and strategic information; product pricing and customer information, that the Company or its Subsidiaries disclose to Grantee or Grantee otherwise learns or ascertains in any manner as a result of, or in relation to, Grantee’s employment by the Company or its Subsidiaries. Other than as required by applicable law, Grantee agrees: (1) to use Confidential Information only for the purposes required or appropriate for Grantee’s employment with the Company or its Subsidiaries; (2) not to disclose to anyone Confidential Information without the Company’s prior written approval; and (3) not to allow anyone’s use or access to Confidential Information, other than as required or appropriate for Grantee’s employment with the Company or its Subsidiaries. The foregoing shall not apply to information that is in the public domain, provided that Grantee was not responsible, directly or indirectly, for such information entering into public domain without the Company’s approval. Grantee agrees to return to the Company all Confidential Information in Grantee’s possession upon termination of Grantee’s employment or at any time requested by the Company. </w:t>
            </w:r>
          </w:p>
          <w:p>
            <w:pPr>
              <w:pStyle w:val="TableContents"/>
              <w:bidi w:val="0"/>
              <w:spacing w:lineRule="auto" w:line="288" w:before="0" w:after="160"/>
              <w:jc w:val="left"/>
              <w:rPr>
                <w:rFonts w:ascii="sans-serif" w:hAnsi="sans-serif"/>
                <w:b w:val="false"/>
                <w:color w:val="000000"/>
                <w:sz w:val="22"/>
              </w:rPr>
            </w:pPr>
            <w:r>
              <w:rPr>
                <w:rFonts w:ascii="sans-serif" w:hAnsi="sans-serif"/>
                <w:b w:val="false"/>
                <w:color w:val="000000"/>
                <w:sz w:val="22"/>
              </w:rPr>
              <w:t>The foregoing provisions shall survive and remain in full force and effect regardless of any expiration, termination or cancellation of this Award Agreement.</w:t>
            </w:r>
          </w:p>
          <w:p>
            <w:pPr>
              <w:pStyle w:val="TableContents"/>
              <w:bidi w:val="0"/>
              <w:spacing w:lineRule="auto" w:line="288" w:before="0" w:after="160"/>
              <w:jc w:val="left"/>
              <w:rPr>
                <w:rFonts w:ascii="sans-serif" w:hAnsi="sans-serif"/>
                <w:b w:val="false"/>
                <w:color w:val="000000"/>
                <w:sz w:val="22"/>
              </w:rPr>
            </w:pPr>
            <w:r>
              <w:rPr>
                <w:rFonts w:ascii="sans-serif" w:hAnsi="sans-serif"/>
                <w:b w:val="false"/>
                <w:color w:val="000000"/>
                <w:sz w:val="22"/>
              </w:rPr>
              <w:t>If any provision of this section shall be invalid or unenforceable to any extent, the remaining provisions shall not be affected, and each remaining provision</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9"/>
        <w:gridCol w:w="676"/>
        <w:gridCol w:w="678"/>
        <w:gridCol w:w="2365"/>
        <w:gridCol w:w="2365"/>
        <w:gridCol w:w="3352"/>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shall be enforceable to the fullest extent permitted by law. If any provision is so broad as to be unenforceable, then such provision shall be interpreted to be only as broad as is enforceable.</w:t>
              <w:br/>
              <w:t>Notwithstanding any provision to the contrary, the non-compete, non-solicitation and confidentiality covenants of this section shall be in addition to, and shall not be deemed to supersede, any existing covenants or other agreements between Grantee and the Company or any of its Subsidiaries.</w:t>
            </w:r>
          </w:p>
        </w:tc>
      </w:tr>
      <w:tr>
        <w:trPr/>
        <w:tc>
          <w:tcPr>
            <w:tcW w:w="21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Country-Specific Terms:</w:t>
            </w:r>
          </w:p>
        </w:tc>
        <w:tc>
          <w:tcPr>
            <w:tcW w:w="8082"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 xml:space="preserve">Country-specific terms that apply to individuals in those countries may be set forth in an addendum to the Award Agreement. </w:t>
            </w:r>
          </w:p>
        </w:tc>
      </w:tr>
      <w:tr>
        <w:trPr/>
        <w:tc>
          <w:tcPr>
            <w:tcW w:w="212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Other Terms:</w:t>
            </w:r>
          </w:p>
        </w:tc>
        <w:tc>
          <w:tcPr>
            <w:tcW w:w="808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All other terms are as set forth in the Plan, which is incorporated herein by reference. In the event that a provision of the Award Agreement conflicts with the Plan, the terms of the Plan will control. By accepting this Award Agreement, Grantee agrees to be subject to the terms and conditions of the Plan.</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Exhibit A</w:t>
      </w:r>
    </w:p>
    <w:p>
      <w:pPr>
        <w:pStyle w:val="TextBody"/>
        <w:bidi w:val="0"/>
        <w:spacing w:before="0" w:after="0"/>
        <w:jc w:val="left"/>
        <w:rPr/>
      </w:pPr>
      <w:r>
        <w:rPr/>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 xml:space="preserve">The percentage of PSUs that will be earned at the end of the Performance Period (or, if earlier, through the date of a Change in Control) will be determined in accordance with the table below, and measured separately for each Performance Metric, which will be weighted 50% for RONA Growth and 50% for EPS Growth. The percentage of PSUs that will be earned for performance between Threshold and Target and between Target and Maximum will be determined on a straight-line basis. </w:t>
      </w:r>
    </w:p>
    <w:tbl>
      <w:tblPr>
        <w:tblW w:w="10205" w:type="dxa"/>
        <w:jc w:val="left"/>
        <w:tblInd w:w="0" w:type="dxa"/>
        <w:tblLayout w:type="fixed"/>
        <w:tblCellMar>
          <w:top w:w="28" w:type="dxa"/>
          <w:left w:w="28" w:type="dxa"/>
          <w:bottom w:w="28" w:type="dxa"/>
          <w:right w:w="28" w:type="dxa"/>
        </w:tblCellMar>
      </w:tblPr>
      <w:tblGrid>
        <w:gridCol w:w="747"/>
        <w:gridCol w:w="657"/>
        <w:gridCol w:w="660"/>
        <w:gridCol w:w="962"/>
        <w:gridCol w:w="962"/>
        <w:gridCol w:w="964"/>
        <w:gridCol w:w="514"/>
        <w:gridCol w:w="514"/>
        <w:gridCol w:w="516"/>
        <w:gridCol w:w="786"/>
        <w:gridCol w:w="786"/>
        <w:gridCol w:w="788"/>
        <w:gridCol w:w="390"/>
        <w:gridCol w:w="390"/>
        <w:gridCol w:w="569"/>
      </w:tblGrid>
      <w:tr>
        <w:trPr/>
        <w:tc>
          <w:tcPr>
            <w:tcW w:w="7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064" w:type="dxa"/>
            <w:gridSpan w:val="3"/>
            <w:vMerge w:val="restart"/>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Performance Level</w:t>
            </w:r>
          </w:p>
        </w:tc>
        <w:tc>
          <w:tcPr>
            <w:tcW w:w="2888" w:type="dxa"/>
            <w:gridSpan w:val="3"/>
            <w:vMerge w:val="restart"/>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Percentage of PSUs Earned*</w:t>
            </w:r>
          </w:p>
        </w:tc>
        <w:tc>
          <w:tcPr>
            <w:tcW w:w="5253" w:type="dxa"/>
            <w:gridSpan w:val="9"/>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Performance Metric</w:t>
            </w:r>
          </w:p>
        </w:tc>
      </w:tr>
      <w:tr>
        <w:trPr/>
        <w:tc>
          <w:tcPr>
            <w:tcW w:w="2064" w:type="dxa"/>
            <w:gridSpan w:val="3"/>
            <w:vMerge w:val="continue"/>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Normal"/>
              <w:bidi w:val="0"/>
              <w:jc w:val="left"/>
              <w:rPr/>
            </w:pPr>
            <w:r>
              <w:rPr/>
            </w:r>
          </w:p>
        </w:tc>
        <w:tc>
          <w:tcPr>
            <w:tcW w:w="2888" w:type="dxa"/>
            <w:gridSpan w:val="3"/>
            <w:vMerge w:val="continue"/>
            <w:tcBorders>
              <w:top w:val="single" w:sz="4" w:space="0" w:color="000000"/>
              <w:left w:val="single" w:sz="4" w:space="0" w:color="000000"/>
            </w:tcBorders>
            <w:tcMar>
              <w:top w:w="30" w:type="dxa"/>
              <w:left w:w="48" w:type="dxa"/>
              <w:bottom w:w="0" w:type="dxa"/>
              <w:right w:w="0" w:type="dxa"/>
            </w:tcMar>
            <w:vAlign w:val="center"/>
          </w:tcPr>
          <w:p>
            <w:pPr>
              <w:pStyle w:val="Normal"/>
              <w:bidi w:val="0"/>
              <w:jc w:val="left"/>
              <w:rPr/>
            </w:pPr>
            <w:r>
              <w:rPr/>
            </w:r>
          </w:p>
        </w:tc>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RONA Growth</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One-Year</w:t>
            </w:r>
          </w:p>
        </w:tc>
        <w:tc>
          <w:tcPr>
            <w:tcW w:w="23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RONA Growth</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Three-Year Cumulative</w:t>
            </w:r>
          </w:p>
        </w:tc>
        <w:tc>
          <w:tcPr>
            <w:tcW w:w="13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EPS Growth</w:t>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Maximum</w:t>
            </w:r>
          </w:p>
        </w:tc>
        <w:tc>
          <w:tcPr>
            <w:tcW w:w="28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 xml:space="preserve">200% </w:t>
            </w:r>
          </w:p>
        </w:tc>
        <w:tc>
          <w:tcPr>
            <w:tcW w:w="15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 basis points</w:t>
            </w:r>
          </w:p>
        </w:tc>
        <w:tc>
          <w:tcPr>
            <w:tcW w:w="23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 basis points</w:t>
            </w:r>
          </w:p>
        </w:tc>
        <w:tc>
          <w:tcPr>
            <w:tcW w:w="13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___%</w:t>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Target</w:t>
            </w:r>
          </w:p>
        </w:tc>
        <w:tc>
          <w:tcPr>
            <w:tcW w:w="28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100%</w:t>
            </w:r>
          </w:p>
        </w:tc>
        <w:tc>
          <w:tcPr>
            <w:tcW w:w="15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 basis points</w:t>
            </w:r>
          </w:p>
        </w:tc>
        <w:tc>
          <w:tcPr>
            <w:tcW w:w="23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 basis points</w:t>
            </w:r>
          </w:p>
        </w:tc>
        <w:tc>
          <w:tcPr>
            <w:tcW w:w="13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w:t>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Threshold</w:t>
            </w:r>
          </w:p>
        </w:tc>
        <w:tc>
          <w:tcPr>
            <w:tcW w:w="28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 xml:space="preserve">50% </w:t>
            </w:r>
          </w:p>
        </w:tc>
        <w:tc>
          <w:tcPr>
            <w:tcW w:w="15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 basis points</w:t>
            </w:r>
          </w:p>
        </w:tc>
        <w:tc>
          <w:tcPr>
            <w:tcW w:w="23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 basis points</w:t>
            </w:r>
          </w:p>
        </w:tc>
        <w:tc>
          <w:tcPr>
            <w:tcW w:w="13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___%</w:t>
            </w:r>
          </w:p>
        </w:tc>
      </w:tr>
      <w:tr>
        <w:trPr/>
        <w:tc>
          <w:tcPr>
            <w:tcW w:w="20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Below Threshold</w:t>
            </w:r>
          </w:p>
        </w:tc>
        <w:tc>
          <w:tcPr>
            <w:tcW w:w="288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sans-serif" w:hAnsi="sans-serif"/>
                <w:b w:val="false"/>
                <w:color w:val="000000"/>
                <w:sz w:val="20"/>
              </w:rPr>
            </w:pPr>
            <w:r>
              <w:rPr>
                <w:rFonts w:ascii="sans-serif" w:hAnsi="sans-serif"/>
                <w:b w:val="false"/>
                <w:color w:val="000000"/>
                <w:sz w:val="20"/>
              </w:rPr>
              <w:t xml:space="preserve">0% </w:t>
            </w:r>
          </w:p>
        </w:tc>
        <w:tc>
          <w:tcPr>
            <w:tcW w:w="154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200"/>
        <w:jc w:val="left"/>
        <w:rPr/>
      </w:pPr>
      <w:r>
        <w:rPr>
          <w:rFonts w:ascii="sans-serif" w:hAnsi="sans-serif"/>
          <w:b w:val="false"/>
          <w:color w:val="000000"/>
          <w:sz w:val="18"/>
        </w:rPr>
        <w:t>* The Percentage of PSUs Earned may exceed 200% of Target if EPS Growth and RONA Growth are at or above Maximum and TSR performance is at or above the 75</w:t>
      </w:r>
      <w:r>
        <w:rPr>
          <w:rFonts w:ascii="sans-serif" w:hAnsi="sans-serif"/>
          <w:b w:val="false"/>
          <w:color w:val="000000"/>
          <w:sz w:val="12"/>
        </w:rPr>
        <w:t>th</w:t>
      </w:r>
      <w:r>
        <w:rPr>
          <w:color w:val="000000"/>
        </w:rPr>
        <w:t xml:space="preserve"> </w:t>
      </w:r>
      <w:r>
        <w:rPr>
          <w:rFonts w:ascii="sans-serif" w:hAnsi="sans-serif"/>
          <w:b w:val="false"/>
          <w:color w:val="000000"/>
          <w:sz w:val="18"/>
        </w:rPr>
        <w:t xml:space="preserve">percentile of the Peer Group (as described below), in which case the maximum award with a positive TSR modifier is 240% of Target.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Payout Calculations: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Company’s performance shall be measured over the Performance Period and the payout determined as follows: (1) performance shall be measured each calendar year in the three-year Performance Period with each year representing 25% of the total Award for each Performance Metric; and (2) performance shall be measured over the full three-year Performance Period with the full three-year period representing 25% of the total Award for each Performance Metric. Payouts will be made following the end of the Performance Period in accordance with the terms of this Award Agreement. A relative TSR modifier will be calculated over the cumulative three-year Performance Period and applied to the full award payout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47"/>
        <w:gridCol w:w="2241"/>
        <w:gridCol w:w="2246"/>
        <w:gridCol w:w="927"/>
        <w:gridCol w:w="927"/>
        <w:gridCol w:w="1317"/>
      </w:tblGrid>
      <w:tr>
        <w:trPr/>
        <w:tc>
          <w:tcPr>
            <w:tcW w:w="2547"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sans-serif" w:hAnsi="sans-serif"/>
                <w:b/>
                <w:color w:val="000000"/>
                <w:sz w:val="22"/>
              </w:rPr>
            </w:pPr>
            <w:r>
              <w:rPr>
                <w:rFonts w:ascii="sans-serif" w:hAnsi="sans-serif"/>
                <w:b/>
                <w:color w:val="000000"/>
                <w:sz w:val="22"/>
              </w:rPr>
              <w:t>Company TSR compared to the TSR of the Companies that Comprise the S&amp;P MidCap 400 Index</w:t>
            </w:r>
          </w:p>
        </w:tc>
        <w:tc>
          <w:tcPr>
            <w:tcW w:w="31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color w:val="000000"/>
                <w:sz w:val="22"/>
              </w:rPr>
            </w:pPr>
            <w:r>
              <w:rPr>
                <w:rFonts w:ascii="sans-serif" w:hAnsi="sans-serif"/>
                <w:b/>
                <w:color w:val="000000"/>
                <w:sz w:val="22"/>
              </w:rPr>
              <w:t xml:space="preserve">Modifier Applied to Full Award Payout </w:t>
            </w:r>
          </w:p>
        </w:tc>
      </w:tr>
      <w:tr>
        <w:trPr/>
        <w:tc>
          <w:tcPr>
            <w:tcW w:w="7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2"/>
              </w:rPr>
              <w:t>At or above 75</w:t>
            </w:r>
            <w:r>
              <w:rPr>
                <w:rFonts w:ascii="sans-serif" w:hAnsi="sans-serif"/>
                <w:b w:val="false"/>
                <w:color w:val="000000"/>
                <w:sz w:val="14"/>
              </w:rPr>
              <w:t>th</w:t>
            </w:r>
            <w:r>
              <w:rPr>
                <w:color w:val="000000"/>
              </w:rPr>
              <w:t xml:space="preserve"> </w:t>
            </w:r>
            <w:r>
              <w:rPr>
                <w:rFonts w:ascii="sans-serif" w:hAnsi="sans-serif"/>
                <w:b w:val="false"/>
                <w:color w:val="000000"/>
                <w:sz w:val="22"/>
              </w:rPr>
              <w:t>percentile</w:t>
            </w:r>
          </w:p>
        </w:tc>
        <w:tc>
          <w:tcPr>
            <w:tcW w:w="31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 xml:space="preserve">+20% modifier </w:t>
            </w:r>
          </w:p>
        </w:tc>
      </w:tr>
      <w:tr>
        <w:trPr/>
        <w:tc>
          <w:tcPr>
            <w:tcW w:w="7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2"/>
              </w:rPr>
              <w:t>At or above 25</w:t>
            </w:r>
            <w:r>
              <w:rPr>
                <w:rFonts w:ascii="sans-serif" w:hAnsi="sans-serif"/>
                <w:b w:val="false"/>
                <w:color w:val="000000"/>
                <w:sz w:val="14"/>
              </w:rPr>
              <w:t>th</w:t>
            </w:r>
            <w:r>
              <w:rPr>
                <w:color w:val="000000"/>
              </w:rPr>
              <w:t xml:space="preserve"> </w:t>
            </w:r>
            <w:r>
              <w:rPr>
                <w:rFonts w:ascii="sans-serif" w:hAnsi="sans-serif"/>
                <w:b w:val="false"/>
                <w:color w:val="000000"/>
                <w:sz w:val="22"/>
              </w:rPr>
              <w:t>percentile and below 75</w:t>
            </w:r>
            <w:r>
              <w:rPr>
                <w:rFonts w:ascii="sans-serif" w:hAnsi="sans-serif"/>
                <w:b w:val="false"/>
                <w:color w:val="000000"/>
                <w:sz w:val="14"/>
              </w:rPr>
              <w:t>th</w:t>
            </w:r>
            <w:r>
              <w:rPr>
                <w:color w:val="000000"/>
              </w:rPr>
              <w:t xml:space="preserve"> </w:t>
            </w:r>
            <w:r>
              <w:rPr>
                <w:rFonts w:ascii="sans-serif" w:hAnsi="sans-serif"/>
                <w:b w:val="false"/>
                <w:color w:val="000000"/>
                <w:sz w:val="22"/>
              </w:rPr>
              <w:t>percentile</w:t>
            </w:r>
          </w:p>
        </w:tc>
        <w:tc>
          <w:tcPr>
            <w:tcW w:w="31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None</w:t>
            </w:r>
          </w:p>
        </w:tc>
      </w:tr>
      <w:tr>
        <w:trPr/>
        <w:tc>
          <w:tcPr>
            <w:tcW w:w="7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sans-serif" w:hAnsi="sans-serif"/>
                <w:b w:val="false"/>
                <w:color w:val="000000"/>
                <w:sz w:val="22"/>
              </w:rPr>
              <w:t>Below 25</w:t>
            </w:r>
            <w:r>
              <w:rPr>
                <w:rFonts w:ascii="sans-serif" w:hAnsi="sans-serif"/>
                <w:b w:val="false"/>
                <w:color w:val="000000"/>
                <w:sz w:val="14"/>
              </w:rPr>
              <w:t>th</w:t>
            </w:r>
            <w:r>
              <w:rPr>
                <w:color w:val="000000"/>
              </w:rPr>
              <w:t xml:space="preserve"> </w:t>
            </w:r>
            <w:r>
              <w:rPr>
                <w:rFonts w:ascii="sans-serif" w:hAnsi="sans-serif"/>
                <w:b w:val="false"/>
                <w:color w:val="000000"/>
                <w:sz w:val="22"/>
              </w:rPr>
              <w:t>percentile</w:t>
            </w:r>
          </w:p>
        </w:tc>
        <w:tc>
          <w:tcPr>
            <w:tcW w:w="317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283"/>
              <w:jc w:val="left"/>
              <w:rPr>
                <w:rFonts w:ascii="sans-serif" w:hAnsi="sans-serif"/>
                <w:b w:val="false"/>
                <w:color w:val="000000"/>
                <w:sz w:val="22"/>
              </w:rPr>
            </w:pPr>
            <w:r>
              <w:rPr>
                <w:rFonts w:ascii="sans-serif" w:hAnsi="sans-serif"/>
                <w:b w:val="false"/>
                <w:color w:val="000000"/>
                <w:sz w:val="22"/>
              </w:rPr>
              <w:t>-20% modifier</w:t>
            </w:r>
          </w:p>
        </w:tc>
      </w:tr>
    </w:tbl>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RONA Growth</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RONA Growth means the one-year or three-year cumulative return on net assets growth versus the base year calculated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br/>
        <w:br/>
        <w:t>RONA measured as of December 31 at the end of the period – RONA measured as of December 31 at the beginning of the period = one-year or three-year cumulative RONA Growth</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where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RONA = Net Income/[[Accounts Receivable + Inventory – Accounts Payable] + Net Property Plant and Equipment]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sans-serif" w:hAnsi="sans-serif"/>
          <w:b w:val="false"/>
          <w:color w:val="000000"/>
          <w:sz w:val="22"/>
        </w:rPr>
        <w:t>where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Net Income means net income attributable to common stockholders for the calendar year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Accounts Receivable means the average of Trade accounts receivable, net of allowance for expected credit losses, measured as of the five quarter ending balance sheet dates December 31, September 30, June 30, March 31 and prior December 31</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Inventory means the average of Inventories measured as of the five quarter ending balance sheet dates December 31, September 30, June 30, March 31 and prior December 31</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Accounts Payable means the average of Accounts payable measured as of the five quarter ending balance sheet dates December 31, September 30, June 30, March 31 and prior December 31</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Net PP&amp;E means the average of Property, buildings and equipment, net, measured as of the five quarter ending balance sheet dates December 31, September 30, June 30, March 31 and prior December 31</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Amounts are as reported in the Company’s financial statements in accordance with generally accepted accounting principles or any other financial reporting framework under which the Company is required to report its financial statements (subject to possible exclusions or adjustments as described in the Award Agreement). </w:t>
      </w:r>
    </w:p>
    <w:p>
      <w:pPr>
        <w:pStyle w:val="TextBody"/>
        <w:bidi w:val="0"/>
        <w:spacing w:before="0" w:after="0"/>
        <w:jc w:val="left"/>
        <w:rPr/>
      </w:pPr>
      <w:r>
        <w:rPr/>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EPS Growth</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EPS Growth means the growth rate of the Company’s diluted earnings per share, as reported in the Company’s financial statements in accordance with generally accepted accounting principles or any other financial reporting framework under which the Company is required to report its financial statements (subject to possible exclusions or adjustments as described in the Award Agreement). The EPS Growth rate for each calendar year means: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Year 1 EPS Growth Rate = [(Year 1 EPS – Year 0 EPS)/Year 0 EPS] x 100</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Year 2 EPS Growth Rate = [(Year 2 EPS – Year 1 EPS)/Year 1 EPS] x 100</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Year 3 EPS Growth Rate = [(Year 3 EPS – Year 2 EPS)/Year 2 EPS] x 100</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br/>
        <w:t xml:space="preserve">The full three-year EPS Growth rate means the compound annual growth rate (CAGR): </w:t>
      </w:r>
    </w:p>
    <w:p>
      <w:pPr>
        <w:pStyle w:val="TextBody"/>
        <w:bidi w:val="0"/>
        <w:spacing w:lineRule="auto" w:line="288" w:before="0" w:after="200"/>
        <w:jc w:val="left"/>
        <w:rPr/>
      </w:pPr>
      <w:r>
        <w:rPr>
          <w:rFonts w:ascii="sans-serif" w:hAnsi="sans-serif"/>
          <w:b w:val="false"/>
          <w:color w:val="000000"/>
          <w:sz w:val="22"/>
        </w:rPr>
        <w:t>Full three-year EPS Growth Rate = ((Year 3 EPS/Year 0 EPS)^</w:t>
      </w:r>
      <w:r>
        <w:rPr>
          <w:rFonts w:ascii="sans-serif" w:hAnsi="sans-serif"/>
          <w:b w:val="false"/>
          <w:color w:val="000000"/>
          <w:sz w:val="14"/>
        </w:rPr>
        <w:t>1/3</w:t>
      </w:r>
      <w:r>
        <w:rPr>
          <w:color w:val="000000"/>
        </w:rPr>
        <w:t>−</w:t>
      </w:r>
      <w:r>
        <w:rPr>
          <w:rFonts w:ascii="sans-serif" w:hAnsi="sans-serif"/>
          <w:b w:val="false"/>
          <w:color w:val="000000"/>
          <w:sz w:val="22"/>
        </w:rPr>
        <w:t>1)×100</w:t>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TSR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TSR is calculated on the three-year cumulative Performance Period.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TSR is calculated assuming full reinvestment of dividends when paid. </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TSR = [Ending Price – Beginning Price + Dividends]/Beginning Price</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sans-serif" w:hAnsi="sans-serif"/>
          <w:b w:val="false"/>
          <w:color w:val="000000"/>
          <w:sz w:val="22"/>
        </w:rPr>
      </w:pPr>
      <w:r>
        <w:rPr>
          <w:rFonts w:ascii="sans-serif" w:hAnsi="sans-serif"/>
          <w:b w:val="false"/>
          <w:color w:val="000000"/>
          <w:sz w:val="22"/>
        </w:rPr>
        <w:t xml:space="preserve">where: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Ending Price is the Average Measurement Period Price for the 30 business days ending on the last business day of the applicable measurement period or, in the event of a Change in Control, the closing price on the business day immediately preceding the closing date of the Change in Control.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Beginning Price is the Average Measurement Period Price for the 30 business days prior to the first business day of the applicable measurement period.</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Average Measurement Period Price = average of the closing stock price for each of the 30 days during a specified 30 business day period.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Peer Group means the companies that comprise the S&amp;P MidCap 400 Index at the beginning of the Performance Period.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If a company in the S&amp;P MidCap 400 Index becomes bankrupt, the company will remain in the Peer Group positioned at one level below the lowest performing non-bankrupt company. In the case of multiple bankruptcies, the bankrupt companies will be positioned below the non-bankrupt companies in chronological order by the bankruptcy date with the first to be bankrupt at the bottom.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If a company in the S&amp;P MidCap 400 Index is acquired by another company or entity, including through a management buy-out or going-private transaction, it will be removed from the Peer Group for the Performance Period; provided that if the acquired company became bankrupt prior to its acquisition it shall be treated as provided in the paragraph above, or if it shall become delisted as described below prior to its acquisition it shall be treated as provided below.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If a company in the S&amp;P MidCap 400 Index acquires another company, the acquiring company will remain in the Peer Group for the Performance Period.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If a company in the S&amp;P MidCap 400 Index is delisted from the NYSE or NASDAQ such that it is no longer listed on either exchange, other than in connection with a transaction contemplated above, such delisted company will remain in the Peer Group positioned at one level below the lowest performing listed company and above the highest ranked bankrupt company. In the case of multiple delistings, the delisted companies will be positioned below the listed and above the bankrupt companies in chronological order by delisting date with the first to be delisted at the bottom of the delisted companies. If a delisted company shall become bankrupt, it shall be treated as a bankrupt company above. If a delisted company shall be later acquired, it shall be treated as a delisted company under this paragraph. If a delisted company shall relist during the Performance Period, it shall remain in its relative delisted position determined under this paragraph.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If the Company’s or a company in the S&amp;P MidCap 400 Index’s stock splits, such company’s TSR performance will be adjusted for the stock split so as to not give an advantage or disadvantage to such company by comparison to the other companies.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Exhibit 31.1</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I, John J. Engel, certify that: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1. I have reviewed this quarterly report on Form 10-Q of WESCO International, Inc.;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6607"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49"/>
        <w:gridCol w:w="149"/>
        <w:gridCol w:w="151"/>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Engel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Exhibit 31.2</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I, David S. Schulz, certify that: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1. I have reviewed this quarterly report on Form 10-Q of WESCO International, Inc.;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6909"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739"/>
        <w:gridCol w:w="739"/>
        <w:gridCol w:w="739"/>
        <w:gridCol w:w="739"/>
        <w:gridCol w:w="739"/>
        <w:gridCol w:w="744"/>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Exhibit 32.1</w:t>
      </w:r>
      <w:r>
        <w:rPr>
          <w:color w:val="00000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WESCO International, Inc. (the “Company”) on Form 10-Q for the period ended March 31,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6607"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49"/>
        <w:gridCol w:w="149"/>
        <w:gridCol w:w="151"/>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Exhibit 32.2</w:t>
      </w:r>
      <w:r>
        <w:rPr>
          <w:color w:val="00000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WESCO International, Inc. (the “Company”) on Form 10-Q for the period ended March 31,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6909"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739"/>
        <w:gridCol w:w="739"/>
        <w:gridCol w:w="739"/>
        <w:gridCol w:w="739"/>
        <w:gridCol w:w="739"/>
        <w:gridCol w:w="744"/>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9008/000119312525048516/d861758dex41.htm" TargetMode="External"/><Relationship Id="rId3" Type="http://schemas.openxmlformats.org/officeDocument/2006/relationships/hyperlink" Target="https://www.sec.gov/Archives/edgar/data/929008/000119312525048516/d861758dex41.htm" TargetMode="External"/><Relationship Id="rId4" Type="http://schemas.openxmlformats.org/officeDocument/2006/relationships/hyperlink" Target="https://www.sec.gov/Archives/edgar/data/929008/000119312525048516/d861758dex101.htm" TargetMode="External"/><Relationship Id="rId5" Type="http://schemas.openxmlformats.org/officeDocument/2006/relationships/hyperlink" Target="https://www.sec.gov/Archives/edgar/data/929008/000119312525048516/d861758dex101.htm" TargetMode="External"/><Relationship Id="rId6" Type="http://schemas.openxmlformats.org/officeDocument/2006/relationships/hyperlink" Target="https://www.sec.gov/Archives/edgar/data/929008/000119312525048516/d861758d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22373</Words>
  <Characters>126854</Characters>
  <CharactersWithSpaces>147764</CharactersWithSpaces>
  <Paragraphs>2683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