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WESCO International,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740" w:type="dxa"/>
            <w:vAlign w:val="bottom"/>
          </w:tcPr>
          <w:p>
            <w:pPr>
              <w:jc w:val="center"/>
              <w:ind w:right="2019"/>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ind w:left="440"/>
              <w:spacing w:after="0"/>
              <w:rPr>
                <w:sz w:val="20"/>
                <w:szCs w:val="20"/>
                <w:color w:val="auto"/>
              </w:rPr>
            </w:pPr>
            <w:r>
              <w:rPr>
                <w:rFonts w:ascii="Arial" w:cs="Arial" w:eastAsia="Arial" w:hAnsi="Arial"/>
                <w:sz w:val="18"/>
                <w:szCs w:val="18"/>
                <w:b w:val="1"/>
                <w:bCs w:val="1"/>
                <w:color w:val="auto"/>
              </w:rPr>
              <w:t>001-14989</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25-1723342</w:t>
            </w:r>
          </w:p>
        </w:tc>
      </w:tr>
      <w:tr>
        <w:trPr>
          <w:trHeight w:val="148"/>
        </w:trPr>
        <w:tc>
          <w:tcPr>
            <w:tcW w:w="3740" w:type="dxa"/>
            <w:vAlign w:val="bottom"/>
          </w:tcPr>
          <w:p>
            <w:pPr>
              <w:jc w:val="center"/>
              <w:ind w:right="20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740" w:type="dxa"/>
            <w:vAlign w:val="bottom"/>
          </w:tcPr>
          <w:p>
            <w:pPr>
              <w:jc w:val="center"/>
              <w:ind w:right="1999"/>
              <w:spacing w:after="0"/>
              <w:rPr>
                <w:sz w:val="20"/>
                <w:szCs w:val="20"/>
                <w:color w:val="auto"/>
              </w:rPr>
            </w:pPr>
            <w:r>
              <w:rPr>
                <w:rFonts w:ascii="Arial" w:cs="Arial" w:eastAsia="Arial" w:hAnsi="Arial"/>
                <w:sz w:val="14"/>
                <w:szCs w:val="14"/>
                <w:b w:val="1"/>
                <w:bCs w:val="1"/>
                <w:color w:val="auto"/>
                <w:w w:val="94"/>
              </w:rPr>
              <w:t>of incorporation)</w:t>
            </w:r>
          </w:p>
        </w:tc>
        <w:tc>
          <w:tcPr>
            <w:tcW w:w="2240" w:type="dxa"/>
            <w:vAlign w:val="bottom"/>
          </w:tcPr>
          <w:p>
            <w:pPr>
              <w:ind w:left="4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740" w:type="dxa"/>
            <w:vAlign w:val="bottom"/>
          </w:tcPr>
          <w:p>
            <w:pPr>
              <w:jc w:val="center"/>
              <w:ind w:right="179"/>
              <w:spacing w:after="0"/>
              <w:rPr>
                <w:sz w:val="20"/>
                <w:szCs w:val="20"/>
                <w:color w:val="auto"/>
              </w:rPr>
            </w:pPr>
            <w:r>
              <w:rPr>
                <w:rFonts w:ascii="Arial" w:cs="Arial" w:eastAsia="Arial" w:hAnsi="Arial"/>
                <w:sz w:val="18"/>
                <w:szCs w:val="18"/>
                <w:b w:val="1"/>
                <w:bCs w:val="1"/>
                <w:color w:val="auto"/>
                <w:w w:val="90"/>
              </w:rPr>
              <w:t>225 West Station Square Drive, Suite 700</w:t>
            </w:r>
          </w:p>
        </w:tc>
        <w:tc>
          <w:tcPr>
            <w:tcW w:w="22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740" w:type="dxa"/>
            <w:vAlign w:val="bottom"/>
          </w:tcPr>
          <w:p>
            <w:pPr>
              <w:jc w:val="center"/>
              <w:ind w:right="179"/>
              <w:spacing w:after="0"/>
              <w:rPr>
                <w:sz w:val="20"/>
                <w:szCs w:val="20"/>
                <w:color w:val="auto"/>
              </w:rPr>
            </w:pPr>
            <w:r>
              <w:rPr>
                <w:rFonts w:ascii="Arial" w:cs="Arial" w:eastAsia="Arial" w:hAnsi="Arial"/>
                <w:sz w:val="18"/>
                <w:szCs w:val="18"/>
                <w:b w:val="1"/>
                <w:bCs w:val="1"/>
                <w:color w:val="auto"/>
                <w:w w:val="89"/>
              </w:rPr>
              <w:t>Pittsburgh, Pennsylvania</w:t>
            </w:r>
          </w:p>
        </w:tc>
        <w:tc>
          <w:tcPr>
            <w:tcW w:w="22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15219</w:t>
            </w:r>
          </w:p>
        </w:tc>
      </w:tr>
      <w:tr>
        <w:trPr>
          <w:trHeight w:val="186"/>
        </w:trPr>
        <w:tc>
          <w:tcPr>
            <w:tcW w:w="374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(412) 454-2200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Title of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WCC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Depositary Shares, each representing a 1/1,000th</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WCC PR A</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interest in a share of Series A Fixed-Rate Reset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Cumulative Perpetual Preferred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Revolving Credit Agreement Amendment</w:t>
      </w:r>
    </w:p>
    <w:p>
      <w:pPr>
        <w:spacing w:after="0" w:line="117"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On August 2, 2022, WESCO Distribution, Inc., a Delaware corporation (“Wesco Distribution”), amended its revolving credit facility (the “Revolving Credit Facility”) pursuant to the terms and conditions of the Third Amendment to Fourth Amended and Restated Credit Agreement, dated as of August 2, 2022 (the “Revolver Amendment”), by and among WESCO International, Inc., a Delaware corporation, Wesco Distribution, as the borrower representative, the other U.S. borrowers party thereto, WESCO Distribution Canada LP, the other Canadian borrowers party thereto, the lenders party thereto and Barclays Bank PLC, as administrative agent, which amends the Fourth Amended and Restated Credit Agreement, dated as of June 22, 2020. The Revolver Amendment, among other things, (i) increases the revolving commitments under the Revolving Credit Facility from $1,350 million to $1,525 million and (ii) increases the sub-facility for loans denominated in Canadian dollars from $550 million to $600 million.</w:t>
      </w:r>
    </w:p>
    <w:p>
      <w:pPr>
        <w:spacing w:after="0" w:line="27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Receivables Purchase Agreement Amendment</w:t>
      </w:r>
    </w:p>
    <w:p>
      <w:pPr>
        <w:spacing w:after="0" w:line="117" w:lineRule="exact"/>
        <w:rPr>
          <w:sz w:val="20"/>
          <w:szCs w:val="20"/>
          <w:color w:val="auto"/>
        </w:rPr>
      </w:pPr>
    </w:p>
    <w:p>
      <w:pPr>
        <w:ind w:right="40" w:firstLine="991"/>
        <w:spacing w:after="0" w:line="285" w:lineRule="auto"/>
        <w:rPr>
          <w:sz w:val="20"/>
          <w:szCs w:val="20"/>
          <w:color w:val="auto"/>
        </w:rPr>
      </w:pPr>
      <w:r>
        <w:rPr>
          <w:rFonts w:ascii="Arial" w:cs="Arial" w:eastAsia="Arial" w:hAnsi="Arial"/>
          <w:sz w:val="16"/>
          <w:szCs w:val="16"/>
          <w:color w:val="auto"/>
        </w:rPr>
        <w:t>On August 2, 2022, Wesco Distribution amended its accounts receivable securitization facility (the “Receivables Facility”) pursuant to the terms and conditions of the Fifth Amendment to Fifth Amended and Restated Receivables Purchase Agreement, dated as of August 2, 2022 (the “Receivables Amendment”), by and among WESCO Receivables Corp., Wesco Distribution, the various purchaser groups from time to time party thereto and PNC Bank, National Association, as administrator, which amends the Fifth Amended and Restated Receivables Purchase Agreement, dated as of June 22, 2020. The Receivables Amendment, among other things, (i) increases the purchase limit under the Receivables Facility from</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$1,400 million $1,525 million and (ii) decreases the interest rate spread applicable to outstanding purchased receivables from 1.10% to 1.05%.</w:t>
      </w:r>
    </w:p>
    <w:p>
      <w:pPr>
        <w:spacing w:after="0" w:line="33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440" w:firstLine="991"/>
        <w:spacing w:after="0" w:line="259" w:lineRule="auto"/>
        <w:rPr>
          <w:sz w:val="20"/>
          <w:szCs w:val="20"/>
          <w:color w:val="auto"/>
        </w:rPr>
      </w:pPr>
      <w:r>
        <w:rPr>
          <w:rFonts w:ascii="Arial" w:cs="Arial" w:eastAsia="Arial" w:hAnsi="Arial"/>
          <w:sz w:val="18"/>
          <w:szCs w:val="18"/>
          <w:color w:val="auto"/>
        </w:rPr>
        <w:t>Copies of the Revolver Amendment and the Receivables Amendment are filed as Exhibit 10.1 and Exhibit 10.2, respectively, to this Current Report on Form 8-K and are incorporated herein by reference. The description above is a summary of the Revolver Amendment and the Receivables Amendment, does not purport to be complete, and is qualified in its entirety by the complete text of the Revolver Amendment and the Receivables Amendment, as applicable.</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information set forth above in Item 1.01 is hereby incorporated by reference into this Item 2.03.</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color w:val="auto"/>
                <w:w w:val="99"/>
              </w:rPr>
              <w:t>Exhibit</w:t>
            </w: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7"/>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Number</w:t>
            </w: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4520" w:type="dxa"/>
            <w:vAlign w:val="bottom"/>
            <w:gridSpan w:val="5"/>
          </w:tcPr>
          <w:p>
            <w:pPr>
              <w:spacing w:after="0"/>
              <w:rPr>
                <w:sz w:val="14"/>
                <w:szCs w:val="14"/>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8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Third Amendment to Fourth Amended and Restated Credit Agreement, dated as of August 2, 2022, by and among WESCO Distribution,</w:t>
              </w:r>
            </w:hyperlink>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gridSpan w:val="8"/>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Inc., the other U.S. borrowers party thereto, WESCO Distribution Canada LP, the other Canadian borrowers party thereto, WESCO</w:t>
              </w:r>
            </w:hyperlink>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7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International, Inc., the lenders party thereto and Barclays Bank PLC., as administrative agent.</w:t>
              </w:r>
            </w:hyperlink>
          </w:p>
        </w:tc>
        <w:tc>
          <w:tcPr>
            <w:tcW w:w="2700" w:type="dxa"/>
            <w:vAlign w:val="bottom"/>
            <w:tcBorders>
              <w:top w:val="single" w:sz="8" w:color="0000EE"/>
            </w:tcBorders>
            <w:gridSpan w:val="2"/>
          </w:tcPr>
          <w:p>
            <w:pPr>
              <w:spacing w:after="0"/>
              <w:rPr>
                <w:sz w:val="17"/>
                <w:szCs w:val="17"/>
                <w:color w:val="auto"/>
              </w:rPr>
            </w:pPr>
          </w:p>
        </w:tc>
        <w:tc>
          <w:tcPr>
            <w:tcW w:w="420" w:type="dxa"/>
            <w:vAlign w:val="bottom"/>
            <w:gridSpan w:val="2"/>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9860" w:type="dxa"/>
            <w:vAlign w:val="bottom"/>
            <w:gridSpan w:val="8"/>
          </w:tcPr>
          <w:p>
            <w:pPr>
              <w:spacing w:after="0"/>
              <w:rPr>
                <w:rFonts w:ascii="Arial" w:cs="Arial" w:eastAsia="Arial" w:hAnsi="Arial"/>
                <w:sz w:val="18"/>
                <w:szCs w:val="18"/>
                <w:color w:val="0000EE"/>
                <w:w w:val="90"/>
              </w:rPr>
            </w:pPr>
            <w:hyperlink w:anchor="page178">
              <w:r>
                <w:rPr>
                  <w:rFonts w:ascii="Arial" w:cs="Arial" w:eastAsia="Arial" w:hAnsi="Arial"/>
                  <w:sz w:val="18"/>
                  <w:szCs w:val="18"/>
                  <w:color w:val="0000EE"/>
                  <w:w w:val="90"/>
                </w:rPr>
                <w:t>Fifth Amendment to Fifth Amended and Restated Receivables Purchase Agreement, dated as of August 2, 2022, by and among WESCO</w:t>
              </w:r>
            </w:hyperlink>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20" w:type="dxa"/>
            <w:vAlign w:val="bottom"/>
            <w:tcBorders>
              <w:top w:val="single" w:sz="8" w:color="0000EE"/>
            </w:tcBorders>
            <w:gridSpan w:val="7"/>
          </w:tcPr>
          <w:p>
            <w:pPr>
              <w:spacing w:after="0" w:line="196" w:lineRule="exact"/>
              <w:rPr>
                <w:rFonts w:ascii="Arial" w:cs="Arial" w:eastAsia="Arial" w:hAnsi="Arial"/>
                <w:sz w:val="18"/>
                <w:szCs w:val="18"/>
                <w:color w:val="0000EE"/>
                <w:w w:val="94"/>
              </w:rPr>
            </w:pPr>
            <w:hyperlink w:anchor="page178">
              <w:r>
                <w:rPr>
                  <w:rFonts w:ascii="Arial" w:cs="Arial" w:eastAsia="Arial" w:hAnsi="Arial"/>
                  <w:sz w:val="18"/>
                  <w:szCs w:val="18"/>
                  <w:color w:val="0000EE"/>
                  <w:w w:val="94"/>
                </w:rPr>
                <w:t>Distribution, Inc., WESCO Receivables Corp., the various purchaser groups party thereto and PNC Bank, National Association, as</w:t>
              </w:r>
            </w:hyperlink>
          </w:p>
        </w:tc>
        <w:tc>
          <w:tcPr>
            <w:tcW w:w="4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administrator.</w:t>
              </w:r>
            </w:hyperlink>
          </w:p>
        </w:tc>
        <w:tc>
          <w:tcPr>
            <w:tcW w:w="460" w:type="dxa"/>
            <w:vAlign w:val="bottom"/>
            <w:gridSpan w:val="3"/>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880" w:type="dxa"/>
            <w:vAlign w:val="bottom"/>
            <w:gridSpan w:val="7"/>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0980"/>
          </w:cols>
          <w:pgMar w:left="440" w:top="297"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WESCO International, Inc.</w:t>
            </w:r>
          </w:p>
        </w:tc>
      </w:tr>
      <w:tr>
        <w:trPr>
          <w:trHeight w:val="224"/>
        </w:trPr>
        <w:tc>
          <w:tcPr>
            <w:tcW w:w="4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431"/>
        </w:trPr>
        <w:tc>
          <w:tcPr>
            <w:tcW w:w="4960" w:type="dxa"/>
            <w:vAlign w:val="bottom"/>
          </w:tcPr>
          <w:p>
            <w:pPr>
              <w:jc w:val="center"/>
              <w:spacing w:after="0"/>
              <w:rPr>
                <w:sz w:val="20"/>
                <w:szCs w:val="20"/>
                <w:color w:val="auto"/>
              </w:rPr>
            </w:pPr>
            <w:r>
              <w:rPr>
                <w:rFonts w:ascii="Arial" w:cs="Arial" w:eastAsia="Arial" w:hAnsi="Arial"/>
                <w:sz w:val="18"/>
                <w:szCs w:val="18"/>
                <w:color w:val="auto"/>
                <w:w w:val="90"/>
              </w:rPr>
              <w:t>August 3, 2022</w:t>
            </w:r>
          </w:p>
        </w:tc>
        <w:tc>
          <w:tcPr>
            <w:tcW w:w="6060" w:type="dxa"/>
            <w:vAlign w:val="bottom"/>
            <w:gridSpan w:val="2"/>
          </w:tcPr>
          <w:p>
            <w:pPr>
              <w:ind w:left="660"/>
              <w:spacing w:after="0"/>
              <w:rPr>
                <w:sz w:val="20"/>
                <w:szCs w:val="20"/>
                <w:color w:val="auto"/>
              </w:rPr>
            </w:pPr>
            <w:r>
              <w:rPr>
                <w:rFonts w:ascii="Arial" w:cs="Arial" w:eastAsia="Arial" w:hAnsi="Arial"/>
                <w:sz w:val="18"/>
                <w:szCs w:val="18"/>
                <w:color w:val="auto"/>
              </w:rPr>
              <w:t>By:  /s/ David S. Schulz</w:t>
            </w:r>
          </w:p>
        </w:tc>
      </w:tr>
      <w:tr>
        <w:trPr>
          <w:trHeight w:val="209"/>
        </w:trPr>
        <w:tc>
          <w:tcPr>
            <w:tcW w:w="4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(Date)</w:t>
            </w:r>
          </w:p>
        </w:tc>
        <w:tc>
          <w:tcPr>
            <w:tcW w:w="110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S. Schulz</w:t>
            </w:r>
          </w:p>
        </w:tc>
      </w:tr>
      <w:tr>
        <w:trPr>
          <w:trHeight w:val="230"/>
        </w:trPr>
        <w:tc>
          <w:tcPr>
            <w:tcW w:w="4960" w:type="dxa"/>
            <w:vAlign w:val="bottom"/>
          </w:tcPr>
          <w:p>
            <w:pPr>
              <w:spacing w:after="0"/>
              <w:rPr>
                <w:sz w:val="20"/>
                <w:szCs w:val="20"/>
                <w:color w:val="auto"/>
              </w:rPr>
            </w:pPr>
          </w:p>
        </w:tc>
        <w:tc>
          <w:tcPr>
            <w:tcW w:w="6060" w:type="dxa"/>
            <w:vAlign w:val="bottom"/>
            <w:gridSpan w:val="2"/>
          </w:tcPr>
          <w:p>
            <w:pPr>
              <w:ind w:left="110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FOURTH AMENDED AND RESTATED CREDIT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THIRD AMENDMENT TO FOURTH AMENDED AND RESTATED CREDIT AGREEMENT, dated as of August 2, 2022 (this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Amendment</w:t>
      </w:r>
      <w:r>
        <w:rPr>
          <w:rFonts w:ascii="Arial" w:cs="Arial" w:eastAsia="Arial" w:hAnsi="Arial"/>
          <w:sz w:val="16"/>
          <w:szCs w:val="16"/>
          <w:color w:val="auto"/>
        </w:rPr>
        <w:t>”), is by and among WESCO DISTRIBUTION, INC., a Delaware corporation (the “</w:t>
      </w:r>
      <w:r>
        <w:rPr>
          <w:rFonts w:ascii="Arial" w:cs="Arial" w:eastAsia="Arial" w:hAnsi="Arial"/>
          <w:sz w:val="16"/>
          <w:szCs w:val="16"/>
          <w:u w:val="single" w:color="auto"/>
          <w:color w:val="auto"/>
        </w:rPr>
        <w:t>Borrower Representative</w:t>
      </w:r>
      <w:r>
        <w:rPr>
          <w:rFonts w:ascii="Arial" w:cs="Arial" w:eastAsia="Arial" w:hAnsi="Arial"/>
          <w:sz w:val="16"/>
          <w:szCs w:val="16"/>
          <w:color w:val="auto"/>
        </w:rPr>
        <w:t>”), the other U.S. Borrowers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party hereto, WESCO DISTRIBUTION CANADA LP, an Ontario limited partnership (“</w:t>
      </w:r>
      <w:r>
        <w:rPr>
          <w:rFonts w:ascii="Arial" w:cs="Arial" w:eastAsia="Arial" w:hAnsi="Arial"/>
          <w:sz w:val="18"/>
          <w:szCs w:val="18"/>
          <w:u w:val="single" w:color="auto"/>
          <w:color w:val="auto"/>
        </w:rPr>
        <w:t>WDC</w:t>
      </w:r>
      <w:r>
        <w:rPr>
          <w:rFonts w:ascii="Arial" w:cs="Arial" w:eastAsia="Arial" w:hAnsi="Arial"/>
          <w:sz w:val="18"/>
          <w:szCs w:val="18"/>
          <w:color w:val="auto"/>
        </w:rPr>
        <w:t>”), the other Canadian Borrowers party hereto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(collectively with the Borrower Representative, the other U.S. Borrowers and WDC, the “</w:t>
      </w:r>
      <w:r>
        <w:rPr>
          <w:rFonts w:ascii="Arial" w:cs="Arial" w:eastAsia="Arial" w:hAnsi="Arial"/>
          <w:sz w:val="17"/>
          <w:szCs w:val="17"/>
          <w:u w:val="single" w:color="auto"/>
          <w:color w:val="auto"/>
        </w:rPr>
        <w:t>Borrowers</w:t>
      </w:r>
      <w:r>
        <w:rPr>
          <w:rFonts w:ascii="Arial" w:cs="Arial" w:eastAsia="Arial" w:hAnsi="Arial"/>
          <w:sz w:val="17"/>
          <w:szCs w:val="17"/>
          <w:color w:val="auto"/>
        </w:rPr>
        <w:t>”), Holdings, the Lenders party hereto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BARCLAYS BANK PLC,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WHEREAS, the Borrowers, certain other Loan Parties from time to time party thereto, the Lenders from time to time party thereto and BARCLAYS BANK PLC, as Administrative Agent, Swingline Lender and as an Issuing Bank, are parties to that certain Fourth Amended and Restated Credit Agreement, dated as of June 22, 2020 (as amended, restated, amended and restated, supplemented or otherwise modified from time to time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WHEREAS, the Borrowers have requested that (a) the Persons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Third Amendment Additional Revolving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Lenders</w:t>
      </w:r>
      <w:r>
        <w:rPr>
          <w:rFonts w:ascii="Arial" w:cs="Arial" w:eastAsia="Arial" w:hAnsi="Arial"/>
          <w:sz w:val="17"/>
          <w:szCs w:val="17"/>
          <w:color w:val="auto"/>
        </w:rPr>
        <w:t>”) make available to the Borrowers, on the Third Amendment Effective Date (as defined herein), additional Revolving Commitments (the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w:t>
      </w:r>
      <w:r>
        <w:rPr>
          <w:rFonts w:ascii="Arial" w:cs="Arial" w:eastAsia="Arial" w:hAnsi="Arial"/>
          <w:sz w:val="17"/>
          <w:szCs w:val="17"/>
          <w:u w:val="single" w:color="auto"/>
          <w:color w:val="auto"/>
        </w:rPr>
        <w:t>Amendment Additional Revolving Commitments</w:t>
      </w:r>
      <w:r>
        <w:rPr>
          <w:rFonts w:ascii="Arial" w:cs="Arial" w:eastAsia="Arial" w:hAnsi="Arial"/>
          <w:sz w:val="17"/>
          <w:szCs w:val="17"/>
          <w:color w:val="auto"/>
        </w:rPr>
        <w:t>”, any loans made thereunder, the “</w:t>
      </w:r>
      <w:r>
        <w:rPr>
          <w:rFonts w:ascii="Arial" w:cs="Arial" w:eastAsia="Arial" w:hAnsi="Arial"/>
          <w:sz w:val="17"/>
          <w:szCs w:val="17"/>
          <w:u w:val="single" w:color="auto"/>
          <w:color w:val="auto"/>
        </w:rPr>
        <w:t>Third Amendment Additional Revolving Loans</w:t>
      </w:r>
      <w:r>
        <w:rPr>
          <w:rFonts w:ascii="Arial" w:cs="Arial" w:eastAsia="Arial" w:hAnsi="Arial"/>
          <w:sz w:val="17"/>
          <w:szCs w:val="17"/>
          <w:color w:val="auto"/>
        </w:rPr>
        <w:t>” and the facility evidencing the Third Amendment Additional Revolving Commitments, the “</w:t>
      </w:r>
      <w:r>
        <w:rPr>
          <w:rFonts w:ascii="Arial" w:cs="Arial" w:eastAsia="Arial" w:hAnsi="Arial"/>
          <w:sz w:val="17"/>
          <w:szCs w:val="17"/>
          <w:u w:val="single" w:color="auto"/>
          <w:color w:val="auto"/>
        </w:rPr>
        <w:t>Third Amendment Additional Revolver Facility</w:t>
      </w:r>
      <w:r>
        <w:rPr>
          <w:rFonts w:ascii="Arial" w:cs="Arial" w:eastAsia="Arial" w:hAnsi="Arial"/>
          <w:sz w:val="17"/>
          <w:szCs w:val="17"/>
          <w:color w:val="auto"/>
        </w:rPr>
        <w:t>”) in an aggregate principal amount for all such Third Amendment Additional Revolving Commitments of $175,000,000, all of which will be available as Revolving Commitments and U.S. Commitments and $50,000,000 of which will be available as Canadian Commitments (the “</w:t>
      </w:r>
      <w:r>
        <w:rPr>
          <w:rFonts w:ascii="Arial" w:cs="Arial" w:eastAsia="Arial" w:hAnsi="Arial"/>
          <w:sz w:val="17"/>
          <w:szCs w:val="17"/>
          <w:u w:val="single" w:color="auto"/>
          <w:color w:val="auto"/>
        </w:rPr>
        <w:t>Third Amendment Additional Canadian</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Commitments</w:t>
      </w:r>
      <w:r>
        <w:rPr>
          <w:rFonts w:ascii="Arial" w:cs="Arial" w:eastAsia="Arial" w:hAnsi="Arial"/>
          <w:sz w:val="17"/>
          <w:szCs w:val="17"/>
          <w:color w:val="auto"/>
        </w:rPr>
        <w:t>”) and (b) certain provisions of the Credit Agreement be amended as provided for herein;</w:t>
      </w:r>
    </w:p>
    <w:p>
      <w:pPr>
        <w:spacing w:after="0" w:line="177"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WHEREAS, pursuant to Sections 2.09(e), 2.09(g) and 9.02 of the Credit Agreement, the Borrowers and the Lenders party hereto (constituting no less than the Supermajority Revolving Lenders (determined immediately prior to giving effect to this Amendment and will constitute each Lender party to the Credit Agreement)), each such Lender, a “</w:t>
      </w:r>
      <w:r>
        <w:rPr>
          <w:rFonts w:ascii="Arial" w:cs="Arial" w:eastAsia="Arial" w:hAnsi="Arial"/>
          <w:sz w:val="16"/>
          <w:szCs w:val="16"/>
          <w:u w:val="single" w:color="auto"/>
          <w:color w:val="auto"/>
        </w:rPr>
        <w:t>Consenting Lender</w:t>
      </w:r>
      <w:r>
        <w:rPr>
          <w:rFonts w:ascii="Arial" w:cs="Arial" w:eastAsia="Arial" w:hAnsi="Arial"/>
          <w:sz w:val="16"/>
          <w:szCs w:val="16"/>
          <w:color w:val="auto"/>
        </w:rPr>
        <w:t xml:space="preserve">”), agree to amend the Credit Agreement as set forth herein and as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so amended, the “</w:t>
      </w:r>
      <w:r>
        <w:rPr>
          <w:rFonts w:ascii="Arial" w:cs="Arial" w:eastAsia="Arial" w:hAnsi="Arial"/>
          <w:sz w:val="16"/>
          <w:szCs w:val="16"/>
          <w:u w:val="single" w:color="auto"/>
          <w:color w:val="auto"/>
        </w:rPr>
        <w:t>Amended Credit Agreement</w:t>
      </w:r>
      <w:r>
        <w:rPr>
          <w:rFonts w:ascii="Arial" w:cs="Arial" w:eastAsia="Arial" w:hAnsi="Arial"/>
          <w:sz w:val="16"/>
          <w:szCs w:val="16"/>
          <w:color w:val="auto"/>
        </w:rPr>
        <w:t>”), and the Third Amendment Additional Revolving Lenders are willing to make the Third Amendment Additional Revolving Loans and increase the Canadian Sublimit an aggregate principal amount equal to the Third Amendment Additional Canadian Commitments, in each case, on the terms and conditions set forth herein and in the Amended Credit Agreement;</w:t>
      </w:r>
    </w:p>
    <w:p>
      <w:pPr>
        <w:spacing w:after="0" w:line="16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hereto hereby agree as follows:</w:t>
      </w:r>
    </w:p>
    <w:p>
      <w:pPr>
        <w:sectPr>
          <w:pgSz w:w="11900" w:h="16838" w:orient="portrait"/>
          <w:cols w:equalWidth="0" w:num="1">
            <w:col w:w="11020"/>
          </w:cols>
          <w:pgMar w:left="440" w:top="121" w:right="439" w:bottom="1440" w:gutter="0" w:footer="0" w:header="0"/>
        </w:sectPr>
      </w:pPr>
    </w:p>
    <w:bookmarkStart w:id="4" w:name="page5"/>
    <w:bookmarkEnd w:id="4"/>
    <w:p>
      <w:pPr>
        <w:ind w:firstLine="44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ONE — DEFINED TERMS</w:t>
      </w:r>
      <w:r>
        <w:rPr>
          <w:rFonts w:ascii="Arial" w:cs="Arial" w:eastAsia="Arial" w:hAnsi="Arial"/>
          <w:sz w:val="18"/>
          <w:szCs w:val="18"/>
          <w:color w:val="auto"/>
        </w:rPr>
        <w:t xml:space="preserve">. Capitalized terms used herein (including in the foregoing recitals hereto) but not otherwise defined herein shall have the meanings assigned thereto in the Amended Credit Agreement. The provisions of Section 1.01 of the Amended Credit Agreement are hereby incorporated by reference herein,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4"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u w:val="single" w:color="auto"/>
          <w:color w:val="auto"/>
        </w:rPr>
        <w:t>SECTION TWO — AMENDMENT</w:t>
      </w:r>
      <w:r>
        <w:rPr>
          <w:rFonts w:ascii="Arial" w:cs="Arial" w:eastAsia="Arial" w:hAnsi="Arial"/>
          <w:sz w:val="18"/>
          <w:szCs w:val="18"/>
          <w:color w:val="auto"/>
        </w:rPr>
        <w:t xml:space="preserve">. The Credit Agreement and the Revolving Commitment Schedule to the Credit Agreement are, effective as of the Third Amendment Effective Date, hereby amended to delete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000000"/>
        </w:rPr>
        <w:t>) and to add the double-underlined text (indicated textually in the same manner as the following example: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double-underlined text</w:t>
      </w:r>
      <w:r>
        <w:rPr>
          <w:rFonts w:ascii="Arial" w:cs="Arial" w:eastAsia="Arial" w:hAnsi="Arial"/>
          <w:sz w:val="18"/>
          <w:szCs w:val="18"/>
          <w:color w:val="000000"/>
        </w:rPr>
        <w:t>) as set</w:t>
      </w:r>
      <w:r>
        <w:rPr>
          <w:rFonts w:ascii="Arial" w:cs="Arial" w:eastAsia="Arial" w:hAnsi="Arial"/>
          <w:sz w:val="18"/>
          <w:szCs w:val="18"/>
          <w:color w:val="FF0000"/>
        </w:rPr>
        <w:t xml:space="preserve"> </w:t>
      </w:r>
      <w:r>
        <w:rPr>
          <w:rFonts w:ascii="Arial" w:cs="Arial" w:eastAsia="Arial" w:hAnsi="Arial"/>
          <w:sz w:val="18"/>
          <w:szCs w:val="18"/>
          <w:color w:val="000000"/>
        </w:rPr>
        <w:t xml:space="preserve">forth in the pages of the Amended Credit Agreement attached as </w:t>
      </w:r>
      <w:r>
        <w:rPr>
          <w:rFonts w:ascii="Arial" w:cs="Arial" w:eastAsia="Arial" w:hAnsi="Arial"/>
          <w:sz w:val="18"/>
          <w:szCs w:val="18"/>
          <w:u w:val="single" w:color="auto"/>
          <w:color w:val="000000"/>
        </w:rPr>
        <w:t>Exhibit A</w:t>
      </w:r>
      <w:r>
        <w:rPr>
          <w:rFonts w:ascii="Arial" w:cs="Arial" w:eastAsia="Arial" w:hAnsi="Arial"/>
          <w:sz w:val="18"/>
          <w:szCs w:val="18"/>
          <w:color w:val="000000"/>
        </w:rPr>
        <w:t>. Each Consenting Lender consents to the terms of this Amendment as set forth in Exhibit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5406390</wp:posOffset>
            </wp:positionH>
            <wp:positionV relativeFrom="paragraph">
              <wp:posOffset>-273685</wp:posOffset>
            </wp:positionV>
            <wp:extent cx="1037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THREE — THIRD AMENDMENT ADDITIONAL REVOLVING COMMITMENTS</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59"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and in the Amended Credit Agreement, each Third Amendment Additional Revolving Lender severally and not jointly agrees to provide its Third Amendment Additional Revolving Commitment on the Third Amendment Effective Date in an aggregate principal amount not to exceed the amount set forth opposite such Third Amendment Additional Revolving Lender’s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78" w:lineRule="exact"/>
        <w:rPr>
          <w:rFonts w:ascii="Arial" w:cs="Arial" w:eastAsia="Arial" w:hAnsi="Arial"/>
          <w:sz w:val="18"/>
          <w:szCs w:val="18"/>
          <w:color w:val="auto"/>
        </w:rPr>
      </w:pPr>
    </w:p>
    <w:p>
      <w:pPr>
        <w:ind w:right="140" w:firstLine="436"/>
        <w:spacing w:after="0" w:line="279" w:lineRule="auto"/>
        <w:tabs>
          <w:tab w:leader="none" w:pos="69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commitments of the Third Amendment Additional Revolving Lenders are several and no such Lender will be responsible for any other such Third Amendment Additional Revolving Lender’s failure to make available its Third Amendment Additional Revolving Commitment. The Third Amendment Additional Revolving Loans may from time to time be ABR Loans, SOFR Loans, Canadian Prime Rate Loans or CDOR Rate Loans, as determined by the Borrower and notified to the Administrative Agent in accordance with the Amended Credit Agreement.</w:t>
      </w:r>
    </w:p>
    <w:p>
      <w:pPr>
        <w:spacing w:after="0" w:line="63" w:lineRule="exact"/>
        <w:rPr>
          <w:rFonts w:ascii="Arial" w:cs="Arial" w:eastAsia="Arial" w:hAnsi="Arial"/>
          <w:sz w:val="17"/>
          <w:szCs w:val="17"/>
          <w:color w:val="auto"/>
        </w:rPr>
      </w:pPr>
    </w:p>
    <w:p>
      <w:pPr>
        <w:ind w:right="100" w:firstLine="436"/>
        <w:spacing w:after="0" w:line="257"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Third Amendment Additional Revolving Lender shall be a “Revolving Lender”, the Third Amendment Additional Revolving Commitments shall be part of the “Aggregate Revolving Commitments”, the Third Amendment Additional Canadian Commitments shall be part of the “Canadian Commitment”, the Third Amendment Additional U.S. Commitments shall be part of the “U.S. Commitment”, the Third Amendment Additional Revolving Loans shall be “Revolving Loans” and the Third Amendment Additional Revolver Facility shall be part of the “Revolver Facility”, in each case for all purposes of the Amended Credit Agreement and the other Loan Documents.</w:t>
      </w:r>
    </w:p>
    <w:p>
      <w:pPr>
        <w:spacing w:after="0" w:line="79" w:lineRule="exact"/>
        <w:rPr>
          <w:rFonts w:ascii="Arial" w:cs="Arial" w:eastAsia="Arial" w:hAnsi="Arial"/>
          <w:sz w:val="18"/>
          <w:szCs w:val="18"/>
          <w:color w:val="auto"/>
        </w:rPr>
      </w:pPr>
    </w:p>
    <w:p>
      <w:pPr>
        <w:ind w:right="200" w:firstLine="436"/>
        <w:spacing w:after="0" w:line="255"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Upon the Third Amendment Effective Date, the Administrative Agent shall reallocate the Revolving Exposure of each Revolving Lender (including the Canadian Commitments) to reflect its Applicable Percentage after giving effect to the Third Amendment Additional Revolving Commitments. After giving effect to all such reallocations, the Revolving Commitments and the Canadian Commitments are as set forth on the Commitment Schedule to the Amended Credit Agreement attached to Exhibit A hereto. Each Third Amendment Additional Revolving Lender hereby irrevocably designates and appoints the Administrative Agent as the agent of such Revolving Lender under the Loan Documents and each such Third Amendment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5" w:name="page6"/>
    <w:bookmarkEnd w:id="5"/>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Revolving Lender irrevocably authorizes the Administrative Agent, in such capacity, to take such action on its behalf under the provisions of the applicable Loan Documents and to exercise such powers and perform such duties as are expressly delegated to the Administrative Agent by the terms of the applicable Loan Documents, together with such other powers as are reasonably incidental thereto. By its signature below, Administrative Agent hereby accepts the appointment as Administrative Agent under the Loan Documents pursuant to the immediately preceding sentence.</w:t>
      </w:r>
    </w:p>
    <w:p>
      <w:pPr>
        <w:spacing w:after="0" w:line="157"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u w:val="single" w:color="auto"/>
          <w:color w:val="auto"/>
        </w:rPr>
        <w:t>SECTION FOUR — CONDITIONS</w:t>
      </w:r>
      <w:r>
        <w:rPr>
          <w:rFonts w:ascii="Arial" w:cs="Arial" w:eastAsia="Arial" w:hAnsi="Arial"/>
          <w:sz w:val="18"/>
          <w:szCs w:val="18"/>
          <w:color w:val="auto"/>
        </w:rPr>
        <w:t>. This Amendment and the agreements of the Third Amendment Additional Revolving Lenders and the Consenting Lenders herein, shall become effective on the date (the “</w:t>
      </w:r>
      <w:r>
        <w:rPr>
          <w:rFonts w:ascii="Arial" w:cs="Arial" w:eastAsia="Arial" w:hAnsi="Arial"/>
          <w:sz w:val="18"/>
          <w:szCs w:val="18"/>
          <w:u w:val="single" w:color="auto"/>
          <w:color w:val="auto"/>
        </w:rPr>
        <w:t>Third Amendment Effective Date</w:t>
      </w:r>
      <w:r>
        <w:rPr>
          <w:rFonts w:ascii="Arial" w:cs="Arial" w:eastAsia="Arial" w:hAnsi="Arial"/>
          <w:sz w:val="18"/>
          <w:szCs w:val="18"/>
          <w:color w:val="auto"/>
        </w:rPr>
        <w:t>”) when each of the following conditions shall have been satisfied:</w:t>
      </w:r>
    </w:p>
    <w:p>
      <w:pPr>
        <w:spacing w:after="0" w:line="76" w:lineRule="exact"/>
        <w:rPr>
          <w:sz w:val="20"/>
          <w:szCs w:val="20"/>
          <w:color w:val="auto"/>
        </w:rPr>
      </w:pPr>
    </w:p>
    <w:p>
      <w:pPr>
        <w:ind w:right="20" w:firstLine="436"/>
        <w:spacing w:after="0" w:line="255" w:lineRule="auto"/>
        <w:tabs>
          <w:tab w:leader="none" w:pos="68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Documents</w:t>
      </w:r>
      <w:r>
        <w:rPr>
          <w:rFonts w:ascii="Arial" w:cs="Arial" w:eastAsia="Arial" w:hAnsi="Arial"/>
          <w:sz w:val="18"/>
          <w:szCs w:val="18"/>
          <w:color w:val="auto"/>
        </w:rPr>
        <w:t>. Each of the Borrowers, Holdings, the Third Amendment Additional Revolving Lenders and the Consenting Lenders shall have signed a counterpart hereof (whether the same or different counterparts), the Borrower Representative and the Administrative Agent shall have signed a counterpart (whether the same or different counterparts) to the fee letter (the “</w:t>
      </w:r>
      <w:r>
        <w:rPr>
          <w:rFonts w:ascii="Arial" w:cs="Arial" w:eastAsia="Arial" w:hAnsi="Arial"/>
          <w:sz w:val="18"/>
          <w:szCs w:val="18"/>
          <w:u w:val="single" w:color="auto"/>
          <w:color w:val="auto"/>
        </w:rPr>
        <w:t>Fee Letter</w:t>
      </w:r>
      <w:r>
        <w:rPr>
          <w:rFonts w:ascii="Arial" w:cs="Arial" w:eastAsia="Arial" w:hAnsi="Arial"/>
          <w:sz w:val="18"/>
          <w:szCs w:val="18"/>
          <w:color w:val="auto"/>
        </w:rPr>
        <w:t>”) and each of the U.S. Loan Guarantors and the Canadian Loan Guarantors shall have signed a counterpart (whether the same or different counterparts) to a reaffirmation, in form and substance consistent with the one delivered in connection with the Second Amendment, and, in each case, shall have delivered (including by way of facsimile or other electronic transmission) the same to the Administrative Agent (or its counsel).</w:t>
      </w:r>
    </w:p>
    <w:p>
      <w:pPr>
        <w:spacing w:after="0" w:line="84" w:lineRule="exact"/>
        <w:rPr>
          <w:rFonts w:ascii="Arial" w:cs="Arial" w:eastAsia="Arial" w:hAnsi="Arial"/>
          <w:sz w:val="18"/>
          <w:szCs w:val="18"/>
          <w:color w:val="auto"/>
        </w:rPr>
      </w:pPr>
    </w:p>
    <w:p>
      <w:pPr>
        <w:ind w:right="40" w:firstLine="436"/>
        <w:spacing w:after="0" w:line="271" w:lineRule="auto"/>
        <w:tabs>
          <w:tab w:leader="none" w:pos="695"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USA PATRIOT Act, Etc</w:t>
      </w:r>
      <w:r>
        <w:rPr>
          <w:rFonts w:ascii="Arial" w:cs="Arial" w:eastAsia="Arial" w:hAnsi="Arial"/>
          <w:sz w:val="17"/>
          <w:szCs w:val="17"/>
          <w:color w:val="auto"/>
        </w:rPr>
        <w:t>. (i) Each Third Amendment Additional Revolving Lender shall have received all documentation and other information required by bank regulatory authorities under applicable “know your customer” and anti-money laundering rules and regulations, including the USA PATRIOT Act or the Proceeds of Crime Act, for each Loan Party, to the extent requested in a written notice to the Borrower Representative at least three (3) Business Days prior to the Third Amendment Effective Date, and (ii) to the extent any Borrower qualifies as a “legal entity customer” under the Beneficial Ownership Regulation, any Lender that has requested, in a written notice to the Borrower Representative at least three (3) Business Days prior to the Third Amendment Effective Date, a Beneficial Ownership Certification in relation to each Borrower shall have received such Beneficial Ownership Certification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the execution and delivery by such Lender of its signature page to this Amendment, the condition set forth in this clause (ii) shall be deemed to be satisfied).</w:t>
      </w:r>
    </w:p>
    <w:p>
      <w:pPr>
        <w:spacing w:after="0" w:line="70" w:lineRule="exact"/>
        <w:rPr>
          <w:rFonts w:ascii="Arial" w:cs="Arial" w:eastAsia="Arial" w:hAnsi="Arial"/>
          <w:sz w:val="17"/>
          <w:szCs w:val="17"/>
          <w:color w:val="auto"/>
        </w:rPr>
      </w:pPr>
    </w:p>
    <w:p>
      <w:pPr>
        <w:ind w:firstLine="436"/>
        <w:spacing w:after="0" w:line="277" w:lineRule="auto"/>
        <w:tabs>
          <w:tab w:leader="none" w:pos="68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The Administrative Agent (or its counsel) shall have received written opinions of counsel to the Loan Parties, addressed to the Administrative Agent and the Lenders in form and substance reasonably satisfactory to the Administrative Agent.</w:t>
      </w:r>
    </w:p>
    <w:p>
      <w:pPr>
        <w:spacing w:after="0" w:line="62" w:lineRule="exact"/>
        <w:rPr>
          <w:rFonts w:ascii="Arial" w:cs="Arial" w:eastAsia="Arial" w:hAnsi="Arial"/>
          <w:sz w:val="18"/>
          <w:szCs w:val="18"/>
          <w:color w:val="auto"/>
        </w:rPr>
      </w:pPr>
    </w:p>
    <w:p>
      <w:pPr>
        <w:ind w:right="220" w:firstLine="436"/>
        <w:spacing w:after="0" w:line="257" w:lineRule="auto"/>
        <w:tabs>
          <w:tab w:leader="none" w:pos="69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Closing Certificates; Certified Certificate of Incorporation; Good Standing Certificates</w:t>
      </w:r>
      <w:r>
        <w:rPr>
          <w:rFonts w:ascii="Arial" w:cs="Arial" w:eastAsia="Arial" w:hAnsi="Arial"/>
          <w:sz w:val="18"/>
          <w:szCs w:val="18"/>
          <w:color w:val="auto"/>
        </w:rPr>
        <w:t>. The Administrative Agent shall have received (i) a certificate of each Loan Party, dated as of the Third Amendment Effective Date and executed by its Secretary, Assistant Secretary or other applicable officer of such Loan Party, which shall (A) certify the resolutions of its Board of Directors, members or other body authorizing the Aggregate Commitment Increase contemplated by this Amendment and, if applicable, the execution, delivery and performance of this Amendment and the other Loan Documents to which it is a party, (B) identify by name 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6" w:name="page7"/>
    <w:bookmarkEnd w:id="6"/>
    <w:p>
      <w:pPr>
        <w:jc w:val="both"/>
        <w:ind w:left="4"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title and bear the signatures of the Officers and any other officers of such Loan Party authorized to sign this Amendment and the other Loan Documents to which it is a party, and (C) certify that, since the Fourth Restatement Date, there have been no changes to the certificate or articles of incorporation or organization or the by-laws or operating, management or partnership agreement (or other equivalent organizational documents) of such Loan Party (or, alternatively, include as attachments thereto true and correct copies thereof), and (ii) a good standing certificate, to the extent applicable, for each Loan Party from its jurisdiction of organization.</w:t>
      </w:r>
    </w:p>
    <w:p>
      <w:pPr>
        <w:spacing w:after="0" w:line="80" w:lineRule="exact"/>
        <w:rPr>
          <w:sz w:val="20"/>
          <w:szCs w:val="20"/>
          <w:color w:val="auto"/>
        </w:rPr>
      </w:pPr>
    </w:p>
    <w:p>
      <w:pPr>
        <w:ind w:left="4" w:right="20" w:firstLine="436"/>
        <w:spacing w:after="0" w:line="291" w:lineRule="auto"/>
        <w:tabs>
          <w:tab w:leader="none" w:pos="689"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The Administrative Agent shall have received a certificate, signed by a Financial Officer of the Borrower Representative, on behalf of the Borrowers, certifying that before and after giving effect to the Aggregate Commitment Increase contemplated by this Amendment,</w:t>
      </w:r>
    </w:p>
    <w:p>
      <w:pPr>
        <w:ind w:left="4" w:right="80" w:hanging="4"/>
        <w:spacing w:after="0" w:line="273" w:lineRule="auto"/>
        <w:tabs>
          <w:tab w:leader="none" w:pos="219"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representations and warranties contained in Article III of the Credit Agreement and the other Loan Documents are true and correct in all material respects (except that such materiality qualifier shall not be applicable to any representations or warranties that are already qualified or modified by materiality in the text thereof or except to the extent such representation or warranty relates to an earlier date, in which case such representation and warranty shall be true and correct in all material respects as of such earlier date), and (2) no Default exists.</w:t>
      </w:r>
    </w:p>
    <w:p>
      <w:pPr>
        <w:spacing w:after="0" w:line="68" w:lineRule="exact"/>
        <w:rPr>
          <w:rFonts w:ascii="Arial" w:cs="Arial" w:eastAsia="Arial" w:hAnsi="Arial"/>
          <w:sz w:val="17"/>
          <w:szCs w:val="17"/>
          <w:color w:val="auto"/>
        </w:rPr>
      </w:pPr>
    </w:p>
    <w:p>
      <w:pPr>
        <w:ind w:left="4" w:firstLine="436"/>
        <w:spacing w:after="0" w:line="279" w:lineRule="auto"/>
        <w:tabs>
          <w:tab w:leader="none" w:pos="669" w:val="left"/>
        </w:tabs>
        <w:numPr>
          <w:ilvl w:val="1"/>
          <w:numId w:val="5"/>
        </w:numPr>
        <w:rPr>
          <w:rFonts w:ascii="Arial" w:cs="Arial" w:eastAsia="Arial" w:hAnsi="Arial"/>
          <w:sz w:val="17"/>
          <w:szCs w:val="17"/>
          <w:color w:val="auto"/>
        </w:rPr>
      </w:pPr>
      <w:r>
        <w:rPr>
          <w:rFonts w:ascii="Arial" w:cs="Arial" w:eastAsia="Arial" w:hAnsi="Arial"/>
          <w:sz w:val="17"/>
          <w:szCs w:val="17"/>
          <w:u w:val="single" w:color="auto"/>
          <w:color w:val="auto"/>
        </w:rPr>
        <w:t>Fees and Expenses</w:t>
      </w:r>
      <w:r>
        <w:rPr>
          <w:rFonts w:ascii="Arial" w:cs="Arial" w:eastAsia="Arial" w:hAnsi="Arial"/>
          <w:sz w:val="17"/>
          <w:szCs w:val="17"/>
          <w:color w:val="auto"/>
        </w:rPr>
        <w:t>. The Administrative Agent shall have received: (i) such fees and expenses that are payable in connection with the consummation of the transactions contemplated hereby, including without limitation pursuant to the Fee Letter; and (ii) for its own account, payment for all reasonable expenses for which invoices have been presented (including the reasonable fees and expenses of legal counsel and expenses relating to any field examination, collateral audit, or appraisal), at least two (2) Business Days prior to Third Amendment Effective Date.</w:t>
      </w:r>
    </w:p>
    <w:p>
      <w:pPr>
        <w:spacing w:after="0" w:line="63" w:lineRule="exact"/>
        <w:rPr>
          <w:rFonts w:ascii="Arial" w:cs="Arial" w:eastAsia="Arial" w:hAnsi="Arial"/>
          <w:sz w:val="17"/>
          <w:szCs w:val="17"/>
          <w:color w:val="auto"/>
        </w:rPr>
      </w:pPr>
    </w:p>
    <w:p>
      <w:pPr>
        <w:ind w:left="4" w:right="360" w:firstLine="436"/>
        <w:spacing w:after="0" w:line="277" w:lineRule="auto"/>
        <w:tabs>
          <w:tab w:leader="none" w:pos="699"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The Administrative Agent shall have received a solvency certificate from a Financial Officer of the Borrower Representative in form and substance consistent with the one delivered in connection with the Second Amendment.</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set forth in Section Five hereof shall be true and correct.</w:t>
      </w:r>
    </w:p>
    <w:p>
      <w:pPr>
        <w:spacing w:after="0" w:line="225" w:lineRule="exact"/>
        <w:rPr>
          <w:sz w:val="20"/>
          <w:szCs w:val="20"/>
          <w:color w:val="auto"/>
        </w:rPr>
      </w:pPr>
    </w:p>
    <w:p>
      <w:pPr>
        <w:ind w:left="4" w:right="40" w:firstLine="440"/>
        <w:spacing w:after="0" w:line="342" w:lineRule="auto"/>
        <w:rPr>
          <w:sz w:val="20"/>
          <w:szCs w:val="20"/>
          <w:color w:val="auto"/>
        </w:rPr>
      </w:pPr>
      <w:r>
        <w:rPr>
          <w:rFonts w:ascii="Arial" w:cs="Arial" w:eastAsia="Arial" w:hAnsi="Arial"/>
          <w:sz w:val="16"/>
          <w:szCs w:val="16"/>
          <w:u w:val="single" w:color="auto"/>
          <w:color w:val="auto"/>
        </w:rPr>
        <w:t>SECTION FIVE — REPRESENTATIONS AND WARRANTIES; NO DEFAULTS</w:t>
      </w:r>
      <w:r>
        <w:rPr>
          <w:rFonts w:ascii="Arial" w:cs="Arial" w:eastAsia="Arial" w:hAnsi="Arial"/>
          <w:sz w:val="16"/>
          <w:szCs w:val="16"/>
          <w:color w:val="auto"/>
        </w:rPr>
        <w:t>. In order to induce the Lenders to enter into this Amendment, each of the Borrowers represents and warrants, on the Third Amendment Effective Date, to each of the Lenders and the Administrative Agent that:</w:t>
      </w:r>
    </w:p>
    <w:p>
      <w:pPr>
        <w:spacing w:after="0" w:line="16" w:lineRule="exact"/>
        <w:rPr>
          <w:sz w:val="20"/>
          <w:szCs w:val="20"/>
          <w:color w:val="auto"/>
        </w:rPr>
      </w:pPr>
    </w:p>
    <w:p>
      <w:pPr>
        <w:jc w:val="both"/>
        <w:ind w:left="4" w:right="220" w:firstLine="436"/>
        <w:spacing w:after="0" w:line="259" w:lineRule="auto"/>
        <w:tabs>
          <w:tab w:leader="none" w:pos="68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Amendment and the Amended Credit Agreement each constitute a legal, valid and binding obligation of such Borrower, enforceable against such Borrower in accordance with its terms, except as enforceability may be limited by applicable bankruptcy, insolvency, reorganization, moratorium or similar laws affecting creditors’ rights generally and by general equitable principles (whether enforcement is sought by proceedings in equity or at law) and the implied covenants of good faith and fair dealing;</w:t>
      </w:r>
    </w:p>
    <w:p>
      <w:pPr>
        <w:spacing w:after="0" w:line="78" w:lineRule="exact"/>
        <w:rPr>
          <w:rFonts w:ascii="Arial" w:cs="Arial" w:eastAsia="Arial" w:hAnsi="Arial"/>
          <w:sz w:val="18"/>
          <w:szCs w:val="18"/>
          <w:color w:val="auto"/>
        </w:rPr>
      </w:pPr>
    </w:p>
    <w:p>
      <w:pPr>
        <w:ind w:left="4" w:right="140" w:firstLine="436"/>
        <w:spacing w:after="0" w:line="277" w:lineRule="auto"/>
        <w:tabs>
          <w:tab w:leader="none" w:pos="699"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representations and warranties contained in Article III of the Amended Credit Agreement and in the other Loan Documents are true and correct in all material respects on</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4" w:right="479" w:bottom="1440" w:gutter="0" w:footer="0" w:header="0"/>
        </w:sectPr>
      </w:pPr>
    </w:p>
    <w:bookmarkStart w:id="7" w:name="page8"/>
    <w:bookmarkEnd w:id="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Third Amendment Effective Date as if made on and as of such date (unless such representation or warranty relates to a specific date, in which case such representation or warranty were true and correct in all material respects as of such specific date; provided, that any representation and warranty that is qualified as to “materiality”, “Material Adverse Effect” or similar language shall be true and correct (after giving effect to any qualification therein) in all respects on such respective dates); and</w:t>
      </w:r>
    </w:p>
    <w:p>
      <w:pPr>
        <w:spacing w:after="0" w:line="79" w:lineRule="exact"/>
        <w:rPr>
          <w:sz w:val="20"/>
          <w:szCs w:val="20"/>
          <w:color w:val="auto"/>
        </w:rPr>
      </w:pPr>
    </w:p>
    <w:p>
      <w:pPr>
        <w:ind w:right="880" w:firstLine="436"/>
        <w:spacing w:after="0" w:line="277" w:lineRule="auto"/>
        <w:tabs>
          <w:tab w:leader="none" w:pos="685"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Default or Event of Default exists as of the Third Amendment Effective Date immediately prior to and after giving effect to this Amendment.</w:t>
      </w:r>
    </w:p>
    <w:p>
      <w:pPr>
        <w:spacing w:after="0" w:line="170"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u w:val="single" w:color="auto"/>
          <w:color w:val="auto"/>
        </w:rPr>
        <w:t>SECTION SIX — NEW LENDER</w:t>
      </w:r>
      <w:r>
        <w:rPr>
          <w:rFonts w:ascii="Arial" w:cs="Arial" w:eastAsia="Arial" w:hAnsi="Arial"/>
          <w:sz w:val="16"/>
          <w:szCs w:val="16"/>
          <w:color w:val="auto"/>
        </w:rPr>
        <w:t>. Each of the Persons party hereto as a “Lender” that was not a Lender under the Credit Agreement immediately prior to the effectiveness of this Amendment (each such Person a “</w:t>
      </w:r>
      <w:r>
        <w:rPr>
          <w:rFonts w:ascii="Arial" w:cs="Arial" w:eastAsia="Arial" w:hAnsi="Arial"/>
          <w:sz w:val="16"/>
          <w:szCs w:val="16"/>
          <w:u w:val="single" w:color="auto"/>
          <w:color w:val="auto"/>
        </w:rPr>
        <w:t>New Lender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New Lenders</w:t>
      </w:r>
      <w:r>
        <w:rPr>
          <w:rFonts w:ascii="Arial" w:cs="Arial" w:eastAsia="Arial" w:hAnsi="Arial"/>
          <w:sz w:val="16"/>
          <w:szCs w:val="16"/>
          <w:color w:val="auto"/>
        </w:rPr>
        <w:t>”) (a) confirms that it has received a copy of the Amended Credit Agreement and such other documents and information as it has deemed appropriate to make its own credit analysis and decision to enter into this Amendment and become a Lender under the Amended Credit Agreement; (b) agrees that it will, independently and without reliance upon the Administrative Agent or any other Lender, and based on such documents and information as it shall deem appropriate at the time, continue to make its own credit decisions in taking or not taking action under the Amended Credit Agreement; (c) appoints and authorizes the Administrative Agent to take such action as the Administrative Agent on its behalf and to exercise such powers under the Amended Credit Agreement and the other Loan Documents as are delegated to the Administrative Agent by the terms thereof, together with such powers as are reasonably incidental thereto; and (d) agrees that it will perform in accordance with their terms all obligations which by the terms of the Amended Credit Agreement are required to be performed by it as a Lender. The parties hereto acknowledge and agree that after giving effect to this Amendment, each New Lender shall hereinafter be a party to the Amended Credit Agreement as a Lender and shall have the rights and obligations of a Lender thereunder.</w:t>
      </w:r>
    </w:p>
    <w:p>
      <w:pPr>
        <w:spacing w:after="0" w:line="172"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u w:val="single" w:color="auto"/>
          <w:color w:val="auto"/>
        </w:rPr>
        <w:t>SECTION SEVEN — SECURITY</w:t>
      </w:r>
      <w:r>
        <w:rPr>
          <w:rFonts w:ascii="Arial" w:cs="Arial" w:eastAsia="Arial" w:hAnsi="Arial"/>
          <w:sz w:val="17"/>
          <w:szCs w:val="17"/>
          <w:color w:val="auto"/>
        </w:rPr>
        <w:t>. Each Borrower acknowledges that (a) the Third Amendment Additional Revolving Loans constitute Obligations (as defined in the Amended Credit Agreement) and (b) notwithstanding the effectiveness of this Amendment, (i) all other Loan Documents shall continue to be in full force and effect, (ii) the security interests granted by the Loan Parties pursuant to the Loan Documents are not impaired or affected and (iii) all guarantees made by the Loan Parties pursuant to the Loan Documents and all Liens granted by the Loan Parties as security for the Obligations (including the Third Amendment Additional Revolving Loans) continue in full force and effect; and, further, confirms and ratifies its obligations under each of the Loan Documents to which it is a party, as amended hereby.</w:t>
      </w:r>
    </w:p>
    <w:p>
      <w:pPr>
        <w:spacing w:after="0" w:line="178"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u w:val="single" w:color="auto"/>
          <w:color w:val="auto"/>
        </w:rPr>
        <w:t>SECTION EIGHT — SEVERABILITY</w:t>
      </w:r>
      <w:r>
        <w:rPr>
          <w:rFonts w:ascii="Arial" w:cs="Arial" w:eastAsia="Arial" w:hAnsi="Arial"/>
          <w:sz w:val="17"/>
          <w:szCs w:val="17"/>
          <w:color w:val="auto"/>
        </w:rPr>
        <w:t>. Any provision of this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5"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u w:val="single" w:color="auto"/>
          <w:color w:val="auto"/>
        </w:rPr>
        <w:t>SECTION NINE — CONTINUING EFFECT; NO OTHER WAIVERS OR AMENDMENTS</w:t>
      </w:r>
      <w:r>
        <w:rPr>
          <w:rFonts w:ascii="Arial" w:cs="Arial" w:eastAsia="Arial" w:hAnsi="Arial"/>
          <w:sz w:val="18"/>
          <w:szCs w:val="18"/>
          <w:color w:val="auto"/>
        </w:rPr>
        <w:t>. Except as expressly set forth herein, this Amendment shall not (i) constitute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8" w:name="page9"/>
    <w:bookmarkEnd w:id="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substitution or novation, or a payment and reborrowing, or a termination, of the Obligations outstanding under the Amended Credit Agreement or instruments guaranteeing or securing the same, which shall remain in full force and effect, except as modified hereby or (ii) by implication or otherwise limit, impair, constitute a waiver of, or otherwise affect the rights and remedies of the Lenders, the Administrative Agent or the Loan Parties under the Amended Credit Agreement, the Collateral Documents or any other Loan Document, and shall not alter, modify, amend or in any way affect any of the terms, conditions, obligations, covenants or agreements contained in the Amended Credit Agreement, as amended hereby, the Collateral Documents or any other Loan Document, all of which are ratified and affirmed in all respects and shall continue in full force and effect. Nothing herein shall be deemed to entitle any Loan Party to a consent to, or a waiver, amendment, modification or other change of, any of the terms, conditions, obligations, covenants or agreements contained in the Amended Credit Agreement, as amended hereby, any Collateral Document or any other Loan Document in similar or different circumstances. After the Third Amendment Effective Date, any reference in any Loan Document to the “Credit Agreement” shall mean the Amended Credit Agreement. This Amendment shall constitute a Loan Document for all purposes of the Amended Credit Agreement and the other Loan Documents.</w:t>
      </w:r>
    </w:p>
    <w:p>
      <w:pPr>
        <w:spacing w:after="0" w:line="18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u w:val="single" w:color="auto"/>
          <w:color w:val="auto"/>
        </w:rPr>
        <w:t>SECTION TEN — COUNTERPARTS</w:t>
      </w:r>
      <w:r>
        <w:rPr>
          <w:rFonts w:ascii="Arial" w:cs="Arial" w:eastAsia="Arial" w:hAnsi="Arial"/>
          <w:sz w:val="17"/>
          <w:szCs w:val="17"/>
          <w:color w:val="auto"/>
        </w:rPr>
        <w:t>. This Amendment may be executed by one or more of the parties to this Amendment on any number of separate counterparts, and all of said counterparts taken together shall be deemed to constitute one and the same instrument. Delivery of an executed counterpart of a signature page of this Amendment by telecopy, emailed.pdf or any other electronic means that reproduces an image of the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u w:val="single" w:color="auto"/>
          <w:color w:val="auto"/>
        </w:rPr>
        <w:t>SECTION ELEVEN — GOVERNING LAW</w:t>
      </w:r>
      <w:r>
        <w:rPr>
          <w:rFonts w:ascii="Arial" w:cs="Arial" w:eastAsia="Arial" w:hAnsi="Arial"/>
          <w:sz w:val="18"/>
          <w:szCs w:val="18"/>
          <w:color w:val="auto"/>
        </w:rPr>
        <w:t xml:space="preserve">. THIS AMENDMENT AND THE RIGHTS AND OBLIGATIONS OF THE PARTIES UNDER THIS AMENDMENT SHALL BE GOVERNED BY, AND CONSTRUED AND INTERPRETED IN ACCORDANCE WITH, THE LAW OF THE STATE OF NEW YORK. The provisions of Sections 9.09 and 9.10 of the Credit Agreement are hereby incorporated by reference herein,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40" w:top="274" w:right="5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to be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U.S. BORROWERS: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WESCO DISTRIBUTION, INC., a Delaware corporation</w:t>
      </w:r>
    </w:p>
    <w:p>
      <w:pPr>
        <w:spacing w:after="0" w:line="248"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M. Begg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Brian M. Begg</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ATLANTA ELECTRICAL DISTRIBUTORS, LLC,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CALVERT WIRE &amp; CABLE CORPORATION,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CARLTON-BATES COMPANY,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 Arkansas corporation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COMMUNICATIONS SUPPLY CORPORATION,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Connecticut corporation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CONNEY SAFETY PRODUCTS,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HI-LINE UTILITY SUPPLY COMPANY,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 Illinois limited liability company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LIBERTY WIRE &amp; CABLE, INC.,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NEEDHAM ELECTRIC SUPPLY,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TVC COMMUNICATIONS,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WESCO EQUITY CORPORATION,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WESCO INTEGRATED SUPPLY, INC.,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WESCO NEVADA, LTD.,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Nevada corporation</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M. Begg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Brian M. Begg</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Treasurer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HILL COUNTRY ELECTRIC SUPPLY, L.P., a Texas</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limited partnership</w:t>
      </w:r>
    </w:p>
    <w:p>
      <w:pPr>
        <w:spacing w:after="0" w:line="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TVC INTERNATIONAL HOLDING, L.L.C., its</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M. Begg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Brian M. Begg</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Treasurer</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Amendment</w:t>
      </w:r>
      <w:r>
        <w:rPr>
          <w:rFonts w:ascii="Arial" w:cs="Arial" w:eastAsia="Arial" w:hAnsi="Arial"/>
          <w:sz w:val="18"/>
          <w:szCs w:val="18"/>
          <w:color w:val="auto"/>
        </w:rPr>
        <w:t>]</w:t>
      </w:r>
    </w:p>
    <w:p>
      <w:pPr>
        <w:sectPr>
          <w:pgSz w:w="11900" w:h="16838" w:orient="portrait"/>
          <w:cols w:equalWidth="0" w:num="1">
            <w:col w:w="10320"/>
          </w:cols>
          <w:pgMar w:left="880" w:top="274" w:right="699" w:bottom="1440" w:gutter="0" w:footer="0" w:header="0"/>
        </w:sectPr>
      </w:pPr>
    </w:p>
    <w:bookmarkStart w:id="10" w:name="page11"/>
    <w:bookmarkEnd w:id="10"/>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HOLDINGS: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WESCO INTERNATIONAL, INC., a Delaware corporation</w:t>
      </w:r>
    </w:p>
    <w:p>
      <w:pPr>
        <w:spacing w:after="0" w:line="248"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M. Begg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Brian M. Begg</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Amendment</w:t>
      </w:r>
      <w:r>
        <w:rPr>
          <w:rFonts w:ascii="Arial" w:cs="Arial" w:eastAsia="Arial" w:hAnsi="Arial"/>
          <w:sz w:val="18"/>
          <w:szCs w:val="18"/>
          <w:color w:val="auto"/>
        </w:rPr>
        <w:t>]</w:t>
      </w:r>
    </w:p>
    <w:p>
      <w:pPr>
        <w:sectPr>
          <w:pgSz w:w="11900" w:h="16838" w:orient="portrait"/>
          <w:cols w:equalWidth="0" w:num="1">
            <w:col w:w="9940"/>
          </w:cols>
          <w:pgMar w:left="1440" w:top="270" w:right="519" w:bottom="1440" w:gutter="0" w:footer="0" w:header="0"/>
        </w:sectPr>
      </w:pPr>
    </w:p>
    <w:bookmarkStart w:id="11" w:name="page12"/>
    <w:bookmarkEnd w:id="11"/>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CANADIAN BORROWERS: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WESCO DISTRIBUTION CANADA LP</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WESCO CANADA GP INC.,</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M. Begg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Brian M. Begg</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EECOL ELECTRIC CORP.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HAZMASTERS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ANIXTER CANADA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ANIXTER POWER SOLUTIONS CANADA INC.</w:t>
      </w:r>
    </w:p>
    <w:p>
      <w:pPr>
        <w:spacing w:after="0" w:line="222"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M. Begg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Brian M. Begg</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Treasurer</w:t>
      </w:r>
    </w:p>
    <w:p>
      <w:pPr>
        <w:spacing w:after="0" w:line="211"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Third Amendment</w:t>
      </w:r>
      <w:r>
        <w:rPr>
          <w:rFonts w:ascii="Arial" w:cs="Arial" w:eastAsia="Arial" w:hAnsi="Arial"/>
          <w:sz w:val="16"/>
          <w:szCs w:val="16"/>
          <w:color w:val="auto"/>
        </w:rPr>
        <w:t>]</w:t>
      </w:r>
    </w:p>
    <w:p>
      <w:pPr>
        <w:sectPr>
          <w:pgSz w:w="11900" w:h="16838" w:orient="portrait"/>
          <w:cols w:equalWidth="0" w:num="1">
            <w:col w:w="9340"/>
          </w:cols>
          <w:pgMar w:left="1440" w:top="634" w:right="1119" w:bottom="1440" w:gutter="0" w:footer="0" w:header="0"/>
        </w:sectPr>
      </w:pPr>
    </w:p>
    <w:bookmarkStart w:id="12" w:name="page13"/>
    <w:bookmarkEnd w:id="12"/>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U.S. LENDER,</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CANADIAN LENDER, ISSUING BANK AND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SWINGLINE: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BARCLAYS BANK PLC, individually, as a U.S. Lender,</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Canadian Lender, Administrative Agent, Issuing Bank and</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Swingline 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Joseph Jordan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Amendment</w:t>
      </w:r>
      <w:r>
        <w:rPr>
          <w:rFonts w:ascii="Arial" w:cs="Arial" w:eastAsia="Arial" w:hAnsi="Arial"/>
          <w:sz w:val="18"/>
          <w:szCs w:val="18"/>
          <w:color w:val="auto"/>
        </w:rPr>
        <w:t>]</w:t>
      </w:r>
    </w:p>
    <w:p>
      <w:pPr>
        <w:sectPr>
          <w:pgSz w:w="11900" w:h="16838" w:orient="portrait"/>
          <w:cols w:equalWidth="0" w:num="1">
            <w:col w:w="9840"/>
          </w:cols>
          <w:pgMar w:left="1440" w:top="634" w:right="619" w:bottom="1440" w:gutter="0" w:footer="0" w:header="0"/>
        </w:sectPr>
      </w:pPr>
    </w:p>
    <w:bookmarkStart w:id="13" w:name="page14"/>
    <w:bookmarkEnd w:id="13"/>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GOLDMAN SACHS BANK USA, as a U.S. Lender and as</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Canadian Lender and as an Issuing Bank</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 Martis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Dan Martis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Amendment</w:t>
      </w:r>
      <w:r>
        <w:rPr>
          <w:rFonts w:ascii="Arial" w:cs="Arial" w:eastAsia="Arial" w:hAnsi="Arial"/>
          <w:sz w:val="18"/>
          <w:szCs w:val="18"/>
          <w:color w:val="auto"/>
        </w:rPr>
        <w:t>]</w:t>
      </w:r>
    </w:p>
    <w:p>
      <w:pPr>
        <w:sectPr>
          <w:pgSz w:w="11900" w:h="16838" w:orient="portrait"/>
          <w:cols w:equalWidth="0" w:num="1">
            <w:col w:w="9900"/>
          </w:cols>
          <w:pgMar w:left="1440" w:top="270" w:right="559" w:bottom="1440" w:gutter="0" w:footer="0" w:header="0"/>
        </w:sectPr>
      </w:pPr>
    </w:p>
    <w:bookmarkStart w:id="14" w:name="page15"/>
    <w:bookmarkEnd w:id="14"/>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U.S. Lender and an Issuing Bank</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Patton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William Patton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U.S. BANK NATIONAL ASSOCIATION, acting through</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Canada Branch,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Canadian Lender</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Patton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William Patton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Amendment</w:t>
      </w:r>
      <w:r>
        <w:rPr>
          <w:rFonts w:ascii="Arial" w:cs="Arial" w:eastAsia="Arial" w:hAnsi="Arial"/>
          <w:sz w:val="18"/>
          <w:szCs w:val="18"/>
          <w:color w:val="auto"/>
        </w:rPr>
        <w:t>]</w:t>
      </w:r>
    </w:p>
    <w:p>
      <w:pPr>
        <w:sectPr>
          <w:pgSz w:w="11900" w:h="16838" w:orient="portrait"/>
          <w:cols w:equalWidth="0" w:num="1">
            <w:col w:w="9800"/>
          </w:cols>
          <w:pgMar w:left="1440" w:top="270" w:right="659" w:bottom="1440" w:gutter="0" w:footer="0" w:header="0"/>
        </w:sectPr>
      </w:pPr>
    </w:p>
    <w:bookmarkStart w:id="15" w:name="page16"/>
    <w:bookmarkEnd w:id="1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MORGAN STANLEY 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as a U.S. Lender and as a Canadian Lender</w:t>
      </w:r>
    </w:p>
    <w:p>
      <w:pPr>
        <w:spacing w:after="0" w:line="25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Third Amendment</w:t>
      </w:r>
      <w:r>
        <w:rPr>
          <w:rFonts w:ascii="Arial" w:cs="Arial" w:eastAsia="Arial" w:hAnsi="Arial"/>
          <w:sz w:val="16"/>
          <w:szCs w:val="16"/>
          <w:color w:val="auto"/>
        </w:rPr>
        <w:t>]</w:t>
      </w:r>
    </w:p>
    <w:p>
      <w:pPr>
        <w:sectPr>
          <w:pgSz w:w="11900" w:h="16838" w:orient="portrait"/>
          <w:cols w:equalWidth="0" w:num="1">
            <w:col w:w="9019"/>
          </w:cols>
          <w:pgMar w:left="1440" w:top="270" w:right="1440" w:bottom="1440" w:gutter="0" w:footer="0" w:header="0"/>
        </w:sectPr>
      </w:pPr>
    </w:p>
    <w:bookmarkStart w:id="16" w:name="page17"/>
    <w:bookmarkEnd w:id="16"/>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as a U.S. Lender and as an Issuing Bank</w:t>
      </w:r>
    </w:p>
    <w:p>
      <w:pPr>
        <w:spacing w:after="0" w:line="25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Cornell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Patrick Cornell</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SVP</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(acting through its Canadian Branch),</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Canadian Lender</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Medina Sales de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22225</wp:posOffset>
            </wp:positionV>
            <wp:extent cx="2425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Medina Sales de Andrade</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Third Amendment</w:t>
      </w:r>
      <w:r>
        <w:rPr>
          <w:rFonts w:ascii="Arial" w:cs="Arial" w:eastAsia="Arial" w:hAnsi="Arial"/>
          <w:sz w:val="16"/>
          <w:szCs w:val="16"/>
          <w:color w:val="auto"/>
        </w:rPr>
        <w:t>]</w:t>
      </w:r>
    </w:p>
    <w:p>
      <w:pPr>
        <w:sectPr>
          <w:pgSz w:w="11900" w:h="16838" w:orient="portrait"/>
          <w:cols w:equalWidth="0" w:num="1">
            <w:col w:w="9019"/>
          </w:cols>
          <w:pgMar w:left="1440" w:top="270" w:right="1440" w:bottom="1440" w:gutter="0" w:footer="0" w:header="0"/>
        </w:sectPr>
      </w:pPr>
    </w:p>
    <w:bookmarkStart w:id="17" w:name="page18"/>
    <w:bookmarkEnd w:id="17"/>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BANK OF NOVA SCOTIA,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as a U.S. Lender, as a Canadian Lender</w:t>
      </w:r>
    </w:p>
    <w:p>
      <w:pPr>
        <w:spacing w:after="0" w:line="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as an Issuing Bank</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Kelly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Kelly Cheng</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Third Amendment</w:t>
      </w:r>
      <w:r>
        <w:rPr>
          <w:rFonts w:ascii="Arial" w:cs="Arial" w:eastAsia="Arial" w:hAnsi="Arial"/>
          <w:sz w:val="16"/>
          <w:szCs w:val="16"/>
          <w:color w:val="auto"/>
        </w:rPr>
        <w:t>]</w:t>
      </w:r>
    </w:p>
    <w:p>
      <w:pPr>
        <w:sectPr>
          <w:pgSz w:w="11900" w:h="16838" w:orient="portrait"/>
          <w:cols w:equalWidth="0" w:num="1">
            <w:col w:w="9019"/>
          </w:cols>
          <w:pgMar w:left="1440" w:top="270" w:right="1440" w:bottom="1440" w:gutter="0" w:footer="0" w:header="0"/>
        </w:sectPr>
      </w:pPr>
    </w:p>
    <w:bookmarkStart w:id="18" w:name="page19"/>
    <w:bookmarkEnd w:id="1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CANADIAN IMPERIAL BANK OF COMMERCE, NEW</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YORK BRANCH,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U.S. Lender and as a Canadian Lender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as an Issuing Bank</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Albert Comas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Albert Comas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Amendment</w:t>
      </w:r>
      <w:r>
        <w:rPr>
          <w:rFonts w:ascii="Arial" w:cs="Arial" w:eastAsia="Arial" w:hAnsi="Arial"/>
          <w:sz w:val="18"/>
          <w:szCs w:val="18"/>
          <w:color w:val="auto"/>
        </w:rPr>
        <w:t>]</w:t>
      </w:r>
    </w:p>
    <w:p>
      <w:pPr>
        <w:sectPr>
          <w:pgSz w:w="11900" w:h="16838" w:orient="portrait"/>
          <w:cols w:equalWidth="0" w:num="1">
            <w:col w:w="9860"/>
          </w:cols>
          <w:pgMar w:left="1440" w:top="270" w:right="599" w:bottom="1440" w:gutter="0" w:footer="0" w:header="0"/>
        </w:sectPr>
      </w:pPr>
    </w:p>
    <w:bookmarkStart w:id="19" w:name="page20"/>
    <w:bookmarkEnd w:id="1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CITIBANK, N.A., as a U.S. Lender, as a Canadian Lender</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as an Issuing Bank</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Allister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Allister Chan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 &amp; Director</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Amendment</w:t>
      </w:r>
      <w:r>
        <w:rPr>
          <w:rFonts w:ascii="Arial" w:cs="Arial" w:eastAsia="Arial" w:hAnsi="Arial"/>
          <w:sz w:val="18"/>
          <w:szCs w:val="18"/>
          <w:color w:val="auto"/>
        </w:rPr>
        <w:t>]</w:t>
      </w:r>
    </w:p>
    <w:p>
      <w:pPr>
        <w:sectPr>
          <w:pgSz w:w="11900" w:h="16838" w:orient="portrait"/>
          <w:cols w:equalWidth="0" w:num="1">
            <w:col w:w="9840"/>
          </w:cols>
          <w:pgMar w:left="1440" w:top="270" w:right="619" w:bottom="1440" w:gutter="0" w:footer="0" w:header="0"/>
        </w:sectPr>
      </w:pPr>
    </w:p>
    <w:bookmarkStart w:id="20" w:name="page21"/>
    <w:bookmarkEnd w:id="20"/>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CITIZENS BANK, National Association,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as a U.S. Lender and as a Canadian Lender</w:t>
      </w:r>
    </w:p>
    <w:p>
      <w:pPr>
        <w:spacing w:after="0" w:line="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as an Issuing Bank</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James Horn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Third Amendment</w:t>
      </w:r>
      <w:r>
        <w:rPr>
          <w:rFonts w:ascii="Arial" w:cs="Arial" w:eastAsia="Arial" w:hAnsi="Arial"/>
          <w:sz w:val="16"/>
          <w:szCs w:val="16"/>
          <w:color w:val="auto"/>
        </w:rPr>
        <w:t>]</w:t>
      </w:r>
    </w:p>
    <w:p>
      <w:pPr>
        <w:sectPr>
          <w:pgSz w:w="11900" w:h="16838" w:orient="portrait"/>
          <w:cols w:equalWidth="0" w:num="1">
            <w:col w:w="9019"/>
          </w:cols>
          <w:pgMar w:left="1440" w:top="270" w:right="1440" w:bottom="1440" w:gutter="0" w:footer="0" w:header="0"/>
        </w:sectPr>
      </w:pPr>
    </w:p>
    <w:bookmarkStart w:id="21" w:name="page22"/>
    <w:bookmarkEnd w:id="21"/>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FIFTH THIRD BANK, NATIONAL ASSOCIATION,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U.S. Lender, as a Canadian Lender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as an Issuing Bank</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G. Zamborsky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James G. Zamborsky</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Amendment</w:t>
      </w:r>
      <w:r>
        <w:rPr>
          <w:rFonts w:ascii="Arial" w:cs="Arial" w:eastAsia="Arial" w:hAnsi="Arial"/>
          <w:sz w:val="18"/>
          <w:szCs w:val="18"/>
          <w:color w:val="auto"/>
        </w:rPr>
        <w:t>]</w:t>
      </w:r>
    </w:p>
    <w:p>
      <w:pPr>
        <w:sectPr>
          <w:pgSz w:w="11900" w:h="16838" w:orient="portrait"/>
          <w:cols w:equalWidth="0" w:num="1">
            <w:col w:w="9520"/>
          </w:cols>
          <w:pgMar w:left="1440" w:top="270" w:right="939" w:bottom="1440" w:gutter="0" w:footer="0" w:header="0"/>
        </w:sectPr>
      </w:pPr>
    </w:p>
    <w:bookmarkStart w:id="22" w:name="page23"/>
    <w:bookmarkEnd w:id="22"/>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HSBC BANK USA, NATIONAL ASSOCIATION,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U.S. Lender, as a Canadian Lender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as an Issuing Bank</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Jennifer Jordan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Third Amendment</w:t>
      </w:r>
      <w:r>
        <w:rPr>
          <w:rFonts w:ascii="Arial" w:cs="Arial" w:eastAsia="Arial" w:hAnsi="Arial"/>
          <w:sz w:val="16"/>
          <w:szCs w:val="16"/>
          <w:color w:val="auto"/>
        </w:rPr>
        <w:t>]</w:t>
      </w:r>
    </w:p>
    <w:p>
      <w:pPr>
        <w:sectPr>
          <w:pgSz w:w="11900" w:h="16838" w:orient="portrait"/>
          <w:cols w:equalWidth="0" w:num="1">
            <w:col w:w="9300"/>
          </w:cols>
          <w:pgMar w:left="1440" w:top="270" w:right="1159" w:bottom="1440" w:gutter="0" w:footer="0" w:header="0"/>
        </w:sectPr>
      </w:pPr>
    </w:p>
    <w:bookmarkStart w:id="23" w:name="page24"/>
    <w:bookmarkEnd w:id="23"/>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PNC BANK, NATIONAL ASSOCIATION,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as a U.S. Lender, as a Canadian Lender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as an Issuing Bank</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B. Thayer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David B. Thayer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Third Amendment</w:t>
      </w:r>
      <w:r>
        <w:rPr>
          <w:rFonts w:ascii="Arial" w:cs="Arial" w:eastAsia="Arial" w:hAnsi="Arial"/>
          <w:sz w:val="16"/>
          <w:szCs w:val="16"/>
          <w:color w:val="auto"/>
        </w:rPr>
        <w:t>]</w:t>
      </w:r>
    </w:p>
    <w:p>
      <w:pPr>
        <w:sectPr>
          <w:pgSz w:w="11900" w:h="16838" w:orient="portrait"/>
          <w:cols w:equalWidth="0" w:num="1">
            <w:col w:w="9019"/>
          </w:cols>
          <w:pgMar w:left="1440" w:top="270" w:right="1440" w:bottom="1440" w:gutter="0" w:footer="0" w:header="0"/>
        </w:sectPr>
      </w:pPr>
    </w:p>
    <w:bookmarkStart w:id="24" w:name="page25"/>
    <w:bookmarkEnd w:id="24"/>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TD 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as a U.S. Lender, as a Canadian Lender and as an Issuing</w:t>
      </w:r>
    </w:p>
    <w:p>
      <w:pPr>
        <w:spacing w:after="0" w:line="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Bank</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Antimo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Antimo Barbieri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Amendment</w:t>
      </w:r>
      <w:r>
        <w:rPr>
          <w:rFonts w:ascii="Arial" w:cs="Arial" w:eastAsia="Arial" w:hAnsi="Arial"/>
          <w:sz w:val="18"/>
          <w:szCs w:val="18"/>
          <w:color w:val="auto"/>
        </w:rPr>
        <w:t>]</w:t>
      </w:r>
    </w:p>
    <w:p>
      <w:pPr>
        <w:sectPr>
          <w:pgSz w:w="11900" w:h="16838" w:orient="portrait"/>
          <w:cols w:equalWidth="0" w:num="1">
            <w:col w:w="9720"/>
          </w:cols>
          <w:pgMar w:left="1440" w:top="270" w:right="739" w:bottom="1440" w:gutter="0" w:footer="0" w:header="0"/>
        </w:sectPr>
      </w:pPr>
    </w:p>
    <w:bookmarkStart w:id="25" w:name="page26"/>
    <w:bookmarkEnd w:id="2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WELLS FARGO 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U.S. Lender and as an Issuing Bank</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Carolyn A. Weinschenk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Carolyn A. Weinschenk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WELLS FARGO CAPITAL FINANCE CORPORATION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Canadian Lender</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Carmela Massari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Carmela Massari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Vice President, Portfolio Manager</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Amendment</w:t>
      </w:r>
      <w:r>
        <w:rPr>
          <w:rFonts w:ascii="Arial" w:cs="Arial" w:eastAsia="Arial" w:hAnsi="Arial"/>
          <w:sz w:val="18"/>
          <w:szCs w:val="18"/>
          <w:color w:val="auto"/>
        </w:rPr>
        <w:t>]</w:t>
      </w:r>
    </w:p>
    <w:p>
      <w:pPr>
        <w:sectPr>
          <w:pgSz w:w="11900" w:h="16838" w:orient="portrait"/>
          <w:cols w:equalWidth="0" w:num="1">
            <w:col w:w="9780"/>
          </w:cols>
          <w:pgMar w:left="1440" w:top="270" w:right="67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REVOLVING COMMITMENT SCHEDULE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w w:val="96"/>
              </w:rPr>
              <w:t>Third Amendment</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Percentage of Third</w:t>
            </w:r>
          </w:p>
        </w:tc>
        <w:tc>
          <w:tcPr>
            <w:tcW w:w="0" w:type="dxa"/>
            <w:vAlign w:val="bottom"/>
          </w:tcPr>
          <w:p>
            <w:pPr>
              <w:spacing w:after="0"/>
              <w:rPr>
                <w:sz w:val="1"/>
                <w:szCs w:val="1"/>
                <w:color w:val="auto"/>
              </w:rPr>
            </w:pPr>
          </w:p>
        </w:tc>
      </w:tr>
      <w:tr>
        <w:trPr>
          <w:trHeight w:val="149"/>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Third Amendment</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Amendment</w:t>
            </w:r>
          </w:p>
        </w:tc>
        <w:tc>
          <w:tcPr>
            <w:tcW w:w="0" w:type="dxa"/>
            <w:vAlign w:val="bottom"/>
          </w:tcPr>
          <w:p>
            <w:pPr>
              <w:spacing w:after="0"/>
              <w:rPr>
                <w:sz w:val="1"/>
                <w:szCs w:val="1"/>
                <w:color w:val="auto"/>
              </w:rPr>
            </w:pPr>
          </w:p>
        </w:tc>
      </w:tr>
      <w:tr>
        <w:trPr>
          <w:trHeight w:val="144"/>
        </w:trPr>
        <w:tc>
          <w:tcPr>
            <w:tcW w:w="564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2"/>
          </w:tcPr>
          <w:p>
            <w:pPr>
              <w:jc w:val="center"/>
              <w:ind w:right="920"/>
              <w:spacing w:after="0" w:line="145" w:lineRule="exact"/>
              <w:rPr>
                <w:sz w:val="20"/>
                <w:szCs w:val="20"/>
                <w:color w:val="auto"/>
              </w:rPr>
            </w:pPr>
            <w:r>
              <w:rPr>
                <w:rFonts w:ascii="Arial" w:cs="Arial" w:eastAsia="Arial" w:hAnsi="Arial"/>
                <w:sz w:val="14"/>
                <w:szCs w:val="14"/>
                <w:b w:val="1"/>
                <w:bCs w:val="1"/>
                <w:color w:val="auto"/>
                <w:w w:val="96"/>
              </w:rPr>
              <w:t>Additional</w:t>
            </w:r>
          </w:p>
        </w:tc>
        <w:tc>
          <w:tcPr>
            <w:tcW w:w="14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148"/>
        </w:trPr>
        <w:tc>
          <w:tcPr>
            <w:tcW w:w="5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Additional Revolving</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2"/>
              </w:rPr>
              <w:t>Revolving</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Revolving</w:t>
            </w:r>
          </w:p>
        </w:tc>
        <w:tc>
          <w:tcPr>
            <w:tcW w:w="0" w:type="dxa"/>
            <w:vAlign w:val="bottom"/>
          </w:tcPr>
          <w:p>
            <w:pPr>
              <w:spacing w:after="0"/>
              <w:rPr>
                <w:sz w:val="1"/>
                <w:szCs w:val="1"/>
                <w:color w:val="auto"/>
              </w:rPr>
            </w:pPr>
          </w:p>
        </w:tc>
      </w:tr>
      <w:tr>
        <w:trPr>
          <w:trHeight w:val="162"/>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Lender</w:t>
            </w:r>
          </w:p>
        </w:tc>
        <w:tc>
          <w:tcPr>
            <w:tcW w:w="5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5"/>
              </w:rPr>
              <w:t>Commitment</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Commitment</w:t>
            </w:r>
          </w:p>
        </w:tc>
        <w:tc>
          <w:tcPr>
            <w:tcW w:w="0" w:type="dxa"/>
            <w:vAlign w:val="bottom"/>
          </w:tcPr>
          <w:p>
            <w:pPr>
              <w:spacing w:after="0"/>
              <w:rPr>
                <w:sz w:val="1"/>
                <w:szCs w:val="1"/>
                <w:color w:val="auto"/>
              </w:rPr>
            </w:pPr>
          </w:p>
        </w:tc>
      </w:tr>
      <w:tr>
        <w:trPr>
          <w:trHeight w:val="20"/>
        </w:trPr>
        <w:tc>
          <w:tcPr>
            <w:tcW w:w="5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14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vMerge w:val="continue"/>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25,000,000.00</w:t>
            </w:r>
          </w:p>
        </w:tc>
        <w:tc>
          <w:tcPr>
            <w:tcW w:w="720" w:type="dxa"/>
            <w:vAlign w:val="bottom"/>
            <w:vMerge w:val="continue"/>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14.2857%</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Canadian Imperial Bank of Commerce, New York Branch</w:t>
            </w:r>
          </w:p>
        </w:tc>
        <w:tc>
          <w:tcPr>
            <w:tcW w:w="16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720"/>
              <w:spacing w:after="0"/>
              <w:rPr>
                <w:sz w:val="20"/>
                <w:szCs w:val="20"/>
                <w:color w:val="auto"/>
              </w:rPr>
            </w:pPr>
            <w:r>
              <w:rPr>
                <w:rFonts w:ascii="Arial" w:cs="Arial" w:eastAsia="Arial" w:hAnsi="Arial"/>
                <w:sz w:val="18"/>
                <w:szCs w:val="18"/>
                <w:color w:val="auto"/>
              </w:rPr>
              <w:t>17,000,000.00</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9.7143%</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Bank, National Association</w:t>
            </w:r>
          </w:p>
        </w:tc>
        <w:tc>
          <w:tcPr>
            <w:tcW w:w="1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8,000,000.00</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4.5714%</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TD Bank, N.A.</w:t>
            </w:r>
          </w:p>
        </w:tc>
        <w:tc>
          <w:tcPr>
            <w:tcW w:w="16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720"/>
              <w:spacing w:after="0"/>
              <w:rPr>
                <w:sz w:val="20"/>
                <w:szCs w:val="20"/>
                <w:color w:val="auto"/>
              </w:rPr>
            </w:pPr>
            <w:r>
              <w:rPr>
                <w:rFonts w:ascii="Arial" w:cs="Arial" w:eastAsia="Arial" w:hAnsi="Arial"/>
                <w:sz w:val="18"/>
                <w:szCs w:val="18"/>
                <w:color w:val="auto"/>
              </w:rPr>
              <w:t>8,000,000.00</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4.5714%</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1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22,000,000.00</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12.5714%</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Citizens Bank</w:t>
            </w:r>
          </w:p>
        </w:tc>
        <w:tc>
          <w:tcPr>
            <w:tcW w:w="16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720"/>
              <w:spacing w:after="0"/>
              <w:rPr>
                <w:sz w:val="20"/>
                <w:szCs w:val="20"/>
                <w:color w:val="auto"/>
              </w:rPr>
            </w:pPr>
            <w:r>
              <w:rPr>
                <w:rFonts w:ascii="Arial" w:cs="Arial" w:eastAsia="Arial" w:hAnsi="Arial"/>
                <w:sz w:val="18"/>
                <w:szCs w:val="18"/>
                <w:color w:val="auto"/>
              </w:rPr>
              <w:t>10,000,000.00</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5.7143%</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Bank USA, National Association</w:t>
            </w:r>
          </w:p>
        </w:tc>
        <w:tc>
          <w:tcPr>
            <w:tcW w:w="1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10,000,000.00</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5.7143%</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Morgan Stanley Bank, N.A.</w:t>
            </w:r>
          </w:p>
        </w:tc>
        <w:tc>
          <w:tcPr>
            <w:tcW w:w="16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720"/>
              <w:spacing w:after="0"/>
              <w:rPr>
                <w:sz w:val="20"/>
                <w:szCs w:val="20"/>
                <w:color w:val="auto"/>
              </w:rPr>
            </w:pPr>
            <w:r>
              <w:rPr>
                <w:rFonts w:ascii="Arial" w:cs="Arial" w:eastAsia="Arial" w:hAnsi="Arial"/>
                <w:sz w:val="18"/>
                <w:szCs w:val="18"/>
                <w:color w:val="auto"/>
              </w:rPr>
              <w:t>75,000,000.00</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42.8571%</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3920" w:type="dxa"/>
            <w:vAlign w:val="bottom"/>
            <w:gridSpan w:val="4"/>
            <w:shd w:val="clear" w:color="auto" w:fill="CCEEFF"/>
          </w:tcPr>
          <w:p>
            <w:pPr>
              <w:jc w:val="center"/>
              <w:ind w:left="670"/>
              <w:spacing w:after="0"/>
              <w:rPr>
                <w:sz w:val="20"/>
                <w:szCs w:val="20"/>
                <w:color w:val="auto"/>
              </w:rPr>
            </w:pPr>
            <w:r>
              <w:rPr>
                <w:rFonts w:ascii="Arial" w:cs="Arial" w:eastAsia="Arial" w:hAnsi="Arial"/>
                <w:sz w:val="18"/>
                <w:szCs w:val="18"/>
                <w:b w:val="1"/>
                <w:bCs w:val="1"/>
                <w:color w:val="auto"/>
                <w:w w:val="90"/>
              </w:rPr>
              <w:t>Total: $175,000,000.00</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Total: 100.0000%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I to Third Amendment</w:t>
      </w:r>
    </w:p>
    <w:p>
      <w:pPr>
        <w:sectPr>
          <w:pgSz w:w="11900" w:h="16838" w:orient="portrait"/>
          <w:cols w:equalWidth="0" w:num="1">
            <w:col w:w="11020"/>
          </w:cols>
          <w:pgMar w:left="440" w:top="274" w:right="4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Amended Credit Agreement</w:t>
      </w:r>
    </w:p>
    <w:p>
      <w:pPr>
        <w:spacing w:after="0" w:line="3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[see attached.]</w:t>
      </w: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Exhibit A to Third Amendment</w:t>
      </w:r>
    </w:p>
    <w:p>
      <w:pPr>
        <w:sectPr>
          <w:pgSz w:w="11900" w:h="16838" w:orient="portrait"/>
          <w:cols w:equalWidth="0" w:num="1">
            <w:col w:w="10020"/>
          </w:cols>
          <w:pgMar w:left="1440" w:top="270"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10.1A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FF0000"/>
          <w:strike w:val="1"/>
        </w:rPr>
        <w:t>Execution Version</w:t>
      </w:r>
    </w:p>
    <w:p>
      <w:pPr>
        <w:spacing w:after="0" w:line="221" w:lineRule="exact"/>
        <w:rPr>
          <w:sz w:val="20"/>
          <w:szCs w:val="20"/>
          <w:color w:val="auto"/>
        </w:rPr>
      </w:pPr>
    </w:p>
    <w:p>
      <w:pPr>
        <w:ind w:left="7040"/>
        <w:spacing w:after="0"/>
        <w:rPr>
          <w:sz w:val="20"/>
          <w:szCs w:val="20"/>
          <w:color w:val="auto"/>
        </w:rPr>
      </w:pPr>
      <w:r>
        <w:rPr>
          <w:rFonts w:ascii="Arial" w:cs="Arial" w:eastAsia="Arial" w:hAnsi="Arial"/>
          <w:sz w:val="16"/>
          <w:szCs w:val="16"/>
          <w:b w:val="1"/>
          <w:bCs w:val="1"/>
          <w:color w:val="auto"/>
        </w:rPr>
        <w:t xml:space="preserve">Exhibit A to </w:t>
      </w:r>
      <w:r>
        <w:rPr>
          <w:rFonts w:ascii="Arial" w:cs="Arial" w:eastAsia="Arial" w:hAnsi="Arial"/>
          <w:sz w:val="16"/>
          <w:szCs w:val="16"/>
          <w:b w:val="1"/>
          <w:bCs w:val="1"/>
          <w:color w:val="FF0000"/>
          <w:strike w:val="1"/>
        </w:rPr>
        <w:t>Second</w:t>
      </w:r>
      <w:r>
        <w:rPr>
          <w:rFonts w:ascii="Arial" w:cs="Arial" w:eastAsia="Arial" w:hAnsi="Arial"/>
          <w:sz w:val="16"/>
          <w:szCs w:val="16"/>
          <w:b w:val="1"/>
          <w:bCs w:val="1"/>
          <w:u w:val="single" w:color="auto"/>
          <w:color w:val="0000FF"/>
        </w:rPr>
        <w:t>Third</w:t>
      </w:r>
      <w:r>
        <w:rPr>
          <w:rFonts w:ascii="Arial" w:cs="Arial" w:eastAsia="Arial" w:hAnsi="Arial"/>
          <w:sz w:val="16"/>
          <w:szCs w:val="16"/>
          <w:b w:val="1"/>
          <w:bCs w:val="1"/>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40640</wp:posOffset>
            </wp:positionV>
            <wp:extent cx="283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pacing w:after="0" w:line="12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FOURTH AMENDED AND RESTATED CREDIT AGREEMENT</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June 22, 2020</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as amended by the First Amendment to Fourth Amended and Restated Credit Agreement,</w:t>
      </w:r>
    </w:p>
    <w:p>
      <w:pPr>
        <w:spacing w:after="0" w:line="3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 xml:space="preserve">dated as of December 14, 2020, </w:t>
      </w:r>
      <w:r>
        <w:rPr>
          <w:rFonts w:ascii="Arial" w:cs="Arial" w:eastAsia="Arial" w:hAnsi="Arial"/>
          <w:sz w:val="18"/>
          <w:szCs w:val="18"/>
          <w:b w:val="1"/>
          <w:bCs w:val="1"/>
          <w:color w:val="FF0000"/>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-62230</wp:posOffset>
            </wp:positionV>
            <wp:extent cx="212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191"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as amended by the Second Amendment to Fourth Amended and Restated Credit Agreement,</w:t>
      </w:r>
    </w:p>
    <w:p>
      <w:pPr>
        <w:spacing w:after="0" w:line="46"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March 1, 2022</w:t>
      </w:r>
      <w:r>
        <w:rPr>
          <w:rFonts w:ascii="Arial" w:cs="Arial" w:eastAsia="Arial" w:hAnsi="Arial"/>
          <w:sz w:val="18"/>
          <w:szCs w:val="18"/>
          <w:b w:val="1"/>
          <w:bCs w:val="1"/>
          <w:u w:val="single" w:color="auto"/>
          <w:color w:val="0000FF"/>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14605</wp:posOffset>
            </wp:positionV>
            <wp:extent cx="2400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187" w:lineRule="exact"/>
        <w:rPr>
          <w:sz w:val="20"/>
          <w:szCs w:val="20"/>
          <w:color w:val="auto"/>
        </w:rPr>
      </w:pPr>
    </w:p>
    <w:p>
      <w:pPr>
        <w:jc w:val="center"/>
        <w:ind w:right="1020"/>
        <w:spacing w:after="0"/>
        <w:rPr>
          <w:sz w:val="20"/>
          <w:szCs w:val="20"/>
          <w:color w:val="auto"/>
        </w:rPr>
      </w:pPr>
      <w:r>
        <w:rPr>
          <w:rFonts w:ascii="Arial" w:cs="Arial" w:eastAsia="Arial" w:hAnsi="Arial"/>
          <w:sz w:val="16"/>
          <w:szCs w:val="16"/>
          <w:b w:val="1"/>
          <w:bCs w:val="1"/>
          <w:u w:val="single" w:color="auto"/>
          <w:color w:val="0000FF"/>
        </w:rPr>
        <w:t>as amended by the Third Amendment to Fourth Amended and Restated Credit Agreement,</w:t>
      </w:r>
    </w:p>
    <w:p>
      <w:pPr>
        <w:spacing w:after="0" w:line="50"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u w:val="single" w:color="auto"/>
          <w:color w:val="0000FF"/>
        </w:rPr>
        <w:t>dated as of August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-121920</wp:posOffset>
            </wp:positionV>
            <wp:extent cx="44405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40555"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14605</wp:posOffset>
            </wp:positionV>
            <wp:extent cx="13030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19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WESCO DISTRIBUTION, INC.,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other U.S. Borrowers party hereto,</w:t>
      </w:r>
    </w:p>
    <w:p>
      <w:pPr>
        <w:spacing w:after="0" w:line="2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WESCO DISTRIBUTION CANADA LP,</w:t>
      </w:r>
    </w:p>
    <w:p>
      <w:pPr>
        <w:spacing w:after="0" w:line="2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the other Canadian Borrowers party hereto,</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Other Loan Parties Party Hereto,</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Lenders Party Hereto 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BARCLAYS BANK PLC,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CANADIAN IMPERIAL BANK OF COMMERCE, NEW YORK BRANCH</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FIFTH THIRD BANK, NATIONAL ASSOCIATION</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PNC BANK, NATIONAL ASSOCIATION</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TD BANK, N.A.</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Joint Bookrunners and Joint Lead Arrangers</w:t>
      </w:r>
    </w:p>
    <w:p>
      <w:pPr>
        <w:sectPr>
          <w:pgSz w:w="11900" w:h="16838" w:orient="portrait"/>
          <w:cols w:equalWidth="0" w:num="1">
            <w:col w:w="10020"/>
          </w:cols>
          <w:pgMar w:left="1440" w:top="270" w:right="4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80" w:type="dxa"/>
            <w:vAlign w:val="bottom"/>
          </w:tcPr>
          <w:p>
            <w:pPr>
              <w:ind w:left="3140"/>
              <w:spacing w:after="0"/>
              <w:rPr>
                <w:sz w:val="20"/>
                <w:szCs w:val="20"/>
                <w:color w:val="auto"/>
              </w:rPr>
            </w:pPr>
            <w:r>
              <w:rPr>
                <w:rFonts w:ascii="Arial" w:cs="Arial" w:eastAsia="Arial" w:hAnsi="Arial"/>
                <w:sz w:val="18"/>
                <w:szCs w:val="18"/>
                <w:color w:val="auto"/>
              </w:rPr>
              <w:t>TABLE OF CONTENTS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1040" w:type="dxa"/>
            <w:vAlign w:val="bottom"/>
            <w:vMerge w:val="restart"/>
          </w:tcPr>
          <w:p>
            <w:pPr>
              <w:spacing w:after="0"/>
              <w:rPr>
                <w:sz w:val="20"/>
                <w:szCs w:val="20"/>
                <w:color w:val="auto"/>
              </w:rPr>
            </w:pPr>
            <w:r>
              <w:rPr>
                <w:rFonts w:ascii="Arial" w:cs="Arial" w:eastAsia="Arial" w:hAnsi="Arial"/>
                <w:sz w:val="18"/>
                <w:szCs w:val="18"/>
                <w:color w:val="auto"/>
              </w:rPr>
              <w:t>ARTICLE I.</w:t>
            </w:r>
          </w:p>
        </w:tc>
        <w:tc>
          <w:tcPr>
            <w:tcW w:w="9500" w:type="dxa"/>
            <w:vAlign w:val="bottom"/>
            <w:gridSpan w:val="2"/>
            <w:vMerge w:val="restart"/>
          </w:tcPr>
          <w:p>
            <w:pPr>
              <w:ind w:left="80"/>
              <w:spacing w:after="0"/>
              <w:rPr>
                <w:sz w:val="20"/>
                <w:szCs w:val="20"/>
                <w:color w:val="auto"/>
              </w:rPr>
            </w:pPr>
            <w:r>
              <w:rPr>
                <w:rFonts w:ascii="Arial" w:cs="Arial" w:eastAsia="Arial" w:hAnsi="Arial"/>
                <w:sz w:val="18"/>
                <w:szCs w:val="18"/>
                <w:color w:val="auto"/>
              </w:rPr>
              <w:t>DEFINITIONS</w:t>
            </w:r>
          </w:p>
        </w:tc>
        <w:tc>
          <w:tcPr>
            <w:tcW w:w="440" w:type="dxa"/>
            <w:vAlign w:val="bottom"/>
            <w:gridSpan w:val="4"/>
          </w:tcPr>
          <w:p>
            <w:pPr>
              <w:ind w:left="6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1040" w:type="dxa"/>
            <w:vAlign w:val="bottom"/>
            <w:vMerge w:val="continue"/>
          </w:tcPr>
          <w:p>
            <w:pPr>
              <w:spacing w:after="0"/>
              <w:rPr>
                <w:sz w:val="16"/>
                <w:szCs w:val="16"/>
                <w:color w:val="auto"/>
              </w:rPr>
            </w:pPr>
          </w:p>
        </w:tc>
        <w:tc>
          <w:tcPr>
            <w:tcW w:w="9500" w:type="dxa"/>
            <w:vAlign w:val="bottom"/>
            <w:gridSpan w:val="2"/>
            <w:vMerge w:val="continue"/>
          </w:tcPr>
          <w:p>
            <w:pPr>
              <w:spacing w:after="0"/>
              <w:rPr>
                <w:sz w:val="16"/>
                <w:szCs w:val="16"/>
                <w:color w:val="auto"/>
              </w:rPr>
            </w:pPr>
          </w:p>
        </w:tc>
        <w:tc>
          <w:tcPr>
            <w:tcW w:w="420" w:type="dxa"/>
            <w:vAlign w:val="bottom"/>
            <w:tcBorders>
              <w:top w:val="single" w:sz="8" w:color="auto"/>
            </w:tcBorders>
            <w:gridSpan w:val="3"/>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ind w:left="300"/>
              <w:spacing w:after="0"/>
              <w:rPr>
                <w:sz w:val="20"/>
                <w:szCs w:val="20"/>
                <w:color w:val="auto"/>
              </w:rPr>
            </w:pPr>
            <w:r>
              <w:rPr>
                <w:rFonts w:ascii="Arial" w:cs="Arial" w:eastAsia="Arial" w:hAnsi="Arial"/>
                <w:sz w:val="18"/>
                <w:szCs w:val="18"/>
                <w:color w:val="auto"/>
                <w:w w:val="94"/>
              </w:rPr>
              <w:t>SECTION 1.01</w:t>
            </w:r>
          </w:p>
        </w:tc>
        <w:tc>
          <w:tcPr>
            <w:tcW w:w="9080" w:type="dxa"/>
            <w:vAlign w:val="bottom"/>
          </w:tcPr>
          <w:p>
            <w:pPr>
              <w:ind w:left="60"/>
              <w:spacing w:after="0"/>
              <w:rPr>
                <w:sz w:val="20"/>
                <w:szCs w:val="20"/>
                <w:color w:val="auto"/>
              </w:rPr>
            </w:pPr>
            <w:r>
              <w:rPr>
                <w:rFonts w:ascii="Arial" w:cs="Arial" w:eastAsia="Arial" w:hAnsi="Arial"/>
                <w:sz w:val="18"/>
                <w:szCs w:val="18"/>
                <w:color w:val="auto"/>
              </w:rPr>
              <w:t>Defined Terms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540" w:type="dxa"/>
            <w:vAlign w:val="bottom"/>
            <w:gridSpan w:val="3"/>
          </w:tcPr>
          <w:p>
            <w:pPr>
              <w:ind w:left="300"/>
              <w:spacing w:after="0"/>
              <w:rPr>
                <w:sz w:val="20"/>
                <w:szCs w:val="20"/>
                <w:color w:val="auto"/>
              </w:rPr>
            </w:pPr>
            <w:r>
              <w:rPr>
                <w:rFonts w:ascii="Arial" w:cs="Arial" w:eastAsia="Arial" w:hAnsi="Arial"/>
                <w:sz w:val="18"/>
                <w:szCs w:val="18"/>
                <w:color w:val="auto"/>
              </w:rPr>
              <w:t>SECTION 1.02 Classification of Loans and Borrowings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460" w:type="dxa"/>
            <w:vAlign w:val="bottom"/>
            <w:gridSpan w:val="2"/>
          </w:tcPr>
          <w:p>
            <w:pPr>
              <w:ind w:left="300"/>
              <w:spacing w:after="0"/>
              <w:rPr>
                <w:sz w:val="20"/>
                <w:szCs w:val="20"/>
                <w:color w:val="auto"/>
              </w:rPr>
            </w:pPr>
            <w:r>
              <w:rPr>
                <w:rFonts w:ascii="Arial" w:cs="Arial" w:eastAsia="Arial" w:hAnsi="Arial"/>
                <w:sz w:val="18"/>
                <w:szCs w:val="18"/>
                <w:color w:val="auto"/>
                <w:w w:val="94"/>
              </w:rPr>
              <w:t>SECTION 1.03</w:t>
            </w:r>
          </w:p>
        </w:tc>
        <w:tc>
          <w:tcPr>
            <w:tcW w:w="9080" w:type="dxa"/>
            <w:vAlign w:val="bottom"/>
          </w:tcPr>
          <w:p>
            <w:pPr>
              <w:ind w:left="60"/>
              <w:spacing w:after="0"/>
              <w:rPr>
                <w:sz w:val="20"/>
                <w:szCs w:val="20"/>
                <w:color w:val="auto"/>
              </w:rPr>
            </w:pPr>
            <w:r>
              <w:rPr>
                <w:rFonts w:ascii="Arial" w:cs="Arial" w:eastAsia="Arial" w:hAnsi="Arial"/>
                <w:sz w:val="18"/>
                <w:szCs w:val="18"/>
                <w:color w:val="auto"/>
              </w:rPr>
              <w:t>Terms Generally</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0540" w:type="dxa"/>
            <w:vAlign w:val="bottom"/>
            <w:gridSpan w:val="3"/>
          </w:tcPr>
          <w:p>
            <w:pPr>
              <w:ind w:left="300"/>
              <w:spacing w:after="0"/>
              <w:rPr>
                <w:sz w:val="20"/>
                <w:szCs w:val="20"/>
                <w:color w:val="auto"/>
              </w:rPr>
            </w:pPr>
            <w:r>
              <w:rPr>
                <w:rFonts w:ascii="Arial" w:cs="Arial" w:eastAsia="Arial" w:hAnsi="Arial"/>
                <w:sz w:val="18"/>
                <w:szCs w:val="18"/>
                <w:color w:val="auto"/>
              </w:rPr>
              <w:t>SECTION 1.04 Accounting Terms; GAAP</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460" w:type="dxa"/>
            <w:vAlign w:val="bottom"/>
            <w:gridSpan w:val="2"/>
          </w:tcPr>
          <w:p>
            <w:pPr>
              <w:ind w:left="300"/>
              <w:spacing w:after="0"/>
              <w:rPr>
                <w:sz w:val="20"/>
                <w:szCs w:val="20"/>
                <w:color w:val="auto"/>
              </w:rPr>
            </w:pPr>
            <w:r>
              <w:rPr>
                <w:rFonts w:ascii="Arial" w:cs="Arial" w:eastAsia="Arial" w:hAnsi="Arial"/>
                <w:sz w:val="18"/>
                <w:szCs w:val="18"/>
                <w:color w:val="auto"/>
                <w:w w:val="94"/>
              </w:rPr>
              <w:t>SECTION 1.05</w:t>
            </w:r>
          </w:p>
        </w:tc>
        <w:tc>
          <w:tcPr>
            <w:tcW w:w="9080" w:type="dxa"/>
            <w:vAlign w:val="bottom"/>
          </w:tcPr>
          <w:p>
            <w:pPr>
              <w:ind w:left="60"/>
              <w:spacing w:after="0"/>
              <w:rPr>
                <w:sz w:val="20"/>
                <w:szCs w:val="20"/>
                <w:color w:val="auto"/>
              </w:rPr>
            </w:pPr>
            <w:r>
              <w:rPr>
                <w:rFonts w:ascii="Arial" w:cs="Arial" w:eastAsia="Arial" w:hAnsi="Arial"/>
                <w:sz w:val="18"/>
                <w:szCs w:val="18"/>
                <w:color w:val="auto"/>
              </w:rPr>
              <w:t>Currency Matters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460" w:type="dxa"/>
            <w:vAlign w:val="bottom"/>
            <w:gridSpan w:val="2"/>
          </w:tcPr>
          <w:p>
            <w:pPr>
              <w:ind w:left="300"/>
              <w:spacing w:after="0"/>
              <w:rPr>
                <w:sz w:val="20"/>
                <w:szCs w:val="20"/>
                <w:color w:val="auto"/>
              </w:rPr>
            </w:pPr>
            <w:r>
              <w:rPr>
                <w:rFonts w:ascii="Arial" w:cs="Arial" w:eastAsia="Arial" w:hAnsi="Arial"/>
                <w:sz w:val="18"/>
                <w:szCs w:val="18"/>
                <w:color w:val="auto"/>
                <w:w w:val="94"/>
              </w:rPr>
              <w:t>SECTION 1.06</w:t>
            </w:r>
          </w:p>
        </w:tc>
        <w:tc>
          <w:tcPr>
            <w:tcW w:w="9080" w:type="dxa"/>
            <w:vAlign w:val="bottom"/>
          </w:tcPr>
          <w:p>
            <w:pPr>
              <w:ind w:left="60"/>
              <w:spacing w:after="0"/>
              <w:rPr>
                <w:sz w:val="20"/>
                <w:szCs w:val="20"/>
                <w:color w:val="auto"/>
              </w:rPr>
            </w:pPr>
            <w:r>
              <w:rPr>
                <w:rFonts w:ascii="Arial" w:cs="Arial" w:eastAsia="Arial" w:hAnsi="Arial"/>
                <w:sz w:val="18"/>
                <w:szCs w:val="18"/>
                <w:color w:val="auto"/>
              </w:rPr>
              <w:t>Rates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0540" w:type="dxa"/>
            <w:vAlign w:val="bottom"/>
            <w:gridSpan w:val="3"/>
          </w:tcPr>
          <w:p>
            <w:pPr>
              <w:ind w:left="300"/>
              <w:spacing w:after="0"/>
              <w:rPr>
                <w:sz w:val="20"/>
                <w:szCs w:val="20"/>
                <w:color w:val="auto"/>
              </w:rPr>
            </w:pPr>
            <w:r>
              <w:rPr>
                <w:rFonts w:ascii="Arial" w:cs="Arial" w:eastAsia="Arial" w:hAnsi="Arial"/>
                <w:sz w:val="18"/>
                <w:szCs w:val="18"/>
                <w:color w:val="auto"/>
              </w:rPr>
              <w:t>SECTION 1.07 Pro Forma Adjustments for Investments and Dispositions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10540" w:type="dxa"/>
            <w:vAlign w:val="bottom"/>
            <w:gridSpan w:val="3"/>
          </w:tcPr>
          <w:p>
            <w:pPr>
              <w:ind w:left="300"/>
              <w:spacing w:after="0"/>
              <w:rPr>
                <w:sz w:val="20"/>
                <w:szCs w:val="20"/>
                <w:color w:val="auto"/>
              </w:rPr>
            </w:pPr>
            <w:r>
              <w:rPr>
                <w:rFonts w:ascii="Arial" w:cs="Arial" w:eastAsia="Arial" w:hAnsi="Arial"/>
                <w:sz w:val="18"/>
                <w:szCs w:val="18"/>
                <w:color w:val="auto"/>
              </w:rPr>
              <w:t>SECTION 1.08 Limited Condition Transactions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ARTICLE II.</w:t>
            </w:r>
          </w:p>
        </w:tc>
        <w:tc>
          <w:tcPr>
            <w:tcW w:w="9500" w:type="dxa"/>
            <w:vAlign w:val="bottom"/>
            <w:gridSpan w:val="2"/>
          </w:tcPr>
          <w:p>
            <w:pPr>
              <w:ind w:left="140"/>
              <w:spacing w:after="0"/>
              <w:rPr>
                <w:sz w:val="20"/>
                <w:szCs w:val="20"/>
                <w:color w:val="auto"/>
              </w:rPr>
            </w:pPr>
            <w:r>
              <w:rPr>
                <w:rFonts w:ascii="Arial" w:cs="Arial" w:eastAsia="Arial" w:hAnsi="Arial"/>
                <w:sz w:val="18"/>
                <w:szCs w:val="18"/>
                <w:color w:val="auto"/>
              </w:rPr>
              <w:t>THE CREDITS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460" w:type="dxa"/>
            <w:vAlign w:val="bottom"/>
            <w:gridSpan w:val="2"/>
          </w:tcPr>
          <w:p>
            <w:pPr>
              <w:ind w:left="300"/>
              <w:spacing w:after="0"/>
              <w:rPr>
                <w:sz w:val="20"/>
                <w:szCs w:val="20"/>
                <w:color w:val="auto"/>
              </w:rPr>
            </w:pPr>
            <w:r>
              <w:rPr>
                <w:rFonts w:ascii="Arial" w:cs="Arial" w:eastAsia="Arial" w:hAnsi="Arial"/>
                <w:sz w:val="18"/>
                <w:szCs w:val="18"/>
                <w:color w:val="auto"/>
                <w:w w:val="94"/>
              </w:rPr>
              <w:t>SECTION 2.01</w:t>
            </w:r>
          </w:p>
        </w:tc>
        <w:tc>
          <w:tcPr>
            <w:tcW w:w="9080" w:type="dxa"/>
            <w:vAlign w:val="bottom"/>
          </w:tcPr>
          <w:p>
            <w:pPr>
              <w:ind w:left="60"/>
              <w:spacing w:after="0"/>
              <w:rPr>
                <w:sz w:val="20"/>
                <w:szCs w:val="20"/>
                <w:color w:val="auto"/>
              </w:rPr>
            </w:pPr>
            <w:r>
              <w:rPr>
                <w:rFonts w:ascii="Arial" w:cs="Arial" w:eastAsia="Arial" w:hAnsi="Arial"/>
                <w:sz w:val="18"/>
                <w:szCs w:val="18"/>
                <w:color w:val="auto"/>
              </w:rPr>
              <w:t>Revolving Commitments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0"/>
        </w:trPr>
        <w:tc>
          <w:tcPr>
            <w:tcW w:w="10540" w:type="dxa"/>
            <w:vAlign w:val="bottom"/>
            <w:gridSpan w:val="3"/>
          </w:tcPr>
          <w:p>
            <w:pPr>
              <w:ind w:left="300"/>
              <w:spacing w:after="0" w:line="190" w:lineRule="exact"/>
              <w:rPr>
                <w:sz w:val="20"/>
                <w:szCs w:val="20"/>
                <w:color w:val="auto"/>
              </w:rPr>
            </w:pPr>
            <w:r>
              <w:rPr>
                <w:rFonts w:ascii="Arial" w:cs="Arial" w:eastAsia="Arial" w:hAnsi="Arial"/>
                <w:sz w:val="18"/>
                <w:szCs w:val="18"/>
                <w:color w:val="auto"/>
              </w:rPr>
              <w:t>SECTION 2.02 Loans and Borrowings</w:t>
            </w:r>
          </w:p>
        </w:tc>
        <w:tc>
          <w:tcPr>
            <w:tcW w:w="240" w:type="dxa"/>
            <w:vAlign w:val="bottom"/>
          </w:tcPr>
          <w:p>
            <w:pPr>
              <w:ind w:left="60"/>
              <w:spacing w:after="0" w:line="190" w:lineRule="exact"/>
              <w:rPr>
                <w:sz w:val="20"/>
                <w:szCs w:val="20"/>
                <w:color w:val="auto"/>
              </w:rPr>
            </w:pPr>
            <w:r>
              <w:rPr>
                <w:rFonts w:ascii="Arial" w:cs="Arial" w:eastAsia="Arial" w:hAnsi="Arial"/>
                <w:sz w:val="18"/>
                <w:szCs w:val="18"/>
                <w:color w:val="FF0000"/>
                <w:strike w:val="1"/>
                <w:w w:val="79"/>
              </w:rPr>
              <w:t>54</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55</w:t>
            </w:r>
          </w:p>
        </w:tc>
        <w:tc>
          <w:tcPr>
            <w:tcW w:w="0" w:type="dxa"/>
            <w:vAlign w:val="bottom"/>
          </w:tcPr>
          <w:p>
            <w:pPr>
              <w:spacing w:after="0"/>
              <w:rPr>
                <w:sz w:val="1"/>
                <w:szCs w:val="1"/>
                <w:color w:val="auto"/>
              </w:rPr>
            </w:pPr>
          </w:p>
        </w:tc>
      </w:tr>
      <w:tr>
        <w:trPr>
          <w:trHeight w:val="34"/>
        </w:trPr>
        <w:tc>
          <w:tcPr>
            <w:tcW w:w="1054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2.03 Requests for Revolving Borrowings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55</w:t>
            </w: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3"/>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60" w:type="dxa"/>
            <w:vAlign w:val="bottom"/>
            <w:gridSpan w:val="2"/>
            <w:vMerge w:val="restart"/>
          </w:tcPr>
          <w:p>
            <w:pPr>
              <w:ind w:left="300"/>
              <w:spacing w:after="0"/>
              <w:rPr>
                <w:sz w:val="20"/>
                <w:szCs w:val="20"/>
                <w:color w:val="auto"/>
              </w:rPr>
            </w:pPr>
            <w:r>
              <w:rPr>
                <w:rFonts w:ascii="Arial" w:cs="Arial" w:eastAsia="Arial" w:hAnsi="Arial"/>
                <w:sz w:val="18"/>
                <w:szCs w:val="18"/>
                <w:color w:val="auto"/>
                <w:w w:val="94"/>
              </w:rPr>
              <w:t>SECTION 2.04</w:t>
            </w:r>
          </w:p>
        </w:tc>
        <w:tc>
          <w:tcPr>
            <w:tcW w:w="9080" w:type="dxa"/>
            <w:vAlign w:val="bottom"/>
            <w:vMerge w:val="restart"/>
          </w:tcPr>
          <w:p>
            <w:pPr>
              <w:ind w:left="60"/>
              <w:spacing w:after="0"/>
              <w:rPr>
                <w:sz w:val="20"/>
                <w:szCs w:val="20"/>
                <w:color w:val="auto"/>
              </w:rPr>
            </w:pPr>
            <w:r>
              <w:rPr>
                <w:rFonts w:ascii="Arial" w:cs="Arial" w:eastAsia="Arial" w:hAnsi="Arial"/>
                <w:sz w:val="18"/>
                <w:szCs w:val="18"/>
                <w:color w:val="auto"/>
              </w:rPr>
              <w:t>Protective Advances</w:t>
            </w:r>
          </w:p>
        </w:tc>
        <w:tc>
          <w:tcPr>
            <w:tcW w:w="26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460" w:type="dxa"/>
            <w:vAlign w:val="bottom"/>
            <w:gridSpan w:val="2"/>
            <w:vMerge w:val="continue"/>
          </w:tcPr>
          <w:p>
            <w:pPr>
              <w:spacing w:after="0"/>
              <w:rPr>
                <w:sz w:val="14"/>
                <w:szCs w:val="14"/>
                <w:color w:val="auto"/>
              </w:rPr>
            </w:pPr>
          </w:p>
        </w:tc>
        <w:tc>
          <w:tcPr>
            <w:tcW w:w="908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56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540" w:type="dxa"/>
            <w:vAlign w:val="bottom"/>
            <w:gridSpan w:val="3"/>
          </w:tcPr>
          <w:p>
            <w:pPr>
              <w:ind w:left="300"/>
              <w:spacing w:after="0"/>
              <w:rPr>
                <w:sz w:val="20"/>
                <w:szCs w:val="20"/>
                <w:color w:val="auto"/>
              </w:rPr>
            </w:pPr>
            <w:r>
              <w:rPr>
                <w:rFonts w:ascii="Arial" w:cs="Arial" w:eastAsia="Arial" w:hAnsi="Arial"/>
                <w:sz w:val="18"/>
                <w:szCs w:val="18"/>
                <w:color w:val="auto"/>
              </w:rPr>
              <w:t>SECTION 2.05 Swingline Loans and Overadvances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0"/>
        </w:trPr>
        <w:tc>
          <w:tcPr>
            <w:tcW w:w="1460" w:type="dxa"/>
            <w:vAlign w:val="bottom"/>
            <w:gridSpan w:val="2"/>
          </w:tcPr>
          <w:p>
            <w:pPr>
              <w:ind w:left="300"/>
              <w:spacing w:after="0" w:line="190" w:lineRule="exact"/>
              <w:rPr>
                <w:sz w:val="20"/>
                <w:szCs w:val="20"/>
                <w:color w:val="auto"/>
              </w:rPr>
            </w:pPr>
            <w:r>
              <w:rPr>
                <w:rFonts w:ascii="Arial" w:cs="Arial" w:eastAsia="Arial" w:hAnsi="Arial"/>
                <w:sz w:val="18"/>
                <w:szCs w:val="18"/>
                <w:color w:val="auto"/>
                <w:w w:val="94"/>
              </w:rPr>
              <w:t>SECTION 2.06</w:t>
            </w:r>
          </w:p>
        </w:tc>
        <w:tc>
          <w:tcPr>
            <w:tcW w:w="9080" w:type="dxa"/>
            <w:vAlign w:val="bottom"/>
          </w:tcPr>
          <w:p>
            <w:pPr>
              <w:ind w:left="60"/>
              <w:spacing w:after="0" w:line="190" w:lineRule="exact"/>
              <w:rPr>
                <w:sz w:val="20"/>
                <w:szCs w:val="20"/>
                <w:color w:val="auto"/>
              </w:rPr>
            </w:pPr>
            <w:r>
              <w:rPr>
                <w:rFonts w:ascii="Arial" w:cs="Arial" w:eastAsia="Arial" w:hAnsi="Arial"/>
                <w:sz w:val="18"/>
                <w:szCs w:val="18"/>
                <w:color w:val="auto"/>
              </w:rPr>
              <w:t>Letters of Credit</w:t>
            </w:r>
          </w:p>
        </w:tc>
        <w:tc>
          <w:tcPr>
            <w:tcW w:w="240" w:type="dxa"/>
            <w:vAlign w:val="bottom"/>
          </w:tcPr>
          <w:p>
            <w:pPr>
              <w:ind w:left="60"/>
              <w:spacing w:after="0" w:line="190" w:lineRule="exact"/>
              <w:rPr>
                <w:sz w:val="20"/>
                <w:szCs w:val="20"/>
                <w:color w:val="auto"/>
              </w:rPr>
            </w:pPr>
            <w:r>
              <w:rPr>
                <w:rFonts w:ascii="Arial" w:cs="Arial" w:eastAsia="Arial" w:hAnsi="Arial"/>
                <w:sz w:val="18"/>
                <w:szCs w:val="18"/>
                <w:color w:val="FF0000"/>
                <w:strike w:val="1"/>
                <w:w w:val="79"/>
              </w:rPr>
              <w:t>59</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60</w:t>
            </w:r>
          </w:p>
        </w:tc>
        <w:tc>
          <w:tcPr>
            <w:tcW w:w="0" w:type="dxa"/>
            <w:vAlign w:val="bottom"/>
          </w:tcPr>
          <w:p>
            <w:pPr>
              <w:spacing w:after="0"/>
              <w:rPr>
                <w:sz w:val="1"/>
                <w:szCs w:val="1"/>
                <w:color w:val="auto"/>
              </w:rPr>
            </w:pPr>
          </w:p>
        </w:tc>
      </w:tr>
      <w:tr>
        <w:trPr>
          <w:trHeight w:val="34"/>
        </w:trPr>
        <w:tc>
          <w:tcPr>
            <w:tcW w:w="1054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2.07 Funding of Borrowings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64</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3"/>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60" w:type="dxa"/>
            <w:vAlign w:val="bottom"/>
            <w:gridSpan w:val="2"/>
            <w:vMerge w:val="restart"/>
          </w:tcPr>
          <w:p>
            <w:pPr>
              <w:ind w:left="300"/>
              <w:spacing w:after="0"/>
              <w:rPr>
                <w:sz w:val="20"/>
                <w:szCs w:val="20"/>
                <w:color w:val="auto"/>
              </w:rPr>
            </w:pPr>
            <w:r>
              <w:rPr>
                <w:rFonts w:ascii="Arial" w:cs="Arial" w:eastAsia="Arial" w:hAnsi="Arial"/>
                <w:sz w:val="18"/>
                <w:szCs w:val="18"/>
                <w:color w:val="auto"/>
                <w:w w:val="94"/>
              </w:rPr>
              <w:t>SECTION 2.08</w:t>
            </w:r>
          </w:p>
        </w:tc>
        <w:tc>
          <w:tcPr>
            <w:tcW w:w="9080" w:type="dxa"/>
            <w:vAlign w:val="bottom"/>
            <w:vMerge w:val="restart"/>
          </w:tcPr>
          <w:p>
            <w:pPr>
              <w:ind w:left="60"/>
              <w:spacing w:after="0"/>
              <w:rPr>
                <w:sz w:val="20"/>
                <w:szCs w:val="20"/>
                <w:color w:val="auto"/>
              </w:rPr>
            </w:pPr>
            <w:r>
              <w:rPr>
                <w:rFonts w:ascii="Arial" w:cs="Arial" w:eastAsia="Arial" w:hAnsi="Arial"/>
                <w:sz w:val="18"/>
                <w:szCs w:val="18"/>
                <w:color w:val="auto"/>
              </w:rPr>
              <w:t>Interest Elections</w:t>
            </w:r>
          </w:p>
        </w:tc>
        <w:tc>
          <w:tcPr>
            <w:tcW w:w="26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460" w:type="dxa"/>
            <w:vAlign w:val="bottom"/>
            <w:gridSpan w:val="2"/>
            <w:vMerge w:val="continue"/>
          </w:tcPr>
          <w:p>
            <w:pPr>
              <w:spacing w:after="0"/>
              <w:rPr>
                <w:sz w:val="14"/>
                <w:szCs w:val="14"/>
                <w:color w:val="auto"/>
              </w:rPr>
            </w:pPr>
          </w:p>
        </w:tc>
        <w:tc>
          <w:tcPr>
            <w:tcW w:w="908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65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540" w:type="dxa"/>
            <w:vAlign w:val="bottom"/>
            <w:gridSpan w:val="3"/>
          </w:tcPr>
          <w:p>
            <w:pPr>
              <w:ind w:left="300"/>
              <w:spacing w:after="0" w:line="190" w:lineRule="exact"/>
              <w:rPr>
                <w:sz w:val="20"/>
                <w:szCs w:val="20"/>
                <w:color w:val="auto"/>
              </w:rPr>
            </w:pPr>
            <w:r>
              <w:rPr>
                <w:rFonts w:ascii="Arial" w:cs="Arial" w:eastAsia="Arial" w:hAnsi="Arial"/>
                <w:sz w:val="18"/>
                <w:szCs w:val="18"/>
                <w:color w:val="auto"/>
              </w:rPr>
              <w:t>SECTION 2.09 Termination and Reduction of Commitments; Increase in Revolving Commitments</w:t>
            </w:r>
          </w:p>
        </w:tc>
        <w:tc>
          <w:tcPr>
            <w:tcW w:w="240" w:type="dxa"/>
            <w:vAlign w:val="bottom"/>
          </w:tcPr>
          <w:p>
            <w:pPr>
              <w:ind w:left="60"/>
              <w:spacing w:after="0" w:line="190" w:lineRule="exact"/>
              <w:rPr>
                <w:sz w:val="20"/>
                <w:szCs w:val="20"/>
                <w:color w:val="auto"/>
              </w:rPr>
            </w:pPr>
            <w:r>
              <w:rPr>
                <w:rFonts w:ascii="Arial" w:cs="Arial" w:eastAsia="Arial" w:hAnsi="Arial"/>
                <w:sz w:val="18"/>
                <w:szCs w:val="18"/>
                <w:color w:val="FF0000"/>
                <w:strike w:val="1"/>
                <w:w w:val="79"/>
              </w:rPr>
              <w:t>66</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67</w:t>
            </w:r>
          </w:p>
        </w:tc>
        <w:tc>
          <w:tcPr>
            <w:tcW w:w="0" w:type="dxa"/>
            <w:vAlign w:val="bottom"/>
          </w:tcPr>
          <w:p>
            <w:pPr>
              <w:spacing w:after="0"/>
              <w:rPr>
                <w:sz w:val="1"/>
                <w:szCs w:val="1"/>
                <w:color w:val="auto"/>
              </w:rPr>
            </w:pPr>
          </w:p>
        </w:tc>
      </w:tr>
      <w:tr>
        <w:trPr>
          <w:trHeight w:val="34"/>
        </w:trPr>
        <w:tc>
          <w:tcPr>
            <w:tcW w:w="1054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2.10 Repayment and Amortization of Loans; Evidence of Debt</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68</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3"/>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3"/>
            <w:vMerge w:val="restart"/>
          </w:tcPr>
          <w:p>
            <w:pPr>
              <w:ind w:left="300"/>
              <w:spacing w:after="0"/>
              <w:rPr>
                <w:sz w:val="20"/>
                <w:szCs w:val="20"/>
                <w:color w:val="auto"/>
              </w:rPr>
            </w:pPr>
            <w:r>
              <w:rPr>
                <w:rFonts w:ascii="Arial" w:cs="Arial" w:eastAsia="Arial" w:hAnsi="Arial"/>
                <w:sz w:val="18"/>
                <w:szCs w:val="18"/>
                <w:color w:val="auto"/>
              </w:rPr>
              <w:t>SECTION 2.11 Prepayment of Loans</w:t>
            </w:r>
          </w:p>
        </w:tc>
        <w:tc>
          <w:tcPr>
            <w:tcW w:w="26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0540" w:type="dxa"/>
            <w:vAlign w:val="bottom"/>
            <w:gridSpan w:val="3"/>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69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ind w:left="300"/>
              <w:spacing w:after="0"/>
              <w:rPr>
                <w:sz w:val="20"/>
                <w:szCs w:val="20"/>
                <w:color w:val="auto"/>
              </w:rPr>
            </w:pPr>
            <w:r>
              <w:rPr>
                <w:rFonts w:ascii="Arial" w:cs="Arial" w:eastAsia="Arial" w:hAnsi="Arial"/>
                <w:sz w:val="18"/>
                <w:szCs w:val="18"/>
                <w:color w:val="auto"/>
                <w:w w:val="94"/>
              </w:rPr>
              <w:t>SECTION 2.12</w:t>
            </w:r>
          </w:p>
        </w:tc>
        <w:tc>
          <w:tcPr>
            <w:tcW w:w="9080" w:type="dxa"/>
            <w:vAlign w:val="bottom"/>
          </w:tcPr>
          <w:p>
            <w:pPr>
              <w:ind w:left="60"/>
              <w:spacing w:after="0"/>
              <w:rPr>
                <w:sz w:val="20"/>
                <w:szCs w:val="20"/>
                <w:color w:val="auto"/>
              </w:rPr>
            </w:pPr>
            <w:r>
              <w:rPr>
                <w:rFonts w:ascii="Arial" w:cs="Arial" w:eastAsia="Arial" w:hAnsi="Arial"/>
                <w:sz w:val="18"/>
                <w:szCs w:val="18"/>
                <w:color w:val="auto"/>
              </w:rPr>
              <w:t>Fees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0"/>
        </w:trPr>
        <w:tc>
          <w:tcPr>
            <w:tcW w:w="1460" w:type="dxa"/>
            <w:vAlign w:val="bottom"/>
            <w:gridSpan w:val="2"/>
          </w:tcPr>
          <w:p>
            <w:pPr>
              <w:ind w:left="300"/>
              <w:spacing w:after="0" w:line="190" w:lineRule="exact"/>
              <w:rPr>
                <w:sz w:val="20"/>
                <w:szCs w:val="20"/>
                <w:color w:val="auto"/>
              </w:rPr>
            </w:pPr>
            <w:r>
              <w:rPr>
                <w:rFonts w:ascii="Arial" w:cs="Arial" w:eastAsia="Arial" w:hAnsi="Arial"/>
                <w:sz w:val="18"/>
                <w:szCs w:val="18"/>
                <w:color w:val="auto"/>
                <w:w w:val="94"/>
              </w:rPr>
              <w:t>SECTION 2.13</w:t>
            </w:r>
          </w:p>
        </w:tc>
        <w:tc>
          <w:tcPr>
            <w:tcW w:w="9080" w:type="dxa"/>
            <w:vAlign w:val="bottom"/>
          </w:tcPr>
          <w:p>
            <w:pPr>
              <w:ind w:left="60"/>
              <w:spacing w:after="0" w:line="190" w:lineRule="exact"/>
              <w:rPr>
                <w:sz w:val="20"/>
                <w:szCs w:val="20"/>
                <w:color w:val="auto"/>
              </w:rPr>
            </w:pPr>
            <w:r>
              <w:rPr>
                <w:rFonts w:ascii="Arial" w:cs="Arial" w:eastAsia="Arial" w:hAnsi="Arial"/>
                <w:sz w:val="18"/>
                <w:szCs w:val="18"/>
                <w:color w:val="auto"/>
              </w:rPr>
              <w:t>Interest</w:t>
            </w:r>
          </w:p>
        </w:tc>
        <w:tc>
          <w:tcPr>
            <w:tcW w:w="240" w:type="dxa"/>
            <w:vAlign w:val="bottom"/>
          </w:tcPr>
          <w:p>
            <w:pPr>
              <w:ind w:left="60"/>
              <w:spacing w:after="0" w:line="190" w:lineRule="exact"/>
              <w:rPr>
                <w:sz w:val="20"/>
                <w:szCs w:val="20"/>
                <w:color w:val="auto"/>
              </w:rPr>
            </w:pPr>
            <w:r>
              <w:rPr>
                <w:rFonts w:ascii="Arial" w:cs="Arial" w:eastAsia="Arial" w:hAnsi="Arial"/>
                <w:sz w:val="18"/>
                <w:szCs w:val="18"/>
                <w:color w:val="FF0000"/>
                <w:strike w:val="1"/>
                <w:w w:val="79"/>
              </w:rPr>
              <w:t>70</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71</w:t>
            </w:r>
          </w:p>
        </w:tc>
        <w:tc>
          <w:tcPr>
            <w:tcW w:w="0" w:type="dxa"/>
            <w:vAlign w:val="bottom"/>
          </w:tcPr>
          <w:p>
            <w:pPr>
              <w:spacing w:after="0"/>
              <w:rPr>
                <w:sz w:val="1"/>
                <w:szCs w:val="1"/>
                <w:color w:val="auto"/>
              </w:rPr>
            </w:pPr>
          </w:p>
        </w:tc>
      </w:tr>
      <w:tr>
        <w:trPr>
          <w:trHeight w:val="34"/>
        </w:trPr>
        <w:tc>
          <w:tcPr>
            <w:tcW w:w="1054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2.14 Alternate Rate of Interest; Illegality</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71</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3"/>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6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4"/>
              </w:rPr>
              <w:t>SECTION 2.15</w:t>
            </w:r>
          </w:p>
        </w:tc>
        <w:tc>
          <w:tcPr>
            <w:tcW w:w="90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Increased Costs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73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60" w:type="dxa"/>
            <w:vAlign w:val="bottom"/>
            <w:gridSpan w:val="2"/>
            <w:vMerge w:val="continue"/>
          </w:tcPr>
          <w:p>
            <w:pPr>
              <w:spacing w:after="0"/>
              <w:rPr>
                <w:sz w:val="12"/>
                <w:szCs w:val="12"/>
                <w:color w:val="auto"/>
              </w:rPr>
            </w:pPr>
          </w:p>
        </w:tc>
        <w:tc>
          <w:tcPr>
            <w:tcW w:w="90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2.16 Break Funding Payments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74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3"/>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2.17 Withholding of Taxes; Gross-Up</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74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3"/>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3"/>
            <w:vMerge w:val="restart"/>
          </w:tcPr>
          <w:p>
            <w:pPr>
              <w:ind w:left="300"/>
              <w:spacing w:after="0"/>
              <w:rPr>
                <w:sz w:val="20"/>
                <w:szCs w:val="20"/>
                <w:color w:val="auto"/>
              </w:rPr>
            </w:pPr>
            <w:r>
              <w:rPr>
                <w:rFonts w:ascii="Arial" w:cs="Arial" w:eastAsia="Arial" w:hAnsi="Arial"/>
                <w:sz w:val="18"/>
                <w:szCs w:val="18"/>
                <w:color w:val="auto"/>
              </w:rPr>
              <w:t>SECTION 2.18 Payments Generally; Allocation of Proceeds; Sharing of Set-offs</w:t>
            </w:r>
          </w:p>
        </w:tc>
        <w:tc>
          <w:tcPr>
            <w:tcW w:w="26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0540" w:type="dxa"/>
            <w:vAlign w:val="bottom"/>
            <w:gridSpan w:val="3"/>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78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540" w:type="dxa"/>
            <w:vAlign w:val="bottom"/>
            <w:gridSpan w:val="3"/>
          </w:tcPr>
          <w:p>
            <w:pPr>
              <w:ind w:left="300"/>
              <w:spacing w:after="0" w:line="190" w:lineRule="exact"/>
              <w:rPr>
                <w:sz w:val="20"/>
                <w:szCs w:val="20"/>
                <w:color w:val="auto"/>
              </w:rPr>
            </w:pPr>
            <w:r>
              <w:rPr>
                <w:rFonts w:ascii="Arial" w:cs="Arial" w:eastAsia="Arial" w:hAnsi="Arial"/>
                <w:sz w:val="18"/>
                <w:szCs w:val="18"/>
                <w:color w:val="auto"/>
              </w:rPr>
              <w:t>SECTION 2.19 Mitigation Obligations; Replacement of Lenders</w:t>
            </w:r>
          </w:p>
        </w:tc>
        <w:tc>
          <w:tcPr>
            <w:tcW w:w="240" w:type="dxa"/>
            <w:vAlign w:val="bottom"/>
          </w:tcPr>
          <w:p>
            <w:pPr>
              <w:ind w:left="60"/>
              <w:spacing w:after="0" w:line="190" w:lineRule="exact"/>
              <w:rPr>
                <w:sz w:val="20"/>
                <w:szCs w:val="20"/>
                <w:color w:val="auto"/>
              </w:rPr>
            </w:pPr>
            <w:r>
              <w:rPr>
                <w:rFonts w:ascii="Arial" w:cs="Arial" w:eastAsia="Arial" w:hAnsi="Arial"/>
                <w:sz w:val="18"/>
                <w:szCs w:val="18"/>
                <w:color w:val="FF0000"/>
                <w:strike w:val="1"/>
                <w:w w:val="79"/>
              </w:rPr>
              <w:t>79</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80</w:t>
            </w:r>
          </w:p>
        </w:tc>
        <w:tc>
          <w:tcPr>
            <w:tcW w:w="0" w:type="dxa"/>
            <w:vAlign w:val="bottom"/>
          </w:tcPr>
          <w:p>
            <w:pPr>
              <w:spacing w:after="0"/>
              <w:rPr>
                <w:sz w:val="1"/>
                <w:szCs w:val="1"/>
                <w:color w:val="auto"/>
              </w:rPr>
            </w:pPr>
          </w:p>
        </w:tc>
      </w:tr>
      <w:tr>
        <w:trPr>
          <w:trHeight w:val="34"/>
        </w:trPr>
        <w:tc>
          <w:tcPr>
            <w:tcW w:w="146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4"/>
              </w:rPr>
              <w:t>SECTION 2.20</w:t>
            </w:r>
          </w:p>
        </w:tc>
        <w:tc>
          <w:tcPr>
            <w:tcW w:w="90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Defaulting Lenders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80</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60" w:type="dxa"/>
            <w:vAlign w:val="bottom"/>
            <w:gridSpan w:val="2"/>
            <w:vMerge w:val="continue"/>
          </w:tcPr>
          <w:p>
            <w:pPr>
              <w:spacing w:after="0"/>
              <w:rPr>
                <w:sz w:val="12"/>
                <w:szCs w:val="12"/>
                <w:color w:val="auto"/>
              </w:rPr>
            </w:pPr>
          </w:p>
        </w:tc>
        <w:tc>
          <w:tcPr>
            <w:tcW w:w="90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6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4"/>
              </w:rPr>
              <w:t>SECTION 2.21</w:t>
            </w:r>
          </w:p>
        </w:tc>
        <w:tc>
          <w:tcPr>
            <w:tcW w:w="90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Returned Payments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82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60" w:type="dxa"/>
            <w:vAlign w:val="bottom"/>
            <w:gridSpan w:val="2"/>
            <w:vMerge w:val="continue"/>
          </w:tcPr>
          <w:p>
            <w:pPr>
              <w:spacing w:after="0"/>
              <w:rPr>
                <w:sz w:val="12"/>
                <w:szCs w:val="12"/>
                <w:color w:val="auto"/>
              </w:rPr>
            </w:pPr>
          </w:p>
        </w:tc>
        <w:tc>
          <w:tcPr>
            <w:tcW w:w="90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2.22 Banking Services and Swap Agreements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82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3"/>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2.23 Excess Resulting From Exchange Rate Change</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82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3"/>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540" w:type="dxa"/>
            <w:vAlign w:val="bottom"/>
            <w:gridSpan w:val="3"/>
          </w:tcPr>
          <w:p>
            <w:pPr>
              <w:spacing w:after="0"/>
              <w:rPr>
                <w:sz w:val="20"/>
                <w:szCs w:val="20"/>
                <w:color w:val="auto"/>
              </w:rPr>
            </w:pPr>
            <w:r>
              <w:rPr>
                <w:rFonts w:ascii="Arial" w:cs="Arial" w:eastAsia="Arial" w:hAnsi="Arial"/>
                <w:sz w:val="18"/>
                <w:szCs w:val="18"/>
                <w:color w:val="auto"/>
              </w:rPr>
              <w:t>ARTICLE III.   REPRESENTATIONS AND WARRANTIES</w:t>
            </w:r>
          </w:p>
        </w:tc>
        <w:tc>
          <w:tcPr>
            <w:tcW w:w="240" w:type="dxa"/>
            <w:vAlign w:val="bottom"/>
          </w:tcPr>
          <w:p>
            <w:pPr>
              <w:ind w:left="60"/>
              <w:spacing w:after="0"/>
              <w:rPr>
                <w:sz w:val="20"/>
                <w:szCs w:val="20"/>
                <w:color w:val="auto"/>
              </w:rPr>
            </w:pPr>
            <w:r>
              <w:rPr>
                <w:rFonts w:ascii="Arial" w:cs="Arial" w:eastAsia="Arial" w:hAnsi="Arial"/>
                <w:sz w:val="18"/>
                <w:szCs w:val="18"/>
                <w:color w:val="FF0000"/>
                <w:strike w:val="1"/>
                <w:w w:val="79"/>
              </w:rPr>
              <w:t>83</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84</w:t>
            </w:r>
          </w:p>
        </w:tc>
        <w:tc>
          <w:tcPr>
            <w:tcW w:w="0" w:type="dxa"/>
            <w:vAlign w:val="bottom"/>
          </w:tcPr>
          <w:p>
            <w:pPr>
              <w:spacing w:after="0"/>
              <w:rPr>
                <w:sz w:val="1"/>
                <w:szCs w:val="1"/>
                <w:color w:val="auto"/>
              </w:rPr>
            </w:pPr>
          </w:p>
        </w:tc>
      </w:tr>
      <w:tr>
        <w:trPr>
          <w:trHeight w:val="34"/>
        </w:trPr>
        <w:tc>
          <w:tcPr>
            <w:tcW w:w="146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4"/>
              </w:rPr>
              <w:t>SECTION 3.01</w:t>
            </w:r>
          </w:p>
        </w:tc>
        <w:tc>
          <w:tcPr>
            <w:tcW w:w="90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Organization; Powers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83</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60" w:type="dxa"/>
            <w:vAlign w:val="bottom"/>
            <w:gridSpan w:val="2"/>
            <w:vMerge w:val="continue"/>
          </w:tcPr>
          <w:p>
            <w:pPr>
              <w:spacing w:after="0"/>
              <w:rPr>
                <w:sz w:val="12"/>
                <w:szCs w:val="12"/>
                <w:color w:val="auto"/>
              </w:rPr>
            </w:pPr>
          </w:p>
        </w:tc>
        <w:tc>
          <w:tcPr>
            <w:tcW w:w="90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6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4"/>
              </w:rPr>
              <w:t>SECTION 3.02</w:t>
            </w:r>
          </w:p>
        </w:tc>
        <w:tc>
          <w:tcPr>
            <w:tcW w:w="90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Authorization; Enforceability</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83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60" w:type="dxa"/>
            <w:vAlign w:val="bottom"/>
            <w:gridSpan w:val="2"/>
            <w:vMerge w:val="continue"/>
          </w:tcPr>
          <w:p>
            <w:pPr>
              <w:spacing w:after="0"/>
              <w:rPr>
                <w:sz w:val="12"/>
                <w:szCs w:val="12"/>
                <w:color w:val="auto"/>
              </w:rPr>
            </w:pPr>
          </w:p>
        </w:tc>
        <w:tc>
          <w:tcPr>
            <w:tcW w:w="90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3.03 Governmental Approvals; No Conflicts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83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3"/>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3.04 Financial Condition; No Material Adverse Effect</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84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3"/>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6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4"/>
              </w:rPr>
              <w:t>SECTION 3.05</w:t>
            </w:r>
          </w:p>
        </w:tc>
        <w:tc>
          <w:tcPr>
            <w:tcW w:w="90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Properties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84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60" w:type="dxa"/>
            <w:vAlign w:val="bottom"/>
            <w:gridSpan w:val="2"/>
            <w:vMerge w:val="continue"/>
          </w:tcPr>
          <w:p>
            <w:pPr>
              <w:spacing w:after="0"/>
              <w:rPr>
                <w:sz w:val="12"/>
                <w:szCs w:val="12"/>
                <w:color w:val="auto"/>
              </w:rPr>
            </w:pPr>
          </w:p>
        </w:tc>
        <w:tc>
          <w:tcPr>
            <w:tcW w:w="90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3.06 Litigation and Environmental Matters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84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3"/>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3.07 Compliance with Laws and Agreements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84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3"/>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3.08 Investment Company Status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85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3"/>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6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4"/>
              </w:rPr>
              <w:t>SECTION 3.09</w:t>
            </w:r>
          </w:p>
        </w:tc>
        <w:tc>
          <w:tcPr>
            <w:tcW w:w="90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Taxes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85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60" w:type="dxa"/>
            <w:vAlign w:val="bottom"/>
            <w:gridSpan w:val="2"/>
            <w:vMerge w:val="continue"/>
          </w:tcPr>
          <w:p>
            <w:pPr>
              <w:spacing w:after="0"/>
              <w:rPr>
                <w:sz w:val="12"/>
                <w:szCs w:val="12"/>
                <w:color w:val="auto"/>
              </w:rPr>
            </w:pPr>
          </w:p>
        </w:tc>
        <w:tc>
          <w:tcPr>
            <w:tcW w:w="90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3.10 ERISA; Canadian Pension Plans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85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3"/>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6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4"/>
              </w:rPr>
              <w:t>SECTION 3.11</w:t>
            </w:r>
          </w:p>
        </w:tc>
        <w:tc>
          <w:tcPr>
            <w:tcW w:w="90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Disclosure</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85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60" w:type="dxa"/>
            <w:vAlign w:val="bottom"/>
            <w:gridSpan w:val="2"/>
            <w:vMerge w:val="continue"/>
          </w:tcPr>
          <w:p>
            <w:pPr>
              <w:spacing w:after="0"/>
              <w:rPr>
                <w:sz w:val="12"/>
                <w:szCs w:val="12"/>
                <w:color w:val="auto"/>
              </w:rPr>
            </w:pPr>
          </w:p>
        </w:tc>
        <w:tc>
          <w:tcPr>
            <w:tcW w:w="90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6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4"/>
              </w:rPr>
              <w:t>SECTION 3.12</w:t>
            </w:r>
          </w:p>
        </w:tc>
        <w:tc>
          <w:tcPr>
            <w:tcW w:w="90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[Reserved]</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86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60" w:type="dxa"/>
            <w:vAlign w:val="bottom"/>
            <w:gridSpan w:val="2"/>
            <w:vMerge w:val="continue"/>
          </w:tcPr>
          <w:p>
            <w:pPr>
              <w:spacing w:after="0"/>
              <w:rPr>
                <w:sz w:val="12"/>
                <w:szCs w:val="12"/>
                <w:color w:val="auto"/>
              </w:rPr>
            </w:pPr>
          </w:p>
        </w:tc>
        <w:tc>
          <w:tcPr>
            <w:tcW w:w="90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6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4"/>
              </w:rPr>
              <w:t>SECTION 3.13</w:t>
            </w:r>
          </w:p>
        </w:tc>
        <w:tc>
          <w:tcPr>
            <w:tcW w:w="90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Solvency</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86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60" w:type="dxa"/>
            <w:vAlign w:val="bottom"/>
            <w:gridSpan w:val="2"/>
            <w:vMerge w:val="continue"/>
          </w:tcPr>
          <w:p>
            <w:pPr>
              <w:spacing w:after="0"/>
              <w:rPr>
                <w:sz w:val="12"/>
                <w:szCs w:val="12"/>
                <w:color w:val="auto"/>
              </w:rPr>
            </w:pPr>
          </w:p>
        </w:tc>
        <w:tc>
          <w:tcPr>
            <w:tcW w:w="90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6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4"/>
              </w:rPr>
              <w:t>SECTION 3.14</w:t>
            </w:r>
          </w:p>
        </w:tc>
        <w:tc>
          <w:tcPr>
            <w:tcW w:w="90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Insurance</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86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60" w:type="dxa"/>
            <w:vAlign w:val="bottom"/>
            <w:gridSpan w:val="2"/>
            <w:vMerge w:val="continue"/>
          </w:tcPr>
          <w:p>
            <w:pPr>
              <w:spacing w:after="0"/>
              <w:rPr>
                <w:sz w:val="12"/>
                <w:szCs w:val="12"/>
                <w:color w:val="auto"/>
              </w:rPr>
            </w:pPr>
          </w:p>
        </w:tc>
        <w:tc>
          <w:tcPr>
            <w:tcW w:w="90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3.15 Capitalization and Subsidiaries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87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3"/>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3.16 Security Interest in Collateral</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87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3"/>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ind w:left="300"/>
              <w:spacing w:after="0"/>
              <w:rPr>
                <w:sz w:val="20"/>
                <w:szCs w:val="20"/>
                <w:color w:val="auto"/>
              </w:rPr>
            </w:pPr>
            <w:r>
              <w:rPr>
                <w:rFonts w:ascii="Arial" w:cs="Arial" w:eastAsia="Arial" w:hAnsi="Arial"/>
                <w:sz w:val="18"/>
                <w:szCs w:val="18"/>
                <w:color w:val="auto"/>
                <w:w w:val="96"/>
              </w:rPr>
              <w:t>SECTION 3.17</w:t>
            </w:r>
          </w:p>
        </w:tc>
        <w:tc>
          <w:tcPr>
            <w:tcW w:w="8920" w:type="dxa"/>
            <w:vAlign w:val="bottom"/>
          </w:tcPr>
          <w:p>
            <w:pPr>
              <w:ind w:left="60"/>
              <w:spacing w:after="0"/>
              <w:rPr>
                <w:sz w:val="20"/>
                <w:szCs w:val="20"/>
                <w:color w:val="auto"/>
              </w:rPr>
            </w:pPr>
            <w:r>
              <w:rPr>
                <w:rFonts w:ascii="Arial" w:cs="Arial" w:eastAsia="Arial" w:hAnsi="Arial"/>
                <w:sz w:val="18"/>
                <w:szCs w:val="18"/>
                <w:color w:val="auto"/>
              </w:rPr>
              <w:t>Employment Matters</w:t>
            </w:r>
          </w:p>
        </w:tc>
        <w:tc>
          <w:tcPr>
            <w:tcW w:w="180" w:type="dxa"/>
            <w:vAlign w:val="bottom"/>
          </w:tcPr>
          <w:p>
            <w:pPr>
              <w:spacing w:after="0"/>
              <w:rPr>
                <w:sz w:val="17"/>
                <w:szCs w:val="17"/>
                <w:color w:val="auto"/>
              </w:rPr>
            </w:pPr>
          </w:p>
        </w:tc>
        <w:tc>
          <w:tcPr>
            <w:tcW w:w="180" w:type="dxa"/>
            <w:vAlign w:val="bottom"/>
            <w:gridSpan w:val="4"/>
          </w:tcPr>
          <w:p>
            <w:pPr>
              <w:jc w:val="right"/>
              <w:spacing w:after="0"/>
              <w:rPr>
                <w:sz w:val="20"/>
                <w:szCs w:val="20"/>
                <w:color w:val="auto"/>
              </w:rPr>
            </w:pPr>
            <w:r>
              <w:rPr>
                <w:rFonts w:ascii="Arial" w:cs="Arial" w:eastAsia="Arial" w:hAnsi="Arial"/>
                <w:sz w:val="18"/>
                <w:szCs w:val="18"/>
                <w:color w:val="FF0000"/>
                <w:strike w:val="1"/>
                <w:w w:val="79"/>
              </w:rPr>
              <w:t>87</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88</w:t>
            </w: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6"/>
              </w:rPr>
              <w:t>SECTION 3.18</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[Reserved]</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87</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6"/>
              </w:rPr>
              <w:t>SECTION 3.19</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Other Indebtedness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3.20 Anti-Corruption Laws and Sanctions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3.21 Affected Financial Institutions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3.22 Plan Assets; Prohibited Transactions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6"/>
              </w:rPr>
              <w:t>SECTION 3.23</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Margin Regulations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ARTICLE IV.</w:t>
            </w:r>
          </w:p>
        </w:tc>
        <w:tc>
          <w:tcPr>
            <w:tcW w:w="9240" w:type="dxa"/>
            <w:vAlign w:val="bottom"/>
            <w:gridSpan w:val="2"/>
          </w:tcPr>
          <w:p>
            <w:pPr>
              <w:ind w:left="60"/>
              <w:spacing w:after="0"/>
              <w:rPr>
                <w:sz w:val="20"/>
                <w:szCs w:val="20"/>
                <w:color w:val="auto"/>
              </w:rPr>
            </w:pPr>
            <w:r>
              <w:rPr>
                <w:rFonts w:ascii="Arial" w:cs="Arial" w:eastAsia="Arial" w:hAnsi="Arial"/>
                <w:sz w:val="18"/>
                <w:szCs w:val="18"/>
                <w:color w:val="auto"/>
              </w:rPr>
              <w:t>CONDITIONS</w:t>
            </w:r>
          </w:p>
        </w:tc>
        <w:tc>
          <w:tcPr>
            <w:tcW w:w="180" w:type="dxa"/>
            <w:vAlign w:val="bottom"/>
          </w:tcPr>
          <w:p>
            <w:pPr>
              <w:spacing w:after="0"/>
              <w:rPr>
                <w:sz w:val="21"/>
                <w:szCs w:val="21"/>
                <w:color w:val="auto"/>
              </w:rPr>
            </w:pPr>
          </w:p>
        </w:tc>
        <w:tc>
          <w:tcPr>
            <w:tcW w:w="180" w:type="dxa"/>
            <w:vAlign w:val="bottom"/>
            <w:gridSpan w:val="4"/>
          </w:tcPr>
          <w:p>
            <w:pPr>
              <w:jc w:val="right"/>
              <w:spacing w:after="0"/>
              <w:rPr>
                <w:sz w:val="20"/>
                <w:szCs w:val="20"/>
                <w:color w:val="auto"/>
              </w:rPr>
            </w:pPr>
            <w:r>
              <w:rPr>
                <w:rFonts w:ascii="Arial" w:cs="Arial" w:eastAsia="Arial" w:hAnsi="Arial"/>
                <w:sz w:val="18"/>
                <w:szCs w:val="18"/>
                <w:color w:val="FF0000"/>
                <w:strike w:val="1"/>
                <w:w w:val="79"/>
              </w:rPr>
              <w:t>88</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89</w:t>
            </w: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4.01 Fourth Restatement Date</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88</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4.02 Each Credit Event</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ARTICLE V.</w:t>
            </w:r>
          </w:p>
        </w:tc>
        <w:tc>
          <w:tcPr>
            <w:tcW w:w="9240" w:type="dxa"/>
            <w:vAlign w:val="bottom"/>
            <w:gridSpan w:val="2"/>
          </w:tcPr>
          <w:p>
            <w:pPr>
              <w:spacing w:after="0"/>
              <w:rPr>
                <w:sz w:val="20"/>
                <w:szCs w:val="20"/>
                <w:color w:val="auto"/>
              </w:rPr>
            </w:pPr>
            <w:r>
              <w:rPr>
                <w:rFonts w:ascii="Arial" w:cs="Arial" w:eastAsia="Arial" w:hAnsi="Arial"/>
                <w:sz w:val="18"/>
                <w:szCs w:val="18"/>
                <w:color w:val="auto"/>
              </w:rPr>
              <w:t>AFFIRMATIVE COVENANTS</w:t>
            </w:r>
          </w:p>
        </w:tc>
        <w:tc>
          <w:tcPr>
            <w:tcW w:w="180" w:type="dxa"/>
            <w:vAlign w:val="bottom"/>
          </w:tcPr>
          <w:p>
            <w:pPr>
              <w:spacing w:after="0"/>
              <w:rPr>
                <w:sz w:val="21"/>
                <w:szCs w:val="21"/>
                <w:color w:val="auto"/>
              </w:rPr>
            </w:pPr>
          </w:p>
        </w:tc>
        <w:tc>
          <w:tcPr>
            <w:tcW w:w="180" w:type="dxa"/>
            <w:vAlign w:val="bottom"/>
            <w:gridSpan w:val="4"/>
          </w:tcPr>
          <w:p>
            <w:pPr>
              <w:jc w:val="right"/>
              <w:spacing w:after="0"/>
              <w:rPr>
                <w:sz w:val="20"/>
                <w:szCs w:val="20"/>
                <w:color w:val="auto"/>
              </w:rPr>
            </w:pPr>
            <w:r>
              <w:rPr>
                <w:rFonts w:ascii="Arial" w:cs="Arial" w:eastAsia="Arial" w:hAnsi="Arial"/>
                <w:sz w:val="18"/>
                <w:szCs w:val="18"/>
                <w:color w:val="FF0000"/>
                <w:strike w:val="1"/>
                <w:w w:val="79"/>
              </w:rPr>
              <w:t>91</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93</w:t>
            </w: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5.01 Financial Statements; Canadian Borrowing Base; U.S. Borrowing Base and Other Information</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91</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5.02 Notices of Material Events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5.03 Existence; Conduct of Business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5.04 Payment of Obligations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5.05 Maintenance of Properties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5.06 Books and Records; Inspection Rights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5.07 Compliance with Laws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6"/>
              </w:rPr>
              <w:t>SECTION 5.08</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Use of Proceeds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6"/>
              </w:rPr>
              <w:t>SECTION 5.09</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Insurance</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5.10 Casualty and Condemnation</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20"/>
              <w:spacing w:after="0" w:line="196" w:lineRule="exact"/>
              <w:rPr>
                <w:sz w:val="20"/>
                <w:szCs w:val="20"/>
                <w:color w:val="auto"/>
              </w:rPr>
            </w:pPr>
            <w:r>
              <w:rPr>
                <w:rFonts w:ascii="Arial" w:cs="Arial" w:eastAsia="Arial" w:hAnsi="Arial"/>
                <w:sz w:val="18"/>
                <w:szCs w:val="18"/>
                <w:color w:val="auto"/>
              </w:rPr>
              <w:t>SECTION 5.11 Appraisals; Field Examinations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5.12 Depository Banks; Control Agreements</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280" w:type="dxa"/>
            <w:vAlign w:val="bottom"/>
            <w:gridSpan w:val="2"/>
          </w:tcPr>
          <w:p>
            <w:pPr>
              <w:jc w:val="right"/>
              <w:spacing w:after="0" w:line="142" w:lineRule="exact"/>
              <w:rPr>
                <w:sz w:val="20"/>
                <w:szCs w:val="20"/>
                <w:color w:val="auto"/>
              </w:rPr>
            </w:pPr>
            <w:r>
              <w:rPr>
                <w:rFonts w:ascii="Arial" w:cs="Arial" w:eastAsia="Arial" w:hAnsi="Arial"/>
                <w:sz w:val="16"/>
                <w:szCs w:val="16"/>
                <w:color w:val="FF0000"/>
                <w:strike w:val="1"/>
              </w:rPr>
              <w:t>98</w:t>
            </w: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5.13 Additional Collateral; Further Assurances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99</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5.14 Covenants Regarding Accounts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6"/>
              </w:rPr>
              <w:t>SECTION 5.15</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Post-Closing Covenants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ARTICLE VI.</w:t>
            </w:r>
          </w:p>
        </w:tc>
        <w:tc>
          <w:tcPr>
            <w:tcW w:w="9240" w:type="dxa"/>
            <w:vAlign w:val="bottom"/>
            <w:gridSpan w:val="2"/>
          </w:tcPr>
          <w:p>
            <w:pPr>
              <w:ind w:left="80"/>
              <w:spacing w:after="0"/>
              <w:rPr>
                <w:sz w:val="20"/>
                <w:szCs w:val="20"/>
                <w:color w:val="auto"/>
              </w:rPr>
            </w:pPr>
            <w:r>
              <w:rPr>
                <w:rFonts w:ascii="Arial" w:cs="Arial" w:eastAsia="Arial" w:hAnsi="Arial"/>
                <w:sz w:val="18"/>
                <w:szCs w:val="18"/>
                <w:color w:val="auto"/>
              </w:rPr>
              <w:t>NEGATIVE COVENANTS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101</w:t>
            </w:r>
          </w:p>
        </w:tc>
        <w:tc>
          <w:tcPr>
            <w:tcW w:w="280" w:type="dxa"/>
            <w:vAlign w:val="bottom"/>
            <w:gridSpan w:val="6"/>
          </w:tcPr>
          <w:p>
            <w:pPr>
              <w:jc w:val="right"/>
              <w:ind w:right="20"/>
              <w:spacing w:after="0"/>
              <w:rPr>
                <w:sz w:val="20"/>
                <w:szCs w:val="20"/>
                <w:color w:val="auto"/>
              </w:rPr>
            </w:pPr>
            <w:r>
              <w:rPr>
                <w:rFonts w:ascii="Arial" w:cs="Arial" w:eastAsia="Arial" w:hAnsi="Arial"/>
                <w:sz w:val="18"/>
                <w:szCs w:val="18"/>
                <w:color w:val="0000FF"/>
                <w:w w:val="79"/>
              </w:rPr>
              <w:t>103</w:t>
            </w: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6"/>
              </w:rPr>
              <w:t>SECTION 6.01</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Indebtedness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101</w:t>
            </w: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6"/>
              </w:rPr>
              <w:t>SECTION 6.02</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Liens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105</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6"/>
              </w:rPr>
              <w:t>SECTION 6.03</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Fundamental Changes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107</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6.04 Investments, Loans, Advances, Guarantees and Acquisitions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2"/>
              </w:rPr>
              <w:t>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6"/>
              </w:rPr>
              <w:t>SECTION 6.05</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Asset Sales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110</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74"/>
              </w:rPr>
              <w:t>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6.06 Sale and Leaseback Transactions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111</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74"/>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6"/>
              </w:rPr>
              <w:t>SECTION 6.07</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Swap Agreements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112</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74"/>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6.08 Restricted Payments; Certain Payments of Indebtedness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112</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74"/>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6.09 Transactions with Affiliates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113</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74"/>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6"/>
              </w:rPr>
              <w:t>SECTION 6.10</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Restrictive Agreements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114</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74"/>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20"/>
              <w:spacing w:after="0" w:line="196" w:lineRule="exact"/>
              <w:rPr>
                <w:sz w:val="20"/>
                <w:szCs w:val="20"/>
                <w:color w:val="auto"/>
              </w:rPr>
            </w:pPr>
            <w:r>
              <w:rPr>
                <w:rFonts w:ascii="Arial" w:cs="Arial" w:eastAsia="Arial" w:hAnsi="Arial"/>
                <w:sz w:val="18"/>
                <w:szCs w:val="18"/>
                <w:color w:val="auto"/>
              </w:rPr>
              <w:t>SECTION 6.11 Amendment of Material Documents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114</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74"/>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6.12 Fixed Charge Coverage Ratio</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115</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74"/>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6.13 Designation of Subsidiaries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115</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74"/>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6.14 Canadian Defined Benefit Plans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115</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74"/>
              </w:rPr>
              <w:t>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ARTICLE VII.</w:t>
            </w: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rPr>
              <w:t>EVENTS OF DEFAULT</w:t>
            </w:r>
          </w:p>
        </w:tc>
        <w:tc>
          <w:tcPr>
            <w:tcW w:w="300" w:type="dxa"/>
            <w:vAlign w:val="bottom"/>
            <w:gridSpan w:val="3"/>
          </w:tcPr>
          <w:p>
            <w:pPr>
              <w:jc w:val="right"/>
              <w:spacing w:after="0"/>
              <w:rPr>
                <w:sz w:val="20"/>
                <w:szCs w:val="20"/>
                <w:color w:val="auto"/>
              </w:rPr>
            </w:pPr>
            <w:r>
              <w:rPr>
                <w:rFonts w:ascii="Arial" w:cs="Arial" w:eastAsia="Arial" w:hAnsi="Arial"/>
                <w:sz w:val="18"/>
                <w:szCs w:val="18"/>
                <w:color w:val="FF0000"/>
                <w:strike w:val="1"/>
                <w:w w:val="86"/>
              </w:rPr>
              <w:t>116</w:t>
            </w:r>
          </w:p>
        </w:tc>
        <w:tc>
          <w:tcPr>
            <w:tcW w:w="260" w:type="dxa"/>
            <w:vAlign w:val="bottom"/>
            <w:gridSpan w:val="5"/>
          </w:tcPr>
          <w:p>
            <w:pPr>
              <w:jc w:val="right"/>
              <w:ind w:right="20"/>
              <w:spacing w:after="0"/>
              <w:rPr>
                <w:sz w:val="20"/>
                <w:szCs w:val="20"/>
                <w:color w:val="auto"/>
              </w:rPr>
            </w:pPr>
            <w:r>
              <w:rPr>
                <w:rFonts w:ascii="Arial" w:cs="Arial" w:eastAsia="Arial" w:hAnsi="Arial"/>
                <w:sz w:val="18"/>
                <w:szCs w:val="18"/>
                <w:color w:val="0000FF"/>
                <w:w w:val="73"/>
              </w:rPr>
              <w:t>117</w:t>
            </w: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ARTICLE VIII.</w:t>
            </w:r>
          </w:p>
        </w:tc>
        <w:tc>
          <w:tcPr>
            <w:tcW w:w="9240" w:type="dxa"/>
            <w:vAlign w:val="bottom"/>
            <w:gridSpan w:val="2"/>
          </w:tcPr>
          <w:p>
            <w:pPr>
              <w:ind w:left="200"/>
              <w:spacing w:after="0"/>
              <w:rPr>
                <w:sz w:val="20"/>
                <w:szCs w:val="20"/>
                <w:color w:val="auto"/>
              </w:rPr>
            </w:pPr>
            <w:r>
              <w:rPr>
                <w:rFonts w:ascii="Arial" w:cs="Arial" w:eastAsia="Arial" w:hAnsi="Arial"/>
                <w:sz w:val="18"/>
                <w:szCs w:val="18"/>
                <w:color w:val="auto"/>
              </w:rPr>
              <w:t>THE ADMINISTRATIVE AGENT</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118</w:t>
            </w:r>
          </w:p>
        </w:tc>
        <w:tc>
          <w:tcPr>
            <w:tcW w:w="280" w:type="dxa"/>
            <w:vAlign w:val="bottom"/>
            <w:gridSpan w:val="6"/>
          </w:tcPr>
          <w:p>
            <w:pPr>
              <w:jc w:val="right"/>
              <w:ind w:right="20"/>
              <w:spacing w:after="0"/>
              <w:rPr>
                <w:sz w:val="20"/>
                <w:szCs w:val="20"/>
                <w:color w:val="auto"/>
              </w:rPr>
            </w:pPr>
            <w:r>
              <w:rPr>
                <w:rFonts w:ascii="Arial" w:cs="Arial" w:eastAsia="Arial" w:hAnsi="Arial"/>
                <w:sz w:val="18"/>
                <w:szCs w:val="18"/>
                <w:color w:val="0000FF"/>
                <w:w w:val="79"/>
              </w:rPr>
              <w:t>120</w:t>
            </w: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ARTICLE IX.</w:t>
            </w:r>
          </w:p>
        </w:tc>
        <w:tc>
          <w:tcPr>
            <w:tcW w:w="9240" w:type="dxa"/>
            <w:vAlign w:val="bottom"/>
            <w:gridSpan w:val="2"/>
          </w:tcPr>
          <w:p>
            <w:pPr>
              <w:ind w:left="80"/>
              <w:spacing w:after="0"/>
              <w:rPr>
                <w:sz w:val="20"/>
                <w:szCs w:val="20"/>
                <w:color w:val="auto"/>
              </w:rPr>
            </w:pPr>
            <w:r>
              <w:rPr>
                <w:rFonts w:ascii="Arial" w:cs="Arial" w:eastAsia="Arial" w:hAnsi="Arial"/>
                <w:sz w:val="18"/>
                <w:szCs w:val="18"/>
                <w:color w:val="auto"/>
              </w:rPr>
              <w:t>MISCELLANEOUS</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123</w:t>
            </w:r>
          </w:p>
        </w:tc>
        <w:tc>
          <w:tcPr>
            <w:tcW w:w="280" w:type="dxa"/>
            <w:vAlign w:val="bottom"/>
            <w:gridSpan w:val="6"/>
          </w:tcPr>
          <w:p>
            <w:pPr>
              <w:jc w:val="right"/>
              <w:ind w:right="20"/>
              <w:spacing w:after="0"/>
              <w:rPr>
                <w:sz w:val="20"/>
                <w:szCs w:val="20"/>
                <w:color w:val="auto"/>
              </w:rPr>
            </w:pPr>
            <w:r>
              <w:rPr>
                <w:rFonts w:ascii="Arial" w:cs="Arial" w:eastAsia="Arial" w:hAnsi="Arial"/>
                <w:sz w:val="18"/>
                <w:szCs w:val="18"/>
                <w:color w:val="0000FF"/>
                <w:w w:val="79"/>
              </w:rPr>
              <w:t>125</w:t>
            </w: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6"/>
              </w:rPr>
              <w:t>SECTION 9.01</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Notices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123</w:t>
            </w: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6"/>
              </w:rPr>
              <w:t>SECTION 9.02</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Waivers; Amendments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125</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9.03 Expenses; Indemnity; Damage Waiver</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127</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9.04 Successors and Assigns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129</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6"/>
              </w:rPr>
              <w:t>SECTION 9.05</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Survival</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SECTION 9.06 Counterparts; Integration; Effectiveness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3"/>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ind w:left="300"/>
              <w:spacing w:after="0" w:line="196" w:lineRule="exact"/>
              <w:rPr>
                <w:sz w:val="20"/>
                <w:szCs w:val="20"/>
                <w:color w:val="auto"/>
              </w:rPr>
            </w:pPr>
            <w:r>
              <w:rPr>
                <w:rFonts w:ascii="Arial" w:cs="Arial" w:eastAsia="Arial" w:hAnsi="Arial"/>
                <w:sz w:val="18"/>
                <w:szCs w:val="18"/>
                <w:color w:val="auto"/>
                <w:w w:val="96"/>
              </w:rPr>
              <w:t>SECTION 9.07</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Severability</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40"/>
          </w:cols>
          <w:pgMar w:left="440" w:top="257" w:right="5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jc w:val="right"/>
              <w:spacing w:after="0"/>
              <w:rPr>
                <w:sz w:val="20"/>
                <w:szCs w:val="20"/>
                <w:color w:val="auto"/>
              </w:rPr>
            </w:pPr>
            <w:r>
              <w:rPr>
                <w:rFonts w:ascii="Arial" w:cs="Arial" w:eastAsia="Arial" w:hAnsi="Arial"/>
                <w:sz w:val="18"/>
                <w:szCs w:val="18"/>
                <w:color w:val="auto"/>
              </w:rPr>
              <w:t>SECTION 9.08</w:t>
            </w:r>
          </w:p>
        </w:tc>
        <w:tc>
          <w:tcPr>
            <w:tcW w:w="8920" w:type="dxa"/>
            <w:vAlign w:val="bottom"/>
          </w:tcPr>
          <w:p>
            <w:pPr>
              <w:ind w:left="60"/>
              <w:spacing w:after="0"/>
              <w:rPr>
                <w:sz w:val="20"/>
                <w:szCs w:val="20"/>
                <w:color w:val="auto"/>
              </w:rPr>
            </w:pPr>
            <w:r>
              <w:rPr>
                <w:rFonts w:ascii="Arial" w:cs="Arial" w:eastAsia="Arial" w:hAnsi="Arial"/>
                <w:sz w:val="18"/>
                <w:szCs w:val="18"/>
                <w:color w:val="auto"/>
              </w:rPr>
              <w:t>Right of Setoff</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132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134</w:t>
            </w: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9.09</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Governing Law; Jurisdiction; Consent to Service of Process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132</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9.10</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WAIVER OF JURY TRIAL</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9.11</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Headings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9.12</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Confidentiality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9.13</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Several Obligations; Nonreliance; Violation of Law</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9.14</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USA PATRIOT Act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9.15</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Disclosure</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9.16</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Appointment for Perfection</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9.17</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Interest Rate Limitation</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9.18</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Judgment Currency Conversion</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9.19</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Canadian Anti-Money Laundering Legislation</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9.20</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Lender Loss Sharing Agreement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9.21</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Restatement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9.22</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Permitted Term Debt Intercreditor Agreement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9.23</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No Advisory or Fiduciary Responsibility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9.24</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Certain ERISA Matters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9.25</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Acknowledgement and Consent to Bail-In of Affected Financial Institutions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9.26</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Acknowledgement Regarding Any Supported QFCs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ARTICLE X.</w:t>
            </w:r>
          </w:p>
        </w:tc>
        <w:tc>
          <w:tcPr>
            <w:tcW w:w="9260" w:type="dxa"/>
            <w:vAlign w:val="bottom"/>
            <w:gridSpan w:val="2"/>
          </w:tcPr>
          <w:p>
            <w:pPr>
              <w:ind w:left="4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141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142</w:t>
            </w:r>
          </w:p>
        </w:tc>
        <w:tc>
          <w:tcPr>
            <w:tcW w:w="0" w:type="dxa"/>
            <w:vAlign w:val="bottom"/>
          </w:tcPr>
          <w:p>
            <w:pPr>
              <w:spacing w:after="0"/>
              <w:rPr>
                <w:sz w:val="1"/>
                <w:szCs w:val="1"/>
                <w:color w:val="auto"/>
              </w:rPr>
            </w:pPr>
          </w:p>
        </w:tc>
      </w:tr>
      <w:tr>
        <w:trPr>
          <w:trHeight w:val="34"/>
        </w:trPr>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ARTICLE XI.</w:t>
            </w:r>
          </w:p>
        </w:tc>
        <w:tc>
          <w:tcPr>
            <w:tcW w:w="9260" w:type="dxa"/>
            <w:vAlign w:val="bottom"/>
            <w:gridSpan w:val="2"/>
          </w:tcPr>
          <w:p>
            <w:pPr>
              <w:ind w:left="100"/>
              <w:spacing w:after="0"/>
              <w:rPr>
                <w:sz w:val="20"/>
                <w:szCs w:val="20"/>
                <w:color w:val="auto"/>
              </w:rPr>
            </w:pPr>
            <w:r>
              <w:rPr>
                <w:rFonts w:ascii="Arial" w:cs="Arial" w:eastAsia="Arial" w:hAnsi="Arial"/>
                <w:sz w:val="18"/>
                <w:szCs w:val="18"/>
                <w:color w:val="auto"/>
              </w:rPr>
              <w:t>THE BORROWER REPRESENTATIVE</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141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142</w:t>
            </w: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11.01</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Appointment; Nature of Relationship</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141</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11.02</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Powers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11.03</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Employment of Agents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11.04</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Notices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11.05</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Successor Borrower Representative</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11.06</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Execution of Loan Documents; Borrowing Base Certificate</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11.07</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Reporting</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ARTICLE XII.</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LIMITATIONS ON OBLIGATIONS OF CANADIAN LOAN PARTIES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142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143</w:t>
            </w:r>
          </w:p>
        </w:tc>
        <w:tc>
          <w:tcPr>
            <w:tcW w:w="0" w:type="dxa"/>
            <w:vAlign w:val="bottom"/>
          </w:tcPr>
          <w:p>
            <w:pPr>
              <w:spacing w:after="0"/>
              <w:rPr>
                <w:sz w:val="1"/>
                <w:szCs w:val="1"/>
                <w:color w:val="auto"/>
              </w:rPr>
            </w:pPr>
          </w:p>
        </w:tc>
      </w:tr>
      <w:tr>
        <w:trPr>
          <w:trHeight w:val="34"/>
        </w:trPr>
        <w:tc>
          <w:tcPr>
            <w:tcW w:w="14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SECTION 12.01</w:t>
            </w:r>
          </w:p>
        </w:tc>
        <w:tc>
          <w:tcPr>
            <w:tcW w:w="892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Limitations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142</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40"/>
          </w:cols>
          <w:pgMar w:left="440" w:top="257" w:right="51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Revolving Commitment Schedule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 Party Schedule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2.06</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  Existing Letters of Credit</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3.05</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  Owned and Leased Properties</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3.06</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9280" w:type="dxa"/>
            <w:vAlign w:val="bottom"/>
          </w:tcPr>
          <w:p>
            <w:pPr>
              <w:ind w:left="60"/>
              <w:spacing w:after="0"/>
              <w:rPr>
                <w:sz w:val="20"/>
                <w:szCs w:val="20"/>
                <w:color w:val="auto"/>
              </w:rPr>
            </w:pPr>
            <w:r>
              <w:rPr>
                <w:rFonts w:ascii="Arial" w:cs="Arial" w:eastAsia="Arial" w:hAnsi="Arial"/>
                <w:sz w:val="18"/>
                <w:szCs w:val="18"/>
                <w:color w:val="auto"/>
              </w:rPr>
              <w:t>Disclosed Matters</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3.10</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9280" w:type="dxa"/>
            <w:vAlign w:val="bottom"/>
          </w:tcPr>
          <w:p>
            <w:pPr>
              <w:ind w:left="60"/>
              <w:spacing w:after="0"/>
              <w:rPr>
                <w:sz w:val="20"/>
                <w:szCs w:val="20"/>
                <w:color w:val="auto"/>
              </w:rPr>
            </w:pPr>
            <w:r>
              <w:rPr>
                <w:rFonts w:ascii="Arial" w:cs="Arial" w:eastAsia="Arial" w:hAnsi="Arial"/>
                <w:sz w:val="18"/>
                <w:szCs w:val="18"/>
                <w:color w:val="auto"/>
              </w:rPr>
              <w:t>Canadian Pension Plans</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3.14</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9280" w:type="dxa"/>
            <w:vAlign w:val="bottom"/>
          </w:tcPr>
          <w:p>
            <w:pPr>
              <w:ind w:left="60"/>
              <w:spacing w:after="0"/>
              <w:rPr>
                <w:sz w:val="20"/>
                <w:szCs w:val="20"/>
                <w:color w:val="auto"/>
              </w:rPr>
            </w:pPr>
            <w:r>
              <w:rPr>
                <w:rFonts w:ascii="Arial" w:cs="Arial" w:eastAsia="Arial" w:hAnsi="Arial"/>
                <w:sz w:val="18"/>
                <w:szCs w:val="18"/>
                <w:color w:val="auto"/>
              </w:rPr>
              <w:t>Insurance</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3.15</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9280" w:type="dxa"/>
            <w:vAlign w:val="bottom"/>
          </w:tcPr>
          <w:p>
            <w:pPr>
              <w:ind w:left="60"/>
              <w:spacing w:after="0"/>
              <w:rPr>
                <w:sz w:val="20"/>
                <w:szCs w:val="20"/>
                <w:color w:val="auto"/>
              </w:rPr>
            </w:pPr>
            <w:r>
              <w:rPr>
                <w:rFonts w:ascii="Arial" w:cs="Arial" w:eastAsia="Arial" w:hAnsi="Arial"/>
                <w:sz w:val="18"/>
                <w:szCs w:val="18"/>
                <w:color w:val="auto"/>
              </w:rPr>
              <w:t>Capitalization and Subsidiaries</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4.01</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  Fourth Restatement Date Collateral Access Agreements</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5.15</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9280" w:type="dxa"/>
            <w:vAlign w:val="bottom"/>
          </w:tcPr>
          <w:p>
            <w:pPr>
              <w:ind w:left="60"/>
              <w:spacing w:after="0"/>
              <w:rPr>
                <w:sz w:val="20"/>
                <w:szCs w:val="20"/>
                <w:color w:val="auto"/>
              </w:rPr>
            </w:pPr>
            <w:r>
              <w:rPr>
                <w:rFonts w:ascii="Arial" w:cs="Arial" w:eastAsia="Arial" w:hAnsi="Arial"/>
                <w:sz w:val="18"/>
                <w:szCs w:val="18"/>
                <w:color w:val="auto"/>
              </w:rPr>
              <w:t>Post-Closing Covenants</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6.01</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9280" w:type="dxa"/>
            <w:vAlign w:val="bottom"/>
          </w:tcPr>
          <w:p>
            <w:pPr>
              <w:ind w:left="60"/>
              <w:spacing w:after="0"/>
              <w:rPr>
                <w:sz w:val="20"/>
                <w:szCs w:val="20"/>
                <w:color w:val="auto"/>
              </w:rPr>
            </w:pPr>
            <w:r>
              <w:rPr>
                <w:rFonts w:ascii="Arial" w:cs="Arial" w:eastAsia="Arial" w:hAnsi="Arial"/>
                <w:sz w:val="18"/>
                <w:szCs w:val="18"/>
                <w:color w:val="auto"/>
              </w:rPr>
              <w:t>Existing Indebtedness</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6.02</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9280" w:type="dxa"/>
            <w:vAlign w:val="bottom"/>
          </w:tcPr>
          <w:p>
            <w:pPr>
              <w:ind w:left="60"/>
              <w:spacing w:after="0"/>
              <w:rPr>
                <w:sz w:val="20"/>
                <w:szCs w:val="20"/>
                <w:color w:val="auto"/>
              </w:rPr>
            </w:pPr>
            <w:r>
              <w:rPr>
                <w:rFonts w:ascii="Arial" w:cs="Arial" w:eastAsia="Arial" w:hAnsi="Arial"/>
                <w:sz w:val="18"/>
                <w:szCs w:val="18"/>
                <w:color w:val="auto"/>
              </w:rPr>
              <w:t>Existing Liens</w:t>
            </w:r>
          </w:p>
        </w:tc>
      </w:t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Schedule 6.10</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9280" w:type="dxa"/>
            <w:vAlign w:val="bottom"/>
          </w:tcPr>
          <w:p>
            <w:pPr>
              <w:ind w:left="60"/>
              <w:spacing w:after="0"/>
              <w:rPr>
                <w:sz w:val="20"/>
                <w:szCs w:val="20"/>
                <w:color w:val="auto"/>
              </w:rPr>
            </w:pPr>
            <w:r>
              <w:rPr>
                <w:rFonts w:ascii="Arial" w:cs="Arial" w:eastAsia="Arial" w:hAnsi="Arial"/>
                <w:sz w:val="18"/>
                <w:szCs w:val="18"/>
                <w:color w:val="auto"/>
              </w:rPr>
              <w:t>Existing Restrictions</w:t>
            </w:r>
          </w:p>
        </w:tc>
      </w:tr>
      <w:tr>
        <w:trPr>
          <w:trHeight w:val="392"/>
        </w:trPr>
        <w:tc>
          <w:tcPr>
            <w:tcW w:w="118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300" w:type="dxa"/>
            <w:vAlign w:val="bottom"/>
          </w:tcPr>
          <w:p>
            <w:pPr>
              <w:spacing w:after="0"/>
              <w:rPr>
                <w:sz w:val="24"/>
                <w:szCs w:val="24"/>
                <w:color w:val="auto"/>
              </w:rPr>
            </w:pPr>
          </w:p>
        </w:tc>
        <w:tc>
          <w:tcPr>
            <w:tcW w:w="9280" w:type="dxa"/>
            <w:vAlign w:val="bottom"/>
          </w:tcPr>
          <w:p>
            <w:pPr>
              <w:spacing w:after="0"/>
              <w:rPr>
                <w:sz w:val="24"/>
                <w:szCs w:val="24"/>
                <w:color w:val="auto"/>
              </w:rPr>
            </w:pPr>
          </w:p>
        </w:tc>
      </w:tr>
      <w:tr>
        <w:trPr>
          <w:trHeight w:val="330"/>
        </w:trPr>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320" w:type="dxa"/>
            <w:vAlign w:val="bottom"/>
          </w:tcPr>
          <w:p>
            <w:pPr>
              <w:spacing w:after="0"/>
              <w:rPr>
                <w:sz w:val="24"/>
                <w:szCs w:val="24"/>
                <w:color w:val="auto"/>
              </w:rPr>
            </w:pP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  Form of Assignment and Assumption</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  Form of Borrowing Base Certificate</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  Form of Compliance Certificate</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Exhibit C-1</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w w:val="95"/>
              </w:rPr>
              <w:t>–  Form of U.S. Tax Compliance Certificate (For Non-U.S. Lenders That Are Not Partnerships For U.S. Federal Income Tax</w:t>
            </w:r>
          </w:p>
        </w:tc>
      </w:tr>
      <w:tr>
        <w:trPr>
          <w:trHeight w:val="216"/>
        </w:trPr>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80" w:type="dxa"/>
            <w:vAlign w:val="bottom"/>
          </w:tcPr>
          <w:p>
            <w:pPr>
              <w:ind w:left="60"/>
              <w:spacing w:after="0"/>
              <w:rPr>
                <w:sz w:val="20"/>
                <w:szCs w:val="20"/>
                <w:color w:val="auto"/>
              </w:rPr>
            </w:pPr>
            <w:r>
              <w:rPr>
                <w:rFonts w:ascii="Arial" w:cs="Arial" w:eastAsia="Arial" w:hAnsi="Arial"/>
                <w:sz w:val="18"/>
                <w:szCs w:val="18"/>
                <w:color w:val="auto"/>
              </w:rPr>
              <w:t>Purposes)</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Exhibit C-2</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w w:val="93"/>
              </w:rPr>
              <w:t>–  Form of U.S. Tax Compliance Certificate (For Non-U.S. Participants That Are Not Partnerships For U.S. Federal Income Tax</w:t>
            </w:r>
          </w:p>
        </w:tc>
      </w:tr>
      <w:tr>
        <w:trPr>
          <w:trHeight w:val="216"/>
        </w:trPr>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80" w:type="dxa"/>
            <w:vAlign w:val="bottom"/>
          </w:tcPr>
          <w:p>
            <w:pPr>
              <w:ind w:left="60"/>
              <w:spacing w:after="0"/>
              <w:rPr>
                <w:sz w:val="20"/>
                <w:szCs w:val="20"/>
                <w:color w:val="auto"/>
              </w:rPr>
            </w:pPr>
            <w:r>
              <w:rPr>
                <w:rFonts w:ascii="Arial" w:cs="Arial" w:eastAsia="Arial" w:hAnsi="Arial"/>
                <w:sz w:val="18"/>
                <w:szCs w:val="18"/>
                <w:color w:val="auto"/>
              </w:rPr>
              <w:t>Purposes)</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Exhibit C-3</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w w:val="96"/>
              </w:rPr>
              <w:t>–  Form of U.S. Tax Compliance Certificate (For Non-U.S. Participants That Are Partnerships For U.S. Federal Income Tax</w:t>
            </w:r>
          </w:p>
        </w:tc>
      </w:tr>
      <w:tr>
        <w:trPr>
          <w:trHeight w:val="216"/>
        </w:trPr>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80" w:type="dxa"/>
            <w:vAlign w:val="bottom"/>
          </w:tcPr>
          <w:p>
            <w:pPr>
              <w:ind w:left="60"/>
              <w:spacing w:after="0"/>
              <w:rPr>
                <w:sz w:val="20"/>
                <w:szCs w:val="20"/>
                <w:color w:val="auto"/>
              </w:rPr>
            </w:pPr>
            <w:r>
              <w:rPr>
                <w:rFonts w:ascii="Arial" w:cs="Arial" w:eastAsia="Arial" w:hAnsi="Arial"/>
                <w:sz w:val="18"/>
                <w:szCs w:val="18"/>
                <w:color w:val="auto"/>
              </w:rPr>
              <w:t>Purposes)</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Exhibit C-4</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w w:val="90"/>
              </w:rPr>
              <w:t>–  Form of U.S. Tax Compliance Certificate (For Non-U.S. Lenders That Are Partnerships For U.S. Federal Income Tax Purposes)</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  Form of Joinder Agreement</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  Form of Pledge and Security Agreement (U.S. Loan Parties)</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Exhibit F-1</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  Form of Canadian Guarantee</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Exhibit F-2</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  Form of Canadian Cross-Border Guarantee</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Exhibit G-1</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  Form of Canadian Pledge and Security Agreement</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Exhibit G-2</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  Form of Canadian Cross-Border Pledge and Security Agreement</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Exhibit H</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9280" w:type="dxa"/>
            <w:vAlign w:val="bottom"/>
          </w:tcPr>
          <w:p>
            <w:pPr>
              <w:ind w:left="60"/>
              <w:spacing w:after="0"/>
              <w:rPr>
                <w:sz w:val="20"/>
                <w:szCs w:val="20"/>
                <w:color w:val="auto"/>
              </w:rPr>
            </w:pPr>
            <w:r>
              <w:rPr>
                <w:rFonts w:ascii="Arial" w:cs="Arial" w:eastAsia="Arial" w:hAnsi="Arial"/>
                <w:sz w:val="18"/>
                <w:szCs w:val="18"/>
                <w:color w:val="auto"/>
              </w:rPr>
              <w:t>Form of Note</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Exhibit I</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  Form of Permitted Term Debt Intercreditor Agreement</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Exhibit J</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  Form of Borrowing Request</w:t>
            </w:r>
          </w:p>
        </w:tc>
      </w:t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Exhibit K</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  Form of Prepayment Notice</w:t>
            </w:r>
          </w:p>
        </w:tc>
      </w:tr>
    </w:tbl>
    <w:p>
      <w:pPr>
        <w:spacing w:after="0" w:line="35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760"/>
          </w:cols>
          <w:pgMar w:left="440" w:top="274" w:right="699" w:bottom="1440" w:gutter="0" w:footer="0" w:header="0"/>
        </w:sectPr>
      </w:pPr>
    </w:p>
    <w:bookmarkStart w:id="33" w:name="page34"/>
    <w:bookmarkEnd w:id="33"/>
    <w:p>
      <w:pPr>
        <w:ind w:right="14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FOURTH AMENDED AND RESTATED CREDIT AGREEMENT dated as of June 22, 2020 (as it may be amended, restated, amended and restated, supplemented or modified from time to time, this “</w:t>
      </w:r>
      <w:r>
        <w:rPr>
          <w:rFonts w:ascii="Arial" w:cs="Arial" w:eastAsia="Arial" w:hAnsi="Arial"/>
          <w:sz w:val="17"/>
          <w:szCs w:val="17"/>
          <w:u w:val="single" w:color="auto"/>
          <w:color w:val="auto"/>
        </w:rPr>
        <w:t>Agreement</w:t>
      </w:r>
      <w:r>
        <w:rPr>
          <w:rFonts w:ascii="Arial" w:cs="Arial" w:eastAsia="Arial" w:hAnsi="Arial"/>
          <w:sz w:val="17"/>
          <w:szCs w:val="17"/>
          <w:color w:val="auto"/>
        </w:rPr>
        <w:t>”), among WESCO DISTRIBUTION, INC., a Delaware corporation, the other U.S. Borrowers party hereto, WESCO DISTRIBUTION CANADA LP, an Ontario limited partnership, the other Canadian Borrowers party hereto, the other Loan Parties party hereto, the Lenders party hereto, and BARCLAYS BANK PLC, as Administrative Agent.</w:t>
      </w:r>
    </w:p>
    <w:p>
      <w:pPr>
        <w:spacing w:after="0" w:line="171"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WHEREAS, the Loan Parties are parties to the Third Amended and Restated Credit Agreement dated as of September 26, 2019 among WESCO Distribution, Inc., as U.S. Borrower, the other U.S. Borrowers party thereto, WESCO Distribution Canada LP, as Canadian Borrower, the other Loan Parties party thereto, the lenders party thereto (the “</w:t>
      </w:r>
      <w:r>
        <w:rPr>
          <w:rFonts w:ascii="Arial" w:cs="Arial" w:eastAsia="Arial" w:hAnsi="Arial"/>
          <w:sz w:val="16"/>
          <w:szCs w:val="16"/>
          <w:u w:val="single" w:color="auto"/>
          <w:color w:val="auto"/>
        </w:rPr>
        <w:t>Existing Lenders</w:t>
      </w:r>
      <w:r>
        <w:rPr>
          <w:rFonts w:ascii="Arial" w:cs="Arial" w:eastAsia="Arial" w:hAnsi="Arial"/>
          <w:sz w:val="16"/>
          <w:szCs w:val="16"/>
          <w:color w:val="auto"/>
        </w:rPr>
        <w:t>”), JPMorgan Chase Bank, N.A., as U.S. administrative agent (in such capacity, the “</w:t>
      </w:r>
      <w:r>
        <w:rPr>
          <w:rFonts w:ascii="Arial" w:cs="Arial" w:eastAsia="Arial" w:hAnsi="Arial"/>
          <w:sz w:val="16"/>
          <w:szCs w:val="16"/>
          <w:u w:val="single" w:color="auto"/>
          <w:color w:val="auto"/>
        </w:rPr>
        <w:t>Existing U.S. Administrative Agent</w:t>
      </w:r>
      <w:r>
        <w:rPr>
          <w:rFonts w:ascii="Arial" w:cs="Arial" w:eastAsia="Arial" w:hAnsi="Arial"/>
          <w:sz w:val="16"/>
          <w:szCs w:val="16"/>
          <w:color w:val="auto"/>
        </w:rPr>
        <w:t>”), and JPMorgan Chase Bank, N.A., Toronto Branch, as Canadian administrative agent (in such capacity, the “</w:t>
      </w:r>
      <w:r>
        <w:rPr>
          <w:rFonts w:ascii="Arial" w:cs="Arial" w:eastAsia="Arial" w:hAnsi="Arial"/>
          <w:sz w:val="16"/>
          <w:szCs w:val="16"/>
          <w:u w:val="single" w:color="auto"/>
          <w:color w:val="auto"/>
        </w:rPr>
        <w:t>Existing Canadian Administrative Agent</w:t>
      </w:r>
      <w:r>
        <w:rPr>
          <w:rFonts w:ascii="Arial" w:cs="Arial" w:eastAsia="Arial" w:hAnsi="Arial"/>
          <w:sz w:val="16"/>
          <w:szCs w:val="16"/>
          <w:color w:val="auto"/>
        </w:rPr>
        <w:t>”; together with the U.S. Administrative Agent, the “</w:t>
      </w:r>
      <w:r>
        <w:rPr>
          <w:rFonts w:ascii="Arial" w:cs="Arial" w:eastAsia="Arial" w:hAnsi="Arial"/>
          <w:sz w:val="16"/>
          <w:szCs w:val="16"/>
          <w:u w:val="single" w:color="auto"/>
          <w:color w:val="auto"/>
        </w:rPr>
        <w:t>Existing Administrative Agents</w:t>
      </w:r>
      <w:r>
        <w:rPr>
          <w:rFonts w:ascii="Arial" w:cs="Arial" w:eastAsia="Arial" w:hAnsi="Arial"/>
          <w:sz w:val="16"/>
          <w:szCs w:val="16"/>
          <w:color w:val="auto"/>
        </w:rPr>
        <w:t>”), as amended, supplemented or otherwise modified prior to the Fourth Restatement Date (the “</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pursuant to which the Existing Lenders agreed to make certain loans and provide certain other credit accommodations to the borrowers thereunder from time to time; and</w:t>
      </w:r>
    </w:p>
    <w:p>
      <w:pPr>
        <w:spacing w:after="0" w:line="166" w:lineRule="exact"/>
        <w:rPr>
          <w:sz w:val="20"/>
          <w:szCs w:val="20"/>
          <w:color w:val="auto"/>
        </w:rPr>
      </w:pPr>
    </w:p>
    <w:p>
      <w:pPr>
        <w:ind w:right="300" w:firstLine="440"/>
        <w:spacing w:after="0" w:line="308" w:lineRule="auto"/>
        <w:rPr>
          <w:sz w:val="20"/>
          <w:szCs w:val="20"/>
          <w:color w:val="auto"/>
        </w:rPr>
      </w:pPr>
      <w:r>
        <w:rPr>
          <w:rFonts w:ascii="Arial" w:cs="Arial" w:eastAsia="Arial" w:hAnsi="Arial"/>
          <w:sz w:val="17"/>
          <w:szCs w:val="17"/>
          <w:color w:val="auto"/>
        </w:rPr>
        <w:t>WHEREAS, the Loan Parties have requested that the Existing Lenders agree to further amend and restate the Existing Credit Agreement in its entirety to, among other things make certain modifications to the terms and provisions of the Existing Credit Agreement;</w:t>
      </w:r>
    </w:p>
    <w:p>
      <w:pPr>
        <w:spacing w:after="0" w:line="146"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hereto hereby agree that the Existing Credit Agreement is amended and restated in its entirety by this Agreement and hereby further agree as follows: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I. </w:t>
      </w: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 Additional Revolving Commitments Availability Date</w:t>
      </w:r>
      <w:r>
        <w:rPr>
          <w:rFonts w:ascii="Arial" w:cs="Arial" w:eastAsia="Arial" w:hAnsi="Arial"/>
          <w:sz w:val="18"/>
          <w:szCs w:val="18"/>
          <w:color w:val="auto"/>
        </w:rPr>
        <w:t>” has the meaning assigned to such term in the First Amendment.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2025 Senior Notes Indenture</w:t>
      </w:r>
      <w:r>
        <w:rPr>
          <w:rFonts w:ascii="Arial" w:cs="Arial" w:eastAsia="Arial" w:hAnsi="Arial"/>
          <w:sz w:val="18"/>
          <w:szCs w:val="18"/>
          <w:color w:val="auto"/>
        </w:rPr>
        <w:t>” means that certain Indenture dated as of June 12, 2020 among WESCO Distribution, Inc. as issuer, Holdings as parent guarantor and U.S. Bank National Association, as trustee, including any supplemental indenture executed or delivered in connection therewith, as the same may be amended, restated, modified, waived, or supplemented from time to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2025 Senior Notes</w:t>
      </w:r>
      <w:r>
        <w:rPr>
          <w:rFonts w:ascii="Arial" w:cs="Arial" w:eastAsia="Arial" w:hAnsi="Arial"/>
          <w:sz w:val="16"/>
          <w:szCs w:val="16"/>
          <w:color w:val="auto"/>
        </w:rPr>
        <w:t>” means the 7.125% Senior Notes due 2025 issued by WESCO Distribution, Inc. pursuant to the 2025 Senior Notes Indenture.</w:t>
      </w:r>
    </w:p>
    <w:p>
      <w:pPr>
        <w:spacing w:after="0" w:line="24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2028 Senior Notes Indenture</w:t>
      </w:r>
      <w:r>
        <w:rPr>
          <w:rFonts w:ascii="Arial" w:cs="Arial" w:eastAsia="Arial" w:hAnsi="Arial"/>
          <w:sz w:val="18"/>
          <w:szCs w:val="18"/>
          <w:color w:val="auto"/>
        </w:rPr>
        <w:t>” means that certain Indenture dated as of June 12, 2020 among WESCO Distribution, Inc. as issuer, Holdings as parent guarantor and U.S. Bank National Association, as trustee, including any supplemental indenture executed or delivered in connection therewith, as the same may be amended, restated, modified, waived, or supplemented from time to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2028 Senior Notes</w:t>
      </w:r>
      <w:r>
        <w:rPr>
          <w:rFonts w:ascii="Arial" w:cs="Arial" w:eastAsia="Arial" w:hAnsi="Arial"/>
          <w:sz w:val="16"/>
          <w:szCs w:val="16"/>
          <w:color w:val="auto"/>
        </w:rPr>
        <w:t>” means the 7.250% Senior Notes due 2028 issued by WESCO Distribution, Inc. pursuant to the 2028 Senior Notes Indenture.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Priority Collateral</w:t>
      </w:r>
      <w:r>
        <w:rPr>
          <w:rFonts w:ascii="Arial" w:cs="Arial" w:eastAsia="Arial" w:hAnsi="Arial"/>
          <w:sz w:val="18"/>
          <w:szCs w:val="18"/>
          <w:color w:val="auto"/>
        </w:rPr>
        <w:t>” means all Collateral consisting of the following:</w:t>
      </w:r>
    </w:p>
    <w:p>
      <w:pPr>
        <w:spacing w:after="0" w:line="117" w:lineRule="exact"/>
        <w:rPr>
          <w:sz w:val="20"/>
          <w:szCs w:val="20"/>
          <w:color w:val="auto"/>
        </w:rPr>
      </w:pPr>
    </w:p>
    <w:p>
      <w:pPr>
        <w:ind w:left="680" w:hanging="244"/>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Equity Interests in WESCO Receivables Corp.;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4" w:right="479" w:bottom="1440" w:gutter="0" w:footer="0" w:header="0"/>
        </w:sectPr>
      </w:pPr>
    </w:p>
    <w:bookmarkStart w:id="34" w:name="page35"/>
    <w:bookmarkEnd w:id="34"/>
    <w:p>
      <w:pPr>
        <w:ind w:left="700" w:hanging="26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WESCO Receivables Intercompany Loans and all WESCO Receivables Intercompany Notes;</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cash and cash equivalents, other than specifically identifiable proceeds from the sale or disposition of Term Loan Priority Collateral;</w:t>
      </w:r>
    </w:p>
    <w:p>
      <w:pPr>
        <w:spacing w:after="0" w:line="128" w:lineRule="exact"/>
        <w:rPr>
          <w:rFonts w:ascii="Arial" w:cs="Arial" w:eastAsia="Arial" w:hAnsi="Arial"/>
          <w:sz w:val="17"/>
          <w:szCs w:val="17"/>
          <w:color w:val="auto"/>
        </w:rPr>
      </w:pPr>
    </w:p>
    <w:p>
      <w:pPr>
        <w:ind w:right="200" w:firstLine="436"/>
        <w:spacing w:after="0" w:line="259" w:lineRule="auto"/>
        <w:tabs>
          <w:tab w:leader="none" w:pos="66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Deposit Accounts (including all bank accounts with a depositary function), Lock Boxes, Securities Accounts, Security Entitlements and Securities credited to a Securities Account, Commodity Accounts and Commodity Contracts, and, in each case, all cash, cash equivalents, checks and other property held therein or credited thereto, other than (x) Equity Interests of a Loan Party held by another Loan Party, and (y) specifically identifiable proceeds from the sale or disposition of Term Loan Priority Collateral;</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Assigned Contracts that specifically relate to Accounts, Inventory or other ABL Priority Collateral;</w:t>
      </w:r>
    </w:p>
    <w:p>
      <w:pPr>
        <w:spacing w:after="0" w:line="117" w:lineRule="exact"/>
        <w:rPr>
          <w:rFonts w:ascii="Arial" w:cs="Arial" w:eastAsia="Arial" w:hAnsi="Arial"/>
          <w:sz w:val="18"/>
          <w:szCs w:val="18"/>
          <w:color w:val="auto"/>
        </w:rPr>
      </w:pPr>
    </w:p>
    <w:p>
      <w:pPr>
        <w:jc w:val="both"/>
        <w:ind w:right="40" w:firstLine="436"/>
        <w:spacing w:after="0" w:line="263"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all Commercial Tort Claims;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any Commercial Tort Claim specifically relates to the ownership, use, lease, purchase or sale of Equipment, Fixtures, Intellectual Property, Real Property or other Term Loan Priority Collateral, the ABL Priority Collateral shall not include such Commercial Tort Claim;</w:t>
      </w:r>
    </w:p>
    <w:p>
      <w:pPr>
        <w:spacing w:after="0" w:line="75" w:lineRule="exact"/>
        <w:rPr>
          <w:rFonts w:ascii="Arial" w:cs="Arial" w:eastAsia="Arial" w:hAnsi="Arial"/>
          <w:sz w:val="18"/>
          <w:szCs w:val="18"/>
          <w:color w:val="auto"/>
        </w:rPr>
      </w:pPr>
    </w:p>
    <w:p>
      <w:pPr>
        <w:ind w:right="200" w:firstLine="436"/>
        <w:spacing w:after="0" w:line="25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all policies of insurance relating to or insuring against loss or damage to any of the items referred to in the preceding clauses (a) through (h) that constitute ABL Priority Collateral or against any disruption in, or cessation of, the business of any Loan Party, and all proceeds paid in respect of any such insurance policies, including, without limitation, any right to any return of any premiums paid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any such insurance policy also relates to or insures against loss or damage to Term Loan Priority Collateral or the use thereof, the ABL Priority Collateral shall not include the portion of any proceeds paid pursuant to such policy that specifically relate to the loss of, or damage to, Term Loan Priority Collateral;</w:t>
      </w:r>
    </w:p>
    <w:p>
      <w:pPr>
        <w:spacing w:after="0" w:line="84" w:lineRule="exact"/>
        <w:rPr>
          <w:rFonts w:ascii="Arial" w:cs="Arial" w:eastAsia="Arial" w:hAnsi="Arial"/>
          <w:sz w:val="18"/>
          <w:szCs w:val="18"/>
          <w:color w:val="auto"/>
        </w:rPr>
      </w:pPr>
    </w:p>
    <w:p>
      <w:pPr>
        <w:ind w:firstLine="436"/>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all Investment Property, Chattel Paper, Documents, Instruments and General Intangibles (other than Intellectual Property) relating to any of the items referred to in the preceding clauses (a) through (i);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any Investment Property, Chattel Paper, Document, Instrument or General Intangible relates exclusively to Term Loan Priority Collateral, the ABL Priority Collateral shall not include such Chattel Paper, Document, Instrument or General Intangible;</w:t>
      </w:r>
    </w:p>
    <w:p>
      <w:pPr>
        <w:spacing w:after="0" w:line="78" w:lineRule="exact"/>
        <w:rPr>
          <w:rFonts w:ascii="Arial" w:cs="Arial" w:eastAsia="Arial" w:hAnsi="Arial"/>
          <w:sz w:val="18"/>
          <w:szCs w:val="18"/>
          <w:color w:val="auto"/>
        </w:rPr>
      </w:pPr>
    </w:p>
    <w:p>
      <w:pPr>
        <w:ind w:right="200" w:firstLine="436"/>
        <w:spacing w:after="0" w:line="308" w:lineRule="auto"/>
        <w:tabs>
          <w:tab w:leader="none" w:pos="695"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books and Records relating to any of the items referred to in the preceding clauses (a) through (j) (including without limitation all books, databases, customer lists and Records, whether tangible or electronic which contain any information relating to any such items); and</w:t>
      </w:r>
    </w:p>
    <w:p>
      <w:pPr>
        <w:spacing w:after="0" w:line="38" w:lineRule="exact"/>
        <w:rPr>
          <w:rFonts w:ascii="Arial" w:cs="Arial" w:eastAsia="Arial" w:hAnsi="Arial"/>
          <w:sz w:val="17"/>
          <w:szCs w:val="17"/>
          <w:color w:val="auto"/>
        </w:rPr>
      </w:pPr>
    </w:p>
    <w:p>
      <w:pPr>
        <w:ind w:right="60" w:firstLine="436"/>
        <w:spacing w:after="0" w:line="34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Proceeds of, and Supporting Obligations, including, without limitation, Letter-of-Credit Rights, with respect to, any of the items referred to in the preceding clauses (a) through (k) and all collateral security and guarantees given by any Person with respect to any of the foregoing.</w:t>
      </w:r>
    </w:p>
    <w:p>
      <w:pPr>
        <w:spacing w:after="0" w:line="124"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ABR</w:t>
      </w:r>
      <w:r>
        <w:rPr>
          <w:rFonts w:ascii="Arial" w:cs="Arial" w:eastAsia="Arial" w:hAnsi="Arial"/>
          <w:sz w:val="17"/>
          <w:szCs w:val="17"/>
          <w:color w:val="auto"/>
        </w:rPr>
        <w:t>,” when used in reference to (a) a rate of interest, refers to the Alternate Base Rate, and (b) any Loan or Borrowing, refers to whether such Loan, or the Loans comprising such Borrowing, bear interest at a rate determined by reference to the Alternate Base Rate.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has the meaning assigned to such term in the U.S. Security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any Person obligated on an Account.</w:t>
      </w:r>
    </w:p>
    <w:p>
      <w:pPr>
        <w:spacing w:after="0" w:line="225"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means any transaction, or any series of related transactions (other than the Anixter Acquisition), consummated on or after the Fourth Restatement Date, by which any Borrower or Loan Guarantor (i) acquires any going business or all or substantially all of the assets of any firm, corporation or limited liability company, or division thereof, whether through purchase of assets, merger or otherwise or (ii) acquires all or substantially all of the Equity Interests of any other Person, in each case, other than transactions solely among a Loan Party and a Subsidiary.</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35" w:name="page36"/>
    <w:bookmarkEnd w:id="3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Barclays, in its capacity as administrative agent for the Lenders 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jc w:val="both"/>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specified Person.</w:t>
      </w:r>
    </w:p>
    <w:p>
      <w:pPr>
        <w:spacing w:after="0" w:line="170" w:lineRule="exact"/>
        <w:rPr>
          <w:sz w:val="20"/>
          <w:szCs w:val="20"/>
          <w:color w:val="auto"/>
        </w:rPr>
      </w:pPr>
    </w:p>
    <w:p>
      <w:pPr>
        <w:jc w:val="both"/>
        <w:ind w:right="4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 Subordination Agreement</w:t>
      </w:r>
      <w:r>
        <w:rPr>
          <w:rFonts w:ascii="Arial" w:cs="Arial" w:eastAsia="Arial" w:hAnsi="Arial"/>
          <w:sz w:val="16"/>
          <w:szCs w:val="16"/>
          <w:color w:val="auto"/>
        </w:rPr>
        <w:t>” means the Affiliate Subordination Agreement dated as of the Fourth Restatement Date among the Loan Parties party thereto and the Administrative Agent, as the same may be amended, restated, supplemented or otherwise modified from time to time.</w:t>
      </w:r>
    </w:p>
    <w:p>
      <w:pPr>
        <w:spacing w:after="0" w:line="124" w:lineRule="exact"/>
        <w:rPr>
          <w:sz w:val="20"/>
          <w:szCs w:val="20"/>
          <w:color w:val="auto"/>
        </w:rPr>
      </w:pPr>
    </w:p>
    <w:p>
      <w:pPr>
        <w:jc w:val="both"/>
        <w:ind w:right="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Agency Transfer Agreement</w:t>
      </w:r>
      <w:r>
        <w:rPr>
          <w:rFonts w:ascii="Arial" w:cs="Arial" w:eastAsia="Arial" w:hAnsi="Arial"/>
          <w:sz w:val="16"/>
          <w:szCs w:val="16"/>
          <w:color w:val="auto"/>
        </w:rPr>
        <w:t>” means that certain Resignation and Appointment Agreement dated as of June 19, 2020 by and among the Existing Administrative Agents, the Administrative Agent and the Borrowers, which sets forth the terms on which the resignation of the Existing Administrative Agents and the appointment of the Administrative Agent as the successor agent shall occur on the Effective Date (as defined therein).</w:t>
      </w:r>
    </w:p>
    <w:p>
      <w:pPr>
        <w:spacing w:after="0" w:line="149" w:lineRule="exact"/>
        <w:rPr>
          <w:sz w:val="20"/>
          <w:szCs w:val="20"/>
          <w:color w:val="auto"/>
        </w:rPr>
      </w:pPr>
    </w:p>
    <w:p>
      <w:pPr>
        <w:ind w:right="5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Availability</w:t>
      </w:r>
      <w:r>
        <w:rPr>
          <w:rFonts w:ascii="Arial" w:cs="Arial" w:eastAsia="Arial" w:hAnsi="Arial"/>
          <w:sz w:val="17"/>
          <w:szCs w:val="17"/>
          <w:color w:val="auto"/>
        </w:rPr>
        <w:t xml:space="preserve">” means, at any time, an amount equal to (a) the lower of (i) the Aggregate Revolving Commitments and (ii) the Aggregate Borrowing Base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Aggregate Revolving Exposure (calculated with respect to any Defaulting Lender, as if such Defaulting Lender had funded its Applicable Percentage of all outstanding Borrowings);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the Aggregate Availability on the Fourth Restatement Date shall not be less than $300,000,000.</w:t>
      </w:r>
    </w:p>
    <w:p>
      <w:pPr>
        <w:spacing w:after="0" w:line="167"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Availability Trigger Amount</w:t>
      </w:r>
      <w:r>
        <w:rPr>
          <w:rFonts w:ascii="Arial" w:cs="Arial" w:eastAsia="Arial" w:hAnsi="Arial"/>
          <w:sz w:val="18"/>
          <w:szCs w:val="18"/>
          <w:color w:val="auto"/>
        </w:rPr>
        <w:t>” means, at any time, the greater of (i) $</w:t>
      </w:r>
      <w:r>
        <w:rPr>
          <w:rFonts w:ascii="Arial" w:cs="Arial" w:eastAsia="Arial" w:hAnsi="Arial"/>
          <w:sz w:val="18"/>
          <w:szCs w:val="18"/>
          <w:b w:val="1"/>
          <w:bCs w:val="1"/>
          <w:color w:val="FF0000"/>
          <w:strike w:val="1"/>
        </w:rPr>
        <w:t>108,000,000</w:t>
      </w:r>
      <w:r>
        <w:rPr>
          <w:rFonts w:ascii="Arial" w:cs="Arial" w:eastAsia="Arial" w:hAnsi="Arial"/>
          <w:sz w:val="18"/>
          <w:szCs w:val="18"/>
          <w:b w:val="1"/>
          <w:bCs w:val="1"/>
          <w:u w:val="single" w:color="auto"/>
          <w:color w:val="0000FF"/>
        </w:rPr>
        <w:t>122,000,000</w:t>
      </w:r>
      <w:r>
        <w:rPr>
          <w:rFonts w:ascii="Arial" w:cs="Arial" w:eastAsia="Arial" w:hAnsi="Arial"/>
          <w:sz w:val="18"/>
          <w:szCs w:val="18"/>
          <w:color w:val="auto"/>
        </w:rPr>
        <w:t xml:space="preserve"> and (ii) ten percent (10%) of the lesser at such time of (A) the Aggregate Revolving Commitments and (B) the Aggregate Borrowing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-151130</wp:posOffset>
            </wp:positionV>
            <wp:extent cx="5740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46" w:lineRule="exact"/>
        <w:rPr>
          <w:sz w:val="20"/>
          <w:szCs w:val="20"/>
          <w:color w:val="auto"/>
        </w:rPr>
      </w:pPr>
    </w:p>
    <w:p>
      <w:pPr>
        <w:ind w:right="4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Borrowing Base</w:t>
      </w:r>
      <w:r>
        <w:rPr>
          <w:rFonts w:ascii="Arial" w:cs="Arial" w:eastAsia="Arial" w:hAnsi="Arial"/>
          <w:sz w:val="16"/>
          <w:szCs w:val="16"/>
          <w:color w:val="auto"/>
        </w:rPr>
        <w:t xml:space="preserve">” means the aggregate amount of the U.S. Borrowing Base and the Canadian Borrowing Base;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maximum amount of the Canadian Borrowing Base which may be included in the Aggregate Borrowing Base is the Canadian Sublimit.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Credit Exposure</w:t>
      </w:r>
      <w:r>
        <w:rPr>
          <w:rFonts w:ascii="Arial" w:cs="Arial" w:eastAsia="Arial" w:hAnsi="Arial"/>
          <w:sz w:val="18"/>
          <w:szCs w:val="18"/>
          <w:color w:val="auto"/>
        </w:rPr>
        <w:t>” means, at any time, the aggregate Credit Exposure of the Lenders at such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Revolving Commitments</w:t>
      </w:r>
      <w:r>
        <w:rPr>
          <w:rFonts w:ascii="Arial" w:cs="Arial" w:eastAsia="Arial" w:hAnsi="Arial"/>
          <w:sz w:val="18"/>
          <w:szCs w:val="18"/>
          <w:color w:val="auto"/>
        </w:rPr>
        <w:t>” means, at any time, the aggregate Revolving Commitments of the Lenders at such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Revolving Exposure</w:t>
      </w:r>
      <w:r>
        <w:rPr>
          <w:rFonts w:ascii="Arial" w:cs="Arial" w:eastAsia="Arial" w:hAnsi="Arial"/>
          <w:sz w:val="18"/>
          <w:szCs w:val="18"/>
          <w:color w:val="auto"/>
        </w:rPr>
        <w:t>” means, at any time, the aggregate Revolving Exposure of the Lenders at such time.</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xml:space="preserve">” means, for any day, a fluctuating rate per annum equal to the highest of (a) the Federal Funds Effective Rate (which, if negative, shall be deemed to be 0%) on such day plus 1/2 of 1%, (b) the Prime Rate on such day and (c) Term SOFR published on such day (or if such day is not a Business Day the immediately preceding Business Day) for an Interest Period of one month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1.00%. If the Administrative Agent shall have determined (which determination shall be conclusive absent manifest error) that it is unable to ascertain the Federal Funds Effective Rate for any reason, the Alternate Base Rate shall be determined without regard to clause (a) above until the circumstances giving rise to such inability no longer exist. If the Alternate Base Rate is being used as an alternate rate of interest pursuant to Section 2.14 hereof (for the avoidance of doubt, only until any amendment or other automatic modification implementing a Benchmark has become effective pursuant to Section 2.14(d)),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AML Legislation</w:t>
      </w:r>
      <w:r>
        <w:rPr>
          <w:rFonts w:ascii="Arial" w:cs="Arial" w:eastAsia="Arial" w:hAnsi="Arial"/>
          <w:sz w:val="18"/>
          <w:szCs w:val="18"/>
          <w:color w:val="auto"/>
        </w:rPr>
        <w:t>” has the meaning assigned to such term in Section 9.19.</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6" w:name="page37"/>
    <w:bookmarkEnd w:id="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Anixter” means Anixter International Inc., a Delaware corporation.</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Anixter Acquisition</w:t>
      </w:r>
      <w:r>
        <w:rPr>
          <w:rFonts w:ascii="Arial" w:cs="Arial" w:eastAsia="Arial" w:hAnsi="Arial"/>
          <w:sz w:val="18"/>
          <w:szCs w:val="18"/>
          <w:color w:val="auto"/>
        </w:rPr>
        <w:t>” means the acquisition by Holdings, through a wholly owned subsidiary of Holdings, of Anixter and its subsidiaries pursuant to the Anixter Acquisition Agreement.</w:t>
      </w:r>
    </w:p>
    <w:p>
      <w:pPr>
        <w:spacing w:after="0" w:line="170"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Anixter Acquisition Agreement</w:t>
      </w:r>
      <w:r>
        <w:rPr>
          <w:rFonts w:ascii="Arial" w:cs="Arial" w:eastAsia="Arial" w:hAnsi="Arial"/>
          <w:sz w:val="18"/>
          <w:szCs w:val="18"/>
          <w:color w:val="auto"/>
        </w:rPr>
        <w:t>” means that certain Agreement and Plan of Merger by and among Holdings, Warrior Merger Sub, Inc. and Anixter International Inc., dated as of January 10, 2020.</w:t>
      </w:r>
    </w:p>
    <w:p>
      <w:pPr>
        <w:spacing w:after="0" w:line="170" w:lineRule="exact"/>
        <w:rPr>
          <w:sz w:val="20"/>
          <w:szCs w:val="20"/>
          <w:color w:val="auto"/>
        </w:rPr>
      </w:pPr>
    </w:p>
    <w:p>
      <w:pPr>
        <w:ind w:right="3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Anixter Acquisition Agreement Representations</w:t>
      </w:r>
      <w:r>
        <w:rPr>
          <w:rFonts w:ascii="Arial" w:cs="Arial" w:eastAsia="Arial" w:hAnsi="Arial"/>
          <w:sz w:val="17"/>
          <w:szCs w:val="17"/>
          <w:color w:val="auto"/>
        </w:rPr>
        <w:t>” means the representations and warranties made by or with respect to Anixter in the Anixter Acquisition Agreement that are material to the interests of the Lenders (but only to the extent that Holdings or its subsidiaries that are a party to the Anixter Acquisition Agreement have the right to terminate its and their obligations under the Anixter Acquisition Agreement (or to decline to consummate the Acquisition) as a result of the breach of such representations in the Anixter Acquisition Agreement).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Anixter Loan Parties</w:t>
      </w:r>
      <w:r>
        <w:rPr>
          <w:rFonts w:ascii="Arial" w:cs="Arial" w:eastAsia="Arial" w:hAnsi="Arial"/>
          <w:sz w:val="18"/>
          <w:szCs w:val="18"/>
          <w:color w:val="auto"/>
        </w:rPr>
        <w:t>” means, collectively, Anixter and any of its Subsidiaries that are Loan Parties.</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Anixter Merger</w:t>
      </w:r>
      <w:r>
        <w:rPr>
          <w:rFonts w:ascii="Arial" w:cs="Arial" w:eastAsia="Arial" w:hAnsi="Arial"/>
          <w:sz w:val="18"/>
          <w:szCs w:val="18"/>
          <w:color w:val="auto"/>
        </w:rPr>
        <w:t>” means the merger of Anixter with and into Anixter Inc. on or about the Fourth Restatement Date, with Anixter Inc. surviving the merger as a wholly owned subsidiary of the Borrower Representative.</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Borrower or any of its Subsidiaries from time to time concerning or relating to bribery, corruption or money laundering.</w:t>
      </w:r>
    </w:p>
    <w:p>
      <w:pPr>
        <w:spacing w:after="0" w:line="170"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Commitment Fee Rate</w:t>
      </w:r>
      <w:r>
        <w:rPr>
          <w:rFonts w:ascii="Arial" w:cs="Arial" w:eastAsia="Arial" w:hAnsi="Arial"/>
          <w:sz w:val="18"/>
          <w:szCs w:val="18"/>
          <w:color w:val="auto"/>
        </w:rPr>
        <w:t>” means (i) 0.20% per annum when Average Utilization is greater than 50% and (ii) 0.25% per annum otherwise.</w:t>
      </w:r>
    </w:p>
    <w:p>
      <w:pPr>
        <w:spacing w:after="0" w:line="170"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(a) in the case of any Lender, with respect to Revolving Loans, LC Exposure, Swingline Loans, or Overadvances, the percentage of the Aggregate Revolving Commitments equal to such Lender’s Revolving Commitment (or, if the Revolving Commitments have terminated or expired, such Lender’s share of the Aggregate Revolving Exposure at that time), (b) in the case of any U.S. Lender, with respect to U.S. Revolving Loans, U.S. LC Exposure, U.S. Swingline Loans, or U.S. Overadvances, a percentage of the aggregate U.S. Commitments equal to such U.S. Lender’s U.S. Commitment (or, if the U.S. Commitments have terminated or expired, such U.S. Lender’s share of the aggregate U.S. Revolving Exposure at that time) and (c) in the case of any Canadian Lender, with respect to Canadian Revolving Loans, Canadian LC Exposure, Canadian Swingline Loans, or Canadian Overadvances, a percentage of the total Canadian Commitments equal to such Canadian Lender’s Canadian Commitment (or, if the Canadian Commitments have terminated or expired, such Canadian Lender’s share of the aggregate Canadian Revolving Exposure at that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Section 2.20 when a Defaulting Lender shall exist, any such Defaulting Lender’s Revolving Commitment (or U.S. Commitment or Canadian Commitment, as applicable) shall be disregarded in any of such calculations.</w:t>
      </w:r>
    </w:p>
    <w:p>
      <w:pPr>
        <w:spacing w:after="0" w:line="168" w:lineRule="exact"/>
        <w:rPr>
          <w:sz w:val="20"/>
          <w:szCs w:val="20"/>
          <w:color w:val="auto"/>
        </w:rPr>
      </w:pPr>
    </w:p>
    <w:p>
      <w:pPr>
        <w:ind w:right="28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xml:space="preserve">” means, for any day, with respect to any SOFR Loan, CDOR Rate Loan, ABR Loan, Canadian Prime Rate Loan or LC Disbursement bearing interest at the Alternate Base Rate, as the case may be, the applicable rate per annum set forth below under the caption “SOFR Spread and CDOR Rate Spread” or “ABR Spread and Canadian Prime Rate Spread,” as the case may be, based upon Average Quarterly Availability during the most recently completed fiscal quarter of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and including the last day of the Borrowers’ first full fiscal quarter ending after the Second Amendment Effective Date, the “Applicable Rate” shall be the applicable spreads set forth below for Category 2:</w:t>
      </w:r>
    </w:p>
    <w:p>
      <w:pPr>
        <w:spacing w:after="0" w:line="172"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3"/>
              </w:rPr>
              <w:t>ABR Spread and</w:t>
            </w:r>
          </w:p>
        </w:tc>
      </w:tr>
      <w:tr>
        <w:trPr>
          <w:trHeight w:val="148"/>
        </w:trPr>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SOFR Spread, CDOR Rate</w:t>
            </w: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91"/>
              </w:rPr>
              <w:t>Canadian Prime Rate</w:t>
            </w:r>
          </w:p>
        </w:tc>
      </w:tr>
      <w:tr>
        <w:trPr>
          <w:trHeight w:val="187"/>
        </w:trPr>
        <w:tc>
          <w:tcPr>
            <w:tcW w:w="1520" w:type="dxa"/>
            <w:vAlign w:val="bottom"/>
            <w:gridSpan w:val="2"/>
          </w:tcPr>
          <w:p>
            <w:pPr>
              <w:spacing w:after="0"/>
              <w:rPr>
                <w:sz w:val="20"/>
                <w:szCs w:val="20"/>
                <w:color w:val="auto"/>
              </w:rPr>
            </w:pPr>
            <w:r>
              <w:rPr>
                <w:rFonts w:ascii="Arial" w:cs="Arial" w:eastAsia="Arial" w:hAnsi="Arial"/>
                <w:sz w:val="14"/>
                <w:szCs w:val="14"/>
                <w:color w:val="auto"/>
              </w:rPr>
              <w:t>Category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3"/>
          </w:tcPr>
          <w:p>
            <w:pPr>
              <w:ind w:left="520"/>
              <w:spacing w:after="0"/>
              <w:rPr>
                <w:sz w:val="20"/>
                <w:szCs w:val="20"/>
                <w:color w:val="auto"/>
              </w:rPr>
            </w:pPr>
            <w:r>
              <w:rPr>
                <w:rFonts w:ascii="Arial" w:cs="Arial" w:eastAsia="Arial" w:hAnsi="Arial"/>
                <w:sz w:val="14"/>
                <w:szCs w:val="14"/>
                <w:color w:val="auto"/>
              </w:rPr>
              <w:t>Average Quarterly Availability</w:t>
            </w:r>
          </w:p>
        </w:tc>
        <w:tc>
          <w:tcPr>
            <w:tcW w:w="180" w:type="dxa"/>
            <w:vAlign w:val="bottom"/>
          </w:tcPr>
          <w:p>
            <w:pPr>
              <w:spacing w:after="0"/>
              <w:rPr>
                <w:sz w:val="16"/>
                <w:szCs w:val="16"/>
                <w:color w:val="auto"/>
              </w:rPr>
            </w:pPr>
          </w:p>
        </w:tc>
        <w:tc>
          <w:tcPr>
            <w:tcW w:w="252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Spread</w:t>
            </w:r>
          </w:p>
        </w:tc>
        <w:tc>
          <w:tcPr>
            <w:tcW w:w="2000" w:type="dxa"/>
            <w:vAlign w:val="bottom"/>
          </w:tcPr>
          <w:p>
            <w:pPr>
              <w:jc w:val="center"/>
              <w:spacing w:after="0"/>
              <w:rPr>
                <w:sz w:val="20"/>
                <w:szCs w:val="20"/>
                <w:color w:val="auto"/>
              </w:rPr>
            </w:pPr>
            <w:r>
              <w:rPr>
                <w:rFonts w:ascii="Arial" w:cs="Arial" w:eastAsia="Arial" w:hAnsi="Arial"/>
                <w:sz w:val="14"/>
                <w:szCs w:val="14"/>
                <w:color w:val="auto"/>
                <w:w w:val="88"/>
              </w:rPr>
              <w:t>Spread</w:t>
            </w:r>
          </w:p>
        </w:tc>
      </w:tr>
      <w:tr>
        <w:trPr>
          <w:trHeight w:val="163"/>
        </w:trPr>
        <w:tc>
          <w:tcPr>
            <w:tcW w:w="520" w:type="dxa"/>
            <w:vAlign w:val="bottom"/>
            <w:tcBorders>
              <w:top w:val="single" w:sz="8" w:color="auto"/>
            </w:tcBorders>
          </w:tcPr>
          <w:p>
            <w:pPr>
              <w:spacing w:after="0" w:line="163" w:lineRule="exact"/>
              <w:rPr>
                <w:sz w:val="20"/>
                <w:szCs w:val="20"/>
                <w:color w:val="auto"/>
              </w:rPr>
            </w:pPr>
            <w:r>
              <w:rPr>
                <w:rFonts w:ascii="Arial" w:cs="Arial" w:eastAsia="Arial" w:hAnsi="Arial"/>
                <w:sz w:val="17"/>
                <w:szCs w:val="17"/>
                <w:color w:val="auto"/>
                <w:w w:val="72"/>
              </w:rPr>
              <w:t>Category</w:t>
            </w:r>
          </w:p>
        </w:tc>
        <w:tc>
          <w:tcPr>
            <w:tcW w:w="1000" w:type="dxa"/>
            <w:vAlign w:val="bottom"/>
          </w:tcPr>
          <w:p>
            <w:pPr>
              <w:jc w:val="right"/>
              <w:ind w:right="630"/>
              <w:spacing w:after="0" w:line="163"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3020" w:type="dxa"/>
            <w:vAlign w:val="bottom"/>
            <w:tcBorders>
              <w:top w:val="single" w:sz="8" w:color="auto"/>
            </w:tcBorders>
            <w:gridSpan w:val="4"/>
          </w:tcPr>
          <w:p>
            <w:pPr>
              <w:spacing w:after="0" w:line="163" w:lineRule="exact"/>
              <w:rPr>
                <w:sz w:val="20"/>
                <w:szCs w:val="20"/>
                <w:color w:val="auto"/>
              </w:rPr>
            </w:pPr>
            <w:r>
              <w:rPr>
                <w:rFonts w:ascii="Arial" w:cs="Arial" w:eastAsia="Arial" w:hAnsi="Arial"/>
                <w:sz w:val="18"/>
                <w:szCs w:val="18"/>
                <w:color w:val="auto"/>
              </w:rPr>
              <w:t>&gt;66.67% of the Aggregate Revolving</w:t>
            </w:r>
          </w:p>
        </w:tc>
        <w:tc>
          <w:tcPr>
            <w:tcW w:w="180" w:type="dxa"/>
            <w:vAlign w:val="bottom"/>
          </w:tcPr>
          <w:p>
            <w:pPr>
              <w:spacing w:after="0"/>
              <w:rPr>
                <w:sz w:val="14"/>
                <w:szCs w:val="14"/>
                <w:color w:val="auto"/>
              </w:rPr>
            </w:pPr>
          </w:p>
        </w:tc>
        <w:tc>
          <w:tcPr>
            <w:tcW w:w="234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8"/>
                <w:szCs w:val="18"/>
                <w:color w:val="auto"/>
                <w:w w:val="93"/>
              </w:rPr>
              <w:t>1.00%</w:t>
            </w:r>
          </w:p>
        </w:tc>
        <w:tc>
          <w:tcPr>
            <w:tcW w:w="180" w:type="dxa"/>
            <w:vAlign w:val="bottom"/>
          </w:tcPr>
          <w:p>
            <w:pPr>
              <w:spacing w:after="0"/>
              <w:rPr>
                <w:sz w:val="14"/>
                <w:szCs w:val="14"/>
                <w:color w:val="auto"/>
              </w:rPr>
            </w:pPr>
          </w:p>
        </w:tc>
        <w:tc>
          <w:tcPr>
            <w:tcW w:w="200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8"/>
                <w:szCs w:val="18"/>
                <w:color w:val="auto"/>
                <w:w w:val="90"/>
              </w:rPr>
              <w:t>0.00%</w:t>
            </w:r>
          </w:p>
        </w:tc>
      </w:tr>
      <w:tr>
        <w:trPr>
          <w:trHeight w:val="20"/>
        </w:trPr>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2"/>
        </w:trPr>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40" w:type="dxa"/>
            <w:vAlign w:val="bottom"/>
            <w:gridSpan w:val="5"/>
          </w:tcPr>
          <w:p>
            <w:pPr>
              <w:spacing w:after="0"/>
              <w:rPr>
                <w:sz w:val="20"/>
                <w:szCs w:val="20"/>
                <w:color w:val="auto"/>
              </w:rPr>
            </w:pPr>
            <w:r>
              <w:rPr>
                <w:rFonts w:ascii="Arial" w:cs="Arial" w:eastAsia="Arial" w:hAnsi="Arial"/>
                <w:sz w:val="18"/>
                <w:szCs w:val="18"/>
                <w:color w:val="auto"/>
              </w:rPr>
              <w:t>Commitments</w:t>
            </w: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190"/>
        </w:trPr>
        <w:tc>
          <w:tcPr>
            <w:tcW w:w="1520" w:type="dxa"/>
            <w:vAlign w:val="bottom"/>
            <w:gridSpan w:val="2"/>
          </w:tcPr>
          <w:p>
            <w:pPr>
              <w:spacing w:after="0" w:line="190" w:lineRule="exact"/>
              <w:rPr>
                <w:sz w:val="20"/>
                <w:szCs w:val="20"/>
                <w:color w:val="auto"/>
              </w:rPr>
            </w:pPr>
            <w:r>
              <w:rPr>
                <w:rFonts w:ascii="Arial" w:cs="Arial" w:eastAsia="Arial" w:hAnsi="Arial"/>
                <w:sz w:val="18"/>
                <w:szCs w:val="18"/>
                <w:color w:val="auto"/>
              </w:rPr>
              <w:t>Category 2</w:t>
            </w:r>
          </w:p>
        </w:tc>
        <w:tc>
          <w:tcPr>
            <w:tcW w:w="3040" w:type="dxa"/>
            <w:vAlign w:val="bottom"/>
            <w:gridSpan w:val="5"/>
          </w:tcPr>
          <w:p>
            <w:pPr>
              <w:spacing w:after="0" w:line="190" w:lineRule="exact"/>
              <w:rPr>
                <w:sz w:val="20"/>
                <w:szCs w:val="20"/>
                <w:color w:val="auto"/>
              </w:rPr>
            </w:pPr>
            <w:r>
              <w:rPr>
                <w:rFonts w:ascii="Arial" w:cs="Arial" w:eastAsia="Arial" w:hAnsi="Arial"/>
                <w:sz w:val="18"/>
                <w:szCs w:val="18"/>
                <w:color w:val="auto"/>
                <w:w w:val="93"/>
              </w:rPr>
              <w:t>&lt;66.67% and &gt;33.33% of the Aggregate</w:t>
            </w:r>
          </w:p>
        </w:tc>
        <w:tc>
          <w:tcPr>
            <w:tcW w:w="2520" w:type="dxa"/>
            <w:vAlign w:val="bottom"/>
            <w:gridSpan w:val="2"/>
          </w:tcPr>
          <w:p>
            <w:pPr>
              <w:jc w:val="center"/>
              <w:ind w:left="70"/>
              <w:spacing w:after="0" w:line="190" w:lineRule="exact"/>
              <w:rPr>
                <w:sz w:val="20"/>
                <w:szCs w:val="20"/>
                <w:color w:val="auto"/>
              </w:rPr>
            </w:pPr>
            <w:r>
              <w:rPr>
                <w:rFonts w:ascii="Arial" w:cs="Arial" w:eastAsia="Arial" w:hAnsi="Arial"/>
                <w:sz w:val="18"/>
                <w:szCs w:val="18"/>
                <w:color w:val="auto"/>
                <w:w w:val="93"/>
              </w:rPr>
              <w:t>1.25%</w:t>
            </w:r>
          </w:p>
        </w:tc>
        <w:tc>
          <w:tcPr>
            <w:tcW w:w="180" w:type="dxa"/>
            <w:vAlign w:val="bottom"/>
          </w:tcPr>
          <w:p>
            <w:pPr>
              <w:spacing w:after="0"/>
              <w:rPr>
                <w:sz w:val="16"/>
                <w:szCs w:val="16"/>
                <w:color w:val="auto"/>
              </w:rPr>
            </w:pPr>
          </w:p>
        </w:tc>
        <w:tc>
          <w:tcPr>
            <w:tcW w:w="2000" w:type="dxa"/>
            <w:vAlign w:val="bottom"/>
          </w:tcPr>
          <w:p>
            <w:pPr>
              <w:jc w:val="center"/>
              <w:spacing w:after="0" w:line="190" w:lineRule="exact"/>
              <w:rPr>
                <w:sz w:val="20"/>
                <w:szCs w:val="20"/>
                <w:color w:val="auto"/>
              </w:rPr>
            </w:pPr>
            <w:r>
              <w:rPr>
                <w:rFonts w:ascii="Arial" w:cs="Arial" w:eastAsia="Arial" w:hAnsi="Arial"/>
                <w:sz w:val="18"/>
                <w:szCs w:val="18"/>
                <w:color w:val="auto"/>
                <w:w w:val="90"/>
              </w:rPr>
              <w:t>0.25%</w:t>
            </w:r>
          </w:p>
        </w:tc>
      </w:tr>
      <w:tr>
        <w:trPr>
          <w:trHeight w:val="20"/>
        </w:trPr>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2"/>
        </w:trPr>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40" w:type="dxa"/>
            <w:vAlign w:val="bottom"/>
            <w:gridSpan w:val="5"/>
          </w:tcPr>
          <w:p>
            <w:pPr>
              <w:spacing w:after="0"/>
              <w:rPr>
                <w:sz w:val="20"/>
                <w:szCs w:val="20"/>
                <w:color w:val="auto"/>
              </w:rPr>
            </w:pPr>
            <w:r>
              <w:rPr>
                <w:rFonts w:ascii="Arial" w:cs="Arial" w:eastAsia="Arial" w:hAnsi="Arial"/>
                <w:sz w:val="18"/>
                <w:szCs w:val="18"/>
                <w:color w:val="auto"/>
              </w:rPr>
              <w:t>Revolving Commitments</w:t>
            </w: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Category 3</w:t>
            </w:r>
          </w:p>
        </w:tc>
        <w:tc>
          <w:tcPr>
            <w:tcW w:w="3040" w:type="dxa"/>
            <w:vAlign w:val="bottom"/>
            <w:gridSpan w:val="5"/>
          </w:tcPr>
          <w:p>
            <w:pPr>
              <w:spacing w:after="0"/>
              <w:rPr>
                <w:sz w:val="20"/>
                <w:szCs w:val="20"/>
                <w:color w:val="auto"/>
              </w:rPr>
            </w:pPr>
            <w:r>
              <w:rPr>
                <w:rFonts w:ascii="Arial" w:cs="Arial" w:eastAsia="Arial" w:hAnsi="Arial"/>
                <w:sz w:val="18"/>
                <w:szCs w:val="18"/>
                <w:color w:val="auto"/>
              </w:rPr>
              <w:t>&lt;33.33% of the Aggregate Revolving</w:t>
            </w:r>
          </w:p>
        </w:tc>
        <w:tc>
          <w:tcPr>
            <w:tcW w:w="2520" w:type="dxa"/>
            <w:vAlign w:val="bottom"/>
            <w:gridSpan w:val="2"/>
          </w:tcPr>
          <w:p>
            <w:pPr>
              <w:jc w:val="center"/>
              <w:ind w:left="70"/>
              <w:spacing w:after="0"/>
              <w:rPr>
                <w:sz w:val="20"/>
                <w:szCs w:val="20"/>
                <w:color w:val="auto"/>
              </w:rPr>
            </w:pPr>
            <w:r>
              <w:rPr>
                <w:rFonts w:ascii="Arial" w:cs="Arial" w:eastAsia="Arial" w:hAnsi="Arial"/>
                <w:sz w:val="18"/>
                <w:szCs w:val="18"/>
                <w:color w:val="auto"/>
                <w:w w:val="93"/>
              </w:rPr>
              <w:t>1.50%</w:t>
            </w:r>
          </w:p>
        </w:tc>
        <w:tc>
          <w:tcPr>
            <w:tcW w:w="18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0.50%</w:t>
            </w:r>
          </w:p>
        </w:tc>
      </w:tr>
      <w:tr>
        <w:trPr>
          <w:trHeight w:val="230"/>
        </w:trPr>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40" w:type="dxa"/>
            <w:vAlign w:val="bottom"/>
            <w:gridSpan w:val="5"/>
          </w:tcPr>
          <w:p>
            <w:pPr>
              <w:spacing w:after="0"/>
              <w:rPr>
                <w:sz w:val="20"/>
                <w:szCs w:val="20"/>
                <w:color w:val="auto"/>
              </w:rPr>
            </w:pPr>
            <w:r>
              <w:rPr>
                <w:rFonts w:ascii="Arial" w:cs="Arial" w:eastAsia="Arial" w:hAnsi="Arial"/>
                <w:sz w:val="18"/>
                <w:szCs w:val="18"/>
                <w:color w:val="auto"/>
              </w:rPr>
              <w:t>Commitments</w:t>
            </w:r>
          </w:p>
        </w:tc>
        <w:tc>
          <w:tcPr>
            <w:tcW w:w="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65"/>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2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1000"/>
          </w:cols>
          <w:pgMar w:left="440" w:top="274" w:right="459" w:bottom="1440" w:gutter="0" w:footer="0" w:header="0"/>
        </w:sectPr>
      </w:pPr>
    </w:p>
    <w:bookmarkStart w:id="37" w:name="page38"/>
    <w:bookmarkEnd w:id="37"/>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the foregoing, the Applicable Rate shall be determined by the Administrative Agent as of the end of each fiscal quarter of Holdings based upon the Borrowing Base Certificates that are delivered from time to time pursuant to Section 5.01(f) during such fiscal quarter, with any changes to the Applicable Rate resulting from changes in the Average Quarterly Availability to be effective on the fifth Business Day after the end of each fiscal quarter;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request of the Administrative Agent or the Required Lenders, the Applicable Rate shall be the applicable spreads set forth above for Category 3: (A) at any time that any Event of Default has occurred and is continuing (other than an Event of Default arising from the failure to deliver any Borrowing Base Certificate) or (B) if the Borrowers fail to deliver any Borrowing Base Certificate that is required to be delivered pursuant to Section 5.01(f), during the period from the expiration of the time for delivery thereof until five Business Days after such Borrowing Base Certificate is delivered;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if any Borrowing Base Certificate is at any time restated or otherwise revised or if the information set forth in any Borrowing Base Certificate otherwise proves to be false or incorrect such that the Applicable Rate would have been higher than was otherwise in effect during any period, without constituting a waiver of any Default or Event of Default arising as a result thereof, interest due under this Agreement shall be immediately recalculated at such higher rate for any such applicable periods and shall be due and payable on demand.</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SOFR Adjustment</w:t>
      </w:r>
      <w:r>
        <w:rPr>
          <w:rFonts w:ascii="Arial" w:cs="Arial" w:eastAsia="Arial" w:hAnsi="Arial"/>
          <w:sz w:val="18"/>
          <w:szCs w:val="18"/>
          <w:color w:val="auto"/>
        </w:rPr>
        <w:t>” means, for any calculation with respect to a SOFR Loan, 0.10%.</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meaning assigned to such term in Section 9.04.</w:t>
      </w:r>
    </w:p>
    <w:p>
      <w:pPr>
        <w:spacing w:after="0" w:line="225"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Assigned Contracts</w:t>
      </w:r>
      <w:r>
        <w:rPr>
          <w:rFonts w:ascii="Arial" w:cs="Arial" w:eastAsia="Arial" w:hAnsi="Arial"/>
          <w:sz w:val="16"/>
          <w:szCs w:val="16"/>
          <w:color w:val="auto"/>
        </w:rPr>
        <w:t>” means, with respect to any Loan Party, collectively, all of such Loan Party’s rights and remedies under, and all moneys and claims for money due or to become due to such Loan Party under, contracts and other agreements relating to the purchase and sale of Inventory and other Goods or the rendition of services, and all Accounts related thereto, between such Loan Party and any party other than the Secured Parties, and any and all amendments, supplements, extensions, and renewals thereof, including all rights and claims of any such Loan Party now or hereafter existing:</w:t>
      </w:r>
    </w:p>
    <w:p>
      <w:pPr>
        <w:spacing w:after="0" w:line="1" w:lineRule="exact"/>
        <w:rPr>
          <w:sz w:val="20"/>
          <w:szCs w:val="20"/>
          <w:color w:val="auto"/>
        </w:rPr>
      </w:pPr>
    </w:p>
    <w:p>
      <w:pPr>
        <w:ind w:left="244" w:hanging="244"/>
        <w:spacing w:after="0"/>
        <w:tabs>
          <w:tab w:leader="none" w:pos="244"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under any insurance, indemnities, warranties, and guarantees provided for or arising out of or in connection with any of the foregoing agreements;</w:t>
      </w:r>
    </w:p>
    <w:p>
      <w:pPr>
        <w:spacing w:after="0" w:line="32" w:lineRule="exact"/>
        <w:rPr>
          <w:rFonts w:ascii="Arial" w:cs="Arial" w:eastAsia="Arial" w:hAnsi="Arial"/>
          <w:sz w:val="16"/>
          <w:szCs w:val="16"/>
          <w:color w:val="auto"/>
        </w:rPr>
      </w:pPr>
    </w:p>
    <w:p>
      <w:pPr>
        <w:ind w:left="4" w:right="80" w:hanging="4"/>
        <w:spacing w:after="0" w:line="255" w:lineRule="auto"/>
        <w:tabs>
          <w:tab w:leader="none" w:pos="2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any damages arising out of or for breach or default under or in connection with any of the foregoing contracts; (c) to all other amounts from time to time paid or payable under or in connection with any of the foregoing agreements; or (d) to exercise or enforce any and all covenants, remedies, powers and privileges thereunder.</w:t>
      </w:r>
    </w:p>
    <w:p>
      <w:pPr>
        <w:spacing w:after="0" w:line="190" w:lineRule="exact"/>
        <w:rPr>
          <w:sz w:val="20"/>
          <w:szCs w:val="20"/>
          <w:color w:val="auto"/>
        </w:rPr>
      </w:pPr>
    </w:p>
    <w:p>
      <w:pPr>
        <w:ind w:left="4" w:right="4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Section 9.04), and accepted by the Administrative Agent,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approved by the Administrative Agent.</w:t>
      </w:r>
    </w:p>
    <w:p>
      <w:pPr>
        <w:spacing w:after="0" w:line="184"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Fourth Restatement Date to but excluding the earlier of the Maturity Date and the date of termination of the Revolving Commitments.</w:t>
      </w:r>
    </w:p>
    <w:p>
      <w:pPr>
        <w:spacing w:after="0" w:line="170" w:lineRule="exact"/>
        <w:rPr>
          <w:sz w:val="20"/>
          <w:szCs w:val="20"/>
          <w:color w:val="auto"/>
        </w:rPr>
      </w:pPr>
    </w:p>
    <w:p>
      <w:pPr>
        <w:ind w:left="4"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Revolving Commitment</w:t>
      </w:r>
      <w:r>
        <w:rPr>
          <w:rFonts w:ascii="Arial" w:cs="Arial" w:eastAsia="Arial" w:hAnsi="Arial"/>
          <w:sz w:val="18"/>
          <w:szCs w:val="18"/>
          <w:color w:val="auto"/>
        </w:rPr>
        <w:t xml:space="preserve">” means, at any time, the Aggregate Revolving Commitments then in effect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Revolving Exposure at such time (calculated with respect to any Defaulting Lender, as if such Defaulting Lender had funded its Applicable Percentage of all outstanding Borrowings).</w:t>
      </w:r>
    </w:p>
    <w:p>
      <w:pPr>
        <w:spacing w:after="0" w:line="184" w:lineRule="exact"/>
        <w:rPr>
          <w:sz w:val="20"/>
          <w:szCs w:val="20"/>
          <w:color w:val="auto"/>
        </w:rPr>
      </w:pPr>
    </w:p>
    <w:p>
      <w:pPr>
        <w:jc w:val="both"/>
        <w:ind w:left="4" w:right="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Tenor</w:t>
      </w:r>
      <w:r>
        <w:rPr>
          <w:rFonts w:ascii="Arial" w:cs="Arial" w:eastAsia="Arial" w:hAnsi="Arial"/>
          <w:sz w:val="16"/>
          <w:szCs w:val="16"/>
          <w:color w:val="auto"/>
        </w:rPr>
        <w:t>”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8" w:name="page39"/>
    <w:bookmarkEnd w:id="3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such date and not including, for the avoidance of doubt, any tenor for such Benchmark that is then-removed from the definition of “Interest Period” pursuant to Section 2.14(d).</w:t>
      </w:r>
    </w:p>
    <w:p>
      <w:pPr>
        <w:spacing w:after="0" w:line="170"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Average Quarterly Availability</w:t>
      </w:r>
      <w:r>
        <w:rPr>
          <w:rFonts w:ascii="Arial" w:cs="Arial" w:eastAsia="Arial" w:hAnsi="Arial"/>
          <w:sz w:val="16"/>
          <w:szCs w:val="16"/>
          <w:color w:val="auto"/>
        </w:rPr>
        <w:t>” means, for any fiscal quarter, the average daily Aggregate Availability for such fiscal quarter. Average Quarterly Availability shall be calculated by the Borrower Representative in a manner acceptable to the Administrative Agent in its Permitted Discretion.</w:t>
      </w:r>
    </w:p>
    <w:p>
      <w:pPr>
        <w:spacing w:after="0" w:line="124"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Average Utilization</w:t>
      </w:r>
      <w:r>
        <w:rPr>
          <w:rFonts w:ascii="Arial" w:cs="Arial" w:eastAsia="Arial" w:hAnsi="Arial"/>
          <w:sz w:val="17"/>
          <w:szCs w:val="17"/>
          <w:color w:val="auto"/>
        </w:rPr>
        <w:t>” means, for any period, the average total daily Revolving Exposure of all Lenders during such period. Average Utilization shall be calculated by the Borrower Representative in a manner acceptable to the Administrative Agent in its Permitted Discretion.</w:t>
      </w:r>
    </w:p>
    <w:p>
      <w:pPr>
        <w:spacing w:after="0" w:line="14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Banking Services</w:t>
      </w:r>
      <w:r>
        <w:rPr>
          <w:rFonts w:ascii="Arial" w:cs="Arial" w:eastAsia="Arial" w:hAnsi="Arial"/>
          <w:sz w:val="16"/>
          <w:szCs w:val="16"/>
          <w:color w:val="auto"/>
        </w:rPr>
        <w:t>” means each and any of the following bank services provided to any Loan Party by any Lender or any Affiliate of a Lender (or any Person that was a Lender or an Affiliate of a Lender at the time the service was initially provided, or in the case of any services in effect on the Fourth Restatement Date, was a Lender or an Affiliate of a Lender as of such date): (a) credit cards for commercial customers (including, without limitation, “commercial credit cards” and purchasing cards), (b) stored value cards, (c) credit cards issued to employees of Holdings and its Subsidiaries for travel, entertainment and similar expenses, (d) supply chain finance arrangements, and (e) treasury management services (including, without limitation, controlled disbursement, automated clearinghouse transactions, return items, overdrafts and interstate depository network services).</w:t>
      </w:r>
    </w:p>
    <w:p>
      <w:pPr>
        <w:spacing w:after="0" w:line="16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Obligations</w:t>
      </w:r>
      <w:r>
        <w:rPr>
          <w:rFonts w:ascii="Arial" w:cs="Arial" w:eastAsia="Arial" w:hAnsi="Arial"/>
          <w:sz w:val="18"/>
          <w:szCs w:val="18"/>
          <w:color w:val="auto"/>
        </w:rPr>
        <w:t>” means any and all obligations of the Loan Parties, whether absolute or contingent and howsoever and whensoever created, arising, evidenced or acquired (including all renewals, extensions and modifications thereof and substitutions therefor) in connection with Banking Services.</w:t>
      </w:r>
    </w:p>
    <w:p>
      <w:pPr>
        <w:spacing w:after="0" w:line="18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Reserves</w:t>
      </w:r>
      <w:r>
        <w:rPr>
          <w:rFonts w:ascii="Arial" w:cs="Arial" w:eastAsia="Arial" w:hAnsi="Arial"/>
          <w:sz w:val="18"/>
          <w:szCs w:val="18"/>
          <w:color w:val="auto"/>
        </w:rPr>
        <w:t>” means all Reserves which the Administrative Agent from time to time establishes in its Permitted Discretion for Banking Services then provided or outstanding.</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Event</w:t>
      </w:r>
      <w:r>
        <w:rPr>
          <w:rFonts w:ascii="Arial" w:cs="Arial" w:eastAsia="Arial" w:hAnsi="Arial"/>
          <w:sz w:val="17"/>
          <w:szCs w:val="17"/>
          <w:color w:val="auto"/>
        </w:rPr>
        <w:t xml:space="preserve">” means, with respect to any Person, such Person becomes the subject of a bankruptcy or insolvency proceeding or proposal, or has had a receiver, interim receiver, receiver and manager, monitor, sequestrator, conservator, trustee, administrator, custodian, assignee for the benefit of creditors or similar Person charged with reorganization or liquidation of its business, appointed for it, or, in the good faith determination of the Administrative Agent, has taken any action in furtherance of, or indicating its consent to, approval of, or acquiescence in, any such proceeding, proposal or appointment,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such ownership interest does not result in or provide such Person with immunity from the jurisdiction of courts within the United States or Canada or from the enforcement of judgments or writs of attachment on its assets or permit such Person (or such Governmental Authority or instrumentality), to reject, repudiate, disavow or disaffirm any contracts or agreements made by such Person.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Barclays</w:t>
      </w:r>
      <w:r>
        <w:rPr>
          <w:rFonts w:ascii="Arial" w:cs="Arial" w:eastAsia="Arial" w:hAnsi="Arial"/>
          <w:sz w:val="18"/>
          <w:szCs w:val="18"/>
          <w:color w:val="auto"/>
        </w:rPr>
        <w:t>” means Barclays Bank PLC and its successors.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Term SOFR Determination Day</w:t>
      </w:r>
      <w:r>
        <w:rPr>
          <w:rFonts w:ascii="Arial" w:cs="Arial" w:eastAsia="Arial" w:hAnsi="Arial"/>
          <w:sz w:val="18"/>
          <w:szCs w:val="18"/>
          <w:color w:val="auto"/>
        </w:rPr>
        <w:t>” has the meaning assigned to such term in the definition of “Term SOFR”.</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9" w:name="page40"/>
    <w:bookmarkEnd w:id="39"/>
    <w:p>
      <w:pPr>
        <w:jc w:val="both"/>
        <w:ind w:right="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with respect to (a) Loans denominated in dollars, Term SOFR or Daily Simple SOFR, and (b) Loans denominated in Canadian Dollars, the CDOR Screen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 has occurred with respect to the then-current Benchmark, then “Benchmark” means the applicable Benchmark Replacement to the extent that such Benchmark Replacement has replaced such prior benchmark rate pursuant to Section 2.14(d).</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means with respect to any Benchmark Transition Event, the first alternative set forth in the order below that can be determined by the Administrative Agent for the applicable Benchmark Replacement Date; provided that, in the case of any Benchmark other than Term SOFR, “Benchmark Replacement” shall mean the alternative set forth in clause (b) below:</w:t>
      </w:r>
    </w:p>
    <w:p>
      <w:pPr>
        <w:spacing w:after="0" w:line="76" w:lineRule="exact"/>
        <w:rPr>
          <w:sz w:val="20"/>
          <w:szCs w:val="20"/>
          <w:color w:val="auto"/>
        </w:rPr>
      </w:pPr>
    </w:p>
    <w:p>
      <w:pPr>
        <w:ind w:left="680" w:hanging="244"/>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Daily Simple SOFR; or</w:t>
      </w:r>
    </w:p>
    <w:p>
      <w:pPr>
        <w:spacing w:after="0" w:line="117" w:lineRule="exact"/>
        <w:rPr>
          <w:rFonts w:ascii="Arial" w:cs="Arial" w:eastAsia="Arial" w:hAnsi="Arial"/>
          <w:sz w:val="18"/>
          <w:szCs w:val="18"/>
          <w:color w:val="auto"/>
        </w:rPr>
      </w:pPr>
    </w:p>
    <w:p>
      <w:pPr>
        <w:jc w:val="both"/>
        <w:ind w:right="160" w:firstLine="436"/>
        <w:spacing w:after="0" w:line="279" w:lineRule="auto"/>
        <w:tabs>
          <w:tab w:leader="none" w:pos="6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sum of: (i) the alternate benchmark rate that has been selected by the Administrative Agent and the Borrower Representative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syndicated credit facilities and (ii) the related Benchmark Replacement Adjustment;</w:t>
      </w:r>
    </w:p>
    <w:p>
      <w:pPr>
        <w:spacing w:after="0" w:line="171"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that if the Benchmark Replacement (as so determined and after giving effect to any applicable spread adjustments) would be less than zero, the Benchmark Replacement will be deemed to be zero for the purposes of this Agreement and the other Loan Documents.</w:t>
      </w:r>
    </w:p>
    <w:p>
      <w:pPr>
        <w:spacing w:after="0" w:line="146"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Adjustment</w:t>
      </w:r>
      <w:r>
        <w:rPr>
          <w:rFonts w:ascii="Arial" w:cs="Arial" w:eastAsia="Arial" w:hAnsi="Arial"/>
          <w:sz w:val="17"/>
          <w:szCs w:val="17"/>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Representative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the earliest to occur of the following events with respect to the then-current Benchmark:</w:t>
      </w:r>
    </w:p>
    <w:p>
      <w:pPr>
        <w:spacing w:after="0" w:line="117" w:lineRule="exact"/>
        <w:rPr>
          <w:sz w:val="20"/>
          <w:szCs w:val="20"/>
          <w:color w:val="auto"/>
        </w:rPr>
      </w:pPr>
    </w:p>
    <w:p>
      <w:pPr>
        <w:ind w:right="140" w:firstLine="987"/>
        <w:spacing w:after="0" w:line="311" w:lineRule="auto"/>
        <w:tabs>
          <w:tab w:leader="none" w:pos="12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40" w:lineRule="exact"/>
        <w:rPr>
          <w:rFonts w:ascii="Arial" w:cs="Arial" w:eastAsia="Arial" w:hAnsi="Arial"/>
          <w:sz w:val="16"/>
          <w:szCs w:val="16"/>
          <w:color w:val="auto"/>
        </w:rPr>
      </w:pPr>
    </w:p>
    <w:p>
      <w:pPr>
        <w:ind w:right="60" w:firstLine="987"/>
        <w:spacing w:after="0" w:line="293" w:lineRule="auto"/>
        <w:tabs>
          <w:tab w:leader="none" w:pos="1246"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56" w:lineRule="exact"/>
        <w:rPr>
          <w:sz w:val="20"/>
          <w:szCs w:val="20"/>
          <w:color w:val="auto"/>
        </w:rPr>
      </w:pPr>
    </w:p>
    <w:p>
      <w:pPr>
        <w:jc w:val="both"/>
        <w:ind w:right="280" w:firstLine="991"/>
        <w:spacing w:after="0" w:line="263" w:lineRule="auto"/>
        <w:rPr>
          <w:sz w:val="20"/>
          <w:szCs w:val="20"/>
          <w:color w:val="auto"/>
        </w:rPr>
      </w:pPr>
      <w:r>
        <w:rPr>
          <w:rFonts w:ascii="Arial" w:cs="Arial" w:eastAsia="Arial" w:hAnsi="Arial"/>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40" w:top="274" w:right="539" w:bottom="1440" w:gutter="0" w:footer="0" w:header="0"/>
        </w:sectPr>
      </w:pPr>
    </w:p>
    <w:bookmarkStart w:id="40" w:name="page41"/>
    <w:bookmarkEnd w:id="40"/>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Benchmark Transition Event</w:t>
      </w:r>
      <w:r>
        <w:rPr>
          <w:rFonts w:ascii="Arial" w:cs="Arial" w:eastAsia="Arial" w:hAnsi="Arial"/>
          <w:sz w:val="17"/>
          <w:szCs w:val="17"/>
          <w:color w:val="auto"/>
        </w:rPr>
        <w:t>” means the occurrence of one or more of the following events with respect to the then-current Benchmark:</w:t>
      </w:r>
    </w:p>
    <w:p>
      <w:pPr>
        <w:spacing w:after="0" w:line="129" w:lineRule="exact"/>
        <w:rPr>
          <w:sz w:val="20"/>
          <w:szCs w:val="20"/>
          <w:color w:val="auto"/>
        </w:rPr>
      </w:pPr>
    </w:p>
    <w:p>
      <w:pPr>
        <w:ind w:right="60" w:firstLine="987"/>
        <w:spacing w:after="0" w:line="259" w:lineRule="auto"/>
        <w:tabs>
          <w:tab w:leader="none" w:pos="12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78" w:lineRule="exact"/>
        <w:rPr>
          <w:rFonts w:ascii="Arial" w:cs="Arial" w:eastAsia="Arial" w:hAnsi="Arial"/>
          <w:sz w:val="18"/>
          <w:szCs w:val="18"/>
          <w:color w:val="auto"/>
        </w:rPr>
      </w:pPr>
    </w:p>
    <w:p>
      <w:pPr>
        <w:ind w:firstLine="987"/>
        <w:spacing w:after="0" w:line="291" w:lineRule="auto"/>
        <w:tabs>
          <w:tab w:leader="none" w:pos="1246"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58" w:lineRule="exact"/>
        <w:rPr>
          <w:rFonts w:ascii="Arial" w:cs="Arial" w:eastAsia="Arial" w:hAnsi="Arial"/>
          <w:sz w:val="16"/>
          <w:szCs w:val="16"/>
          <w:color w:val="auto"/>
        </w:rPr>
      </w:pPr>
    </w:p>
    <w:p>
      <w:pPr>
        <w:ind w:right="160" w:firstLine="987"/>
        <w:spacing w:after="0" w:line="301" w:lineRule="auto"/>
        <w:tabs>
          <w:tab w:leader="none" w:pos="1236"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157"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means, the period (if any) (a) beginning at the time that a Benchmark Replacement Date has occurred if, at such time, no Benchmark Replacement has replaced the then-current Benchmark for all purposes hereunder and under any Loan Document in accordance with Section 2.14(d) ending at the time that a Benchmark Replacement has replaced the then-current Benchmark for all purposes hereunder and under any Loan Document in accordance with Section 2.14(d).</w:t>
      </w:r>
    </w:p>
    <w:p>
      <w:pPr>
        <w:spacing w:after="0" w:line="187"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or control as required by the Beneficial Ownership Regulation.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Blocking Regulations</w:t>
      </w:r>
      <w:r>
        <w:rPr>
          <w:rFonts w:ascii="Arial" w:cs="Arial" w:eastAsia="Arial" w:hAnsi="Arial"/>
          <w:sz w:val="17"/>
          <w:szCs w:val="17"/>
          <w:color w:val="auto"/>
        </w:rPr>
        <w:t>” means anti-boycott laws or regulations, including, without limitation, under section 7 of the German Foreign Trade Regulation (Außenwirtschaftsverordnung, “</w:t>
      </w:r>
      <w:r>
        <w:rPr>
          <w:rFonts w:ascii="Arial" w:cs="Arial" w:eastAsia="Arial" w:hAnsi="Arial"/>
          <w:sz w:val="17"/>
          <w:szCs w:val="17"/>
          <w:u w:val="single" w:color="auto"/>
          <w:color w:val="auto"/>
        </w:rPr>
        <w:t>AWV</w:t>
      </w:r>
      <w:r>
        <w:rPr>
          <w:rFonts w:ascii="Arial" w:cs="Arial" w:eastAsia="Arial" w:hAnsi="Arial"/>
          <w:sz w:val="17"/>
          <w:szCs w:val="17"/>
          <w:color w:val="auto"/>
        </w:rPr>
        <w:t>”) (in conjunction with sections 4, 19 paragraph 3 no. 1a) of the German Foreign Trade Act (Außenwirtschaftsgesetz) and section 81 paragraph 1 no. 1 AWV, the United Kingdom Extraterritorial US Legislation (Sanctions against Cuba, Iran and Libya) (Protection of Trading Interests) Order 1996, as amended (including pursuant to the United Kingdom Extraterritorial US Legislation (Sanctions against Cuba, Iran and Libya) (Protection of Trading Interests) (Amendment) Order 2018),</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provision of Council Regulation (EC) 2271/96 and any provision of Commission Delegated Regulation (EC) No. 2018/1100.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or “</w:t>
      </w:r>
      <w:r>
        <w:rPr>
          <w:rFonts w:ascii="Arial" w:cs="Arial" w:eastAsia="Arial" w:hAnsi="Arial"/>
          <w:sz w:val="18"/>
          <w:szCs w:val="18"/>
          <w:u w:val="single" w:color="auto"/>
          <w:color w:val="auto"/>
        </w:rPr>
        <w:t>Borrowers</w:t>
      </w:r>
      <w:r>
        <w:rPr>
          <w:rFonts w:ascii="Arial" w:cs="Arial" w:eastAsia="Arial" w:hAnsi="Arial"/>
          <w:sz w:val="18"/>
          <w:szCs w:val="18"/>
          <w:color w:val="auto"/>
        </w:rPr>
        <w:t>” means, individually or collectively, the U.S. Borrowers and the Canadian Borrowers.</w:t>
      </w:r>
    </w:p>
    <w:p>
      <w:pPr>
        <w:spacing w:after="0" w:line="225"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Representative</w:t>
      </w:r>
      <w:r>
        <w:rPr>
          <w:rFonts w:ascii="Arial" w:cs="Arial" w:eastAsia="Arial" w:hAnsi="Arial"/>
          <w:sz w:val="18"/>
          <w:szCs w:val="18"/>
          <w:color w:val="auto"/>
        </w:rPr>
        <w:t>” means WESCO Distribution, Inc., a Delaware corporation, in its capacity as contractual representative of the Borrowers pursuant to Article XI.</w:t>
      </w:r>
    </w:p>
    <w:p>
      <w:pPr>
        <w:spacing w:after="0" w:line="170" w:lineRule="exact"/>
        <w:rPr>
          <w:sz w:val="20"/>
          <w:szCs w:val="20"/>
          <w:color w:val="auto"/>
        </w:rPr>
      </w:pPr>
    </w:p>
    <w:p>
      <w:pPr>
        <w:ind w:right="2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w:t>
      </w:r>
      <w:r>
        <w:rPr>
          <w:rFonts w:ascii="Arial" w:cs="Arial" w:eastAsia="Arial" w:hAnsi="Arial"/>
          <w:sz w:val="16"/>
          <w:szCs w:val="16"/>
          <w:color w:val="auto"/>
        </w:rPr>
        <w:t>” means (a) Revolving Loans of the same Type, made, converted or continued on the same date and, in the case of SOFR Loans or CDOR Rate Loans, as to which a single Interest Period is in effect, (b) a Swingline Loan, (c) a Protective Advance and (d) an Overadvance.</w:t>
      </w:r>
    </w:p>
    <w:p>
      <w:pPr>
        <w:spacing w:after="0" w:line="124" w:lineRule="exact"/>
        <w:rPr>
          <w:sz w:val="20"/>
          <w:szCs w:val="20"/>
          <w:color w:val="auto"/>
        </w:rPr>
      </w:pPr>
    </w:p>
    <w:p>
      <w:pPr>
        <w:ind w:right="28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Base Certificate</w:t>
      </w:r>
      <w:r>
        <w:rPr>
          <w:rFonts w:ascii="Arial" w:cs="Arial" w:eastAsia="Arial" w:hAnsi="Arial"/>
          <w:sz w:val="16"/>
          <w:szCs w:val="16"/>
          <w:color w:val="auto"/>
        </w:rPr>
        <w:t xml:space="preserve">” means a certificate, signed and certified as accurate and complete by a Financial Officer of the Borrower Representative, in substantially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another form which is acceptable to the Administrative Agent in its Permitted Discretion (it being understood that the Borrowing Base Certificate delivered to Administrative Agent on the Fourth Restatement Date is acceptable to the Administrative Agent) setting forth the Aggregate Borrowing Base, the Canadian Borrowing Base and the U.S. Borrowing Base.</w:t>
      </w:r>
    </w:p>
    <w:p>
      <w:pPr>
        <w:spacing w:after="0" w:line="15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Representative for a Revolving Borrowing in accordance with Section 2.03 substantially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attached 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Bridge Debt</w:t>
      </w:r>
      <w:r>
        <w:rPr>
          <w:rFonts w:ascii="Arial" w:cs="Arial" w:eastAsia="Arial" w:hAnsi="Arial"/>
          <w:sz w:val="18"/>
          <w:szCs w:val="18"/>
          <w:color w:val="auto"/>
        </w:rPr>
        <w:t>” has the meaning assigned to such term in Section 6.01(l).</w:t>
      </w:r>
    </w:p>
    <w:p>
      <w:pPr>
        <w:spacing w:after="0" w:line="22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that is not a Saturday, Sunday or other day on which commercial banks in New York City are authorized or required by law to remain closed; provided that, (a) when used in connection with a SOFR Loan or any U.S. Letter of Credit denominated in a currency other than dollars, the term “Business Day” shall also exclude any day on which banks are not open for dealings in the applicable currency in the London interbank market; (b) when used in connection with any Canadian Dollar Loan or Canadian Letter of Credit, the term “</w:t>
      </w:r>
      <w:r>
        <w:rPr>
          <w:rFonts w:ascii="Arial" w:cs="Arial" w:eastAsia="Arial" w:hAnsi="Arial"/>
          <w:sz w:val="17"/>
          <w:szCs w:val="17"/>
          <w:u w:val="single" w:color="auto"/>
          <w:color w:val="auto"/>
        </w:rPr>
        <w:t>Business Day</w:t>
      </w:r>
      <w:r>
        <w:rPr>
          <w:rFonts w:ascii="Arial" w:cs="Arial" w:eastAsia="Arial" w:hAnsi="Arial"/>
          <w:sz w:val="17"/>
          <w:szCs w:val="17"/>
          <w:color w:val="auto"/>
        </w:rPr>
        <w:t>” shall also exclude any day in which commercial banks in Toronto, Canada are authorized or required by law to remain closed; (c) in the case of any U.S. Letter of Credit denominated in Euros, the term “</w:t>
      </w:r>
      <w:r>
        <w:rPr>
          <w:rFonts w:ascii="Arial" w:cs="Arial" w:eastAsia="Arial" w:hAnsi="Arial"/>
          <w:sz w:val="17"/>
          <w:szCs w:val="17"/>
          <w:u w:val="single" w:color="auto"/>
          <w:color w:val="auto"/>
        </w:rPr>
        <w:t>Business Day</w:t>
      </w:r>
      <w:r>
        <w:rPr>
          <w:rFonts w:ascii="Arial" w:cs="Arial" w:eastAsia="Arial" w:hAnsi="Arial"/>
          <w:sz w:val="17"/>
          <w:szCs w:val="17"/>
          <w:color w:val="auto"/>
        </w:rPr>
        <w:t>” shall also exclude any day which is not a TARGET Day as determined by the Administrative Agent; and (d) when used in connection with any U.S. Letter of Credit denominated in Sterling, the term “</w:t>
      </w:r>
      <w:r>
        <w:rPr>
          <w:rFonts w:ascii="Arial" w:cs="Arial" w:eastAsia="Arial" w:hAnsi="Arial"/>
          <w:sz w:val="17"/>
          <w:szCs w:val="17"/>
          <w:u w:val="single" w:color="auto"/>
          <w:color w:val="auto"/>
        </w:rPr>
        <w:t>Business Day</w:t>
      </w:r>
      <w:r>
        <w:rPr>
          <w:rFonts w:ascii="Arial" w:cs="Arial" w:eastAsia="Arial" w:hAnsi="Arial"/>
          <w:sz w:val="17"/>
          <w:szCs w:val="17"/>
          <w:color w:val="auto"/>
        </w:rPr>
        <w:t>” shall also exclude any day on which commercial banks in London, England are authorized or required by law to remain closed.</w:t>
      </w:r>
    </w:p>
    <w:p>
      <w:pPr>
        <w:spacing w:after="0" w:line="178"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Availability</w:t>
      </w:r>
      <w:r>
        <w:rPr>
          <w:rFonts w:ascii="Arial" w:cs="Arial" w:eastAsia="Arial" w:hAnsi="Arial"/>
          <w:sz w:val="18"/>
          <w:szCs w:val="18"/>
          <w:color w:val="auto"/>
        </w:rPr>
        <w:t xml:space="preserve">” means (a) the lesser of (i) the Revolving Commitment, (ii) the Canadian Sublimit and (iii) the sum of (A) the Canadian Borrowing Base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solely to the extent the total Canadian Revolving Exposure exceeds the Canadian Borrowing Base, the U.S. Availability (if any, to the extent that it is available),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total Canadian Revolving Exposure (calculated with respect to any Defaulting Lender, as if such Defaulting Lender had funded its Applicable Percentage of all outstanding Borrowings).</w:t>
      </w:r>
    </w:p>
    <w:p>
      <w:pPr>
        <w:spacing w:after="0" w:line="18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Benefit Plans</w:t>
      </w:r>
      <w:r>
        <w:rPr>
          <w:rFonts w:ascii="Arial" w:cs="Arial" w:eastAsia="Arial" w:hAnsi="Arial"/>
          <w:sz w:val="18"/>
          <w:szCs w:val="18"/>
          <w:color w:val="auto"/>
        </w:rPr>
        <w:t>” means any plan, fund, program, or policy, whether oral or written, formal or informal, funded or unfunded, insured or uninsured, providing employee benefits, including medical, hospital care, dental, sickness, accident, disability, life insurance, pension, retirement or savings benefits, under which any Loan Party or any Subsidiary of any Loan Party has any liability with respect to any Canadian employee or former Canadian employee, but excluding any Canadian Pension Plans.</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Blocked Person</w:t>
      </w:r>
      <w:r>
        <w:rPr>
          <w:rFonts w:ascii="Arial" w:cs="Arial" w:eastAsia="Arial" w:hAnsi="Arial"/>
          <w:sz w:val="18"/>
          <w:szCs w:val="18"/>
          <w:color w:val="auto"/>
        </w:rPr>
        <w:t>” means any Person that is a “designated person,” “politically exposed foreign person” or “terrorist group” as described in any Canadian Economic Sanctions and Export Control Laws.</w:t>
      </w:r>
    </w:p>
    <w:p>
      <w:pPr>
        <w:spacing w:after="0" w:line="17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Borrower</w:t>
      </w:r>
      <w:r>
        <w:rPr>
          <w:rFonts w:ascii="Arial" w:cs="Arial" w:eastAsia="Arial" w:hAnsi="Arial"/>
          <w:sz w:val="18"/>
          <w:szCs w:val="18"/>
          <w:color w:val="auto"/>
        </w:rPr>
        <w:t>” or “</w:t>
      </w:r>
      <w:r>
        <w:rPr>
          <w:rFonts w:ascii="Arial" w:cs="Arial" w:eastAsia="Arial" w:hAnsi="Arial"/>
          <w:sz w:val="18"/>
          <w:szCs w:val="18"/>
          <w:u w:val="single" w:color="auto"/>
          <w:color w:val="auto"/>
        </w:rPr>
        <w:t>Canadian Borrowers</w:t>
      </w:r>
      <w:r>
        <w:rPr>
          <w:rFonts w:ascii="Arial" w:cs="Arial" w:eastAsia="Arial" w:hAnsi="Arial"/>
          <w:sz w:val="18"/>
          <w:szCs w:val="18"/>
          <w:color w:val="auto"/>
        </w:rPr>
        <w:t xml:space="preserve">” means, individually or collectively as the context may require: (a) the entities listed on the </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Party Schedule</w:t>
      </w:r>
      <w:r>
        <w:rPr>
          <w:rFonts w:ascii="Arial" w:cs="Arial" w:eastAsia="Arial" w:hAnsi="Arial"/>
          <w:sz w:val="18"/>
          <w:szCs w:val="18"/>
          <w:color w:val="auto"/>
        </w:rPr>
        <w:t xml:space="preserve"> attached hereto under the heading “Canadian Borrowers,” (b) any entity resulting from an amalgamation between any Person referred to in the foregoing clause (a) or this clause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42" w:name="page43"/>
    <w:bookmarkEnd w:id="42"/>
    <w:p>
      <w:pPr>
        <w:ind w:left="4" w:hanging="4"/>
        <w:spacing w:after="0" w:line="263" w:lineRule="auto"/>
        <w:tabs>
          <w:tab w:leader="none" w:pos="259"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any other Person permitted by this Agreement, and (c) any Canadian Subsidiary of Holdings that becomes a party to this Agreement as an additional borrower with the consent of the Administrative Agent after the Fourth Restatement Date pursuant to a Joinder Agreement in accordance with Section 5.13.</w:t>
      </w:r>
    </w:p>
    <w:p>
      <w:pPr>
        <w:spacing w:after="0" w:line="184" w:lineRule="exact"/>
        <w:rPr>
          <w:sz w:val="20"/>
          <w:szCs w:val="20"/>
          <w:color w:val="auto"/>
        </w:rPr>
      </w:pPr>
    </w:p>
    <w:p>
      <w:pPr>
        <w:ind w:left="4" w:right="10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Borrowing Base</w:t>
      </w:r>
      <w:r>
        <w:rPr>
          <w:rFonts w:ascii="Arial" w:cs="Arial" w:eastAsia="Arial" w:hAnsi="Arial"/>
          <w:sz w:val="18"/>
          <w:szCs w:val="18"/>
          <w:color w:val="auto"/>
        </w:rPr>
        <w:t xml:space="preserve">” means, at any time, the sum of (a) 85% of the Eligible Accounts owing to the Canadian Loan Parties (other than Intermediate Holding Companies)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lesser of (i) 70% of the Canadian Borrowers’ Eligible Inventory, valued at the lower of cost or market value, determined on a first-in-first-out basis, at such time and (ii) the product of 90% multiplied by the Net Orderly Liquidation Value percentage identified in the most recent inventory appraisal ordered by the Administrative Agent multiplied by the Canadian Loan Parties’ (other than Intermediate Holding Companies) Eligible Inventory (determined after taking into account adjustments made in such appraisal in the calculation of the Net Orderly Liquidation Value percentage), valued at the lower of cost or market value, determined on a first-in-first-out basis, at such time,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 Reserves.</w:t>
      </w:r>
    </w:p>
    <w:p>
      <w:pPr>
        <w:spacing w:after="0" w:line="195" w:lineRule="exact"/>
        <w:rPr>
          <w:sz w:val="20"/>
          <w:szCs w:val="20"/>
          <w:color w:val="auto"/>
        </w:rPr>
      </w:pPr>
    </w:p>
    <w:p>
      <w:pPr>
        <w:ind w:left="4" w:right="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Cash Management Bank</w:t>
      </w:r>
      <w:r>
        <w:rPr>
          <w:rFonts w:ascii="Arial" w:cs="Arial" w:eastAsia="Arial" w:hAnsi="Arial"/>
          <w:sz w:val="18"/>
          <w:szCs w:val="18"/>
          <w:color w:val="auto"/>
        </w:rPr>
        <w:t xml:space="preserve">” means (a) as of the Fourth Restatement Date, each of Toronto Dominion Bank and the Bank of Nova Scotia, in their respective capacities as the depositary banks for the Canadian Loan Parties, and (b) at any time after the Fourth Restatement Date, any one or more of the Canadian Lenders selected by the Canadian Loan Parties, in consultation with the Administrative Agent, to become either a successor principal depository bank or an additional depository bank for the Canadian Loan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the Administrative Agent otherwise consents in writing, no Person shall become the successor “</w:t>
      </w:r>
      <w:r>
        <w:rPr>
          <w:rFonts w:ascii="Arial" w:cs="Arial" w:eastAsia="Arial" w:hAnsi="Arial"/>
          <w:sz w:val="18"/>
          <w:szCs w:val="18"/>
          <w:u w:val="single" w:color="auto"/>
          <w:color w:val="auto"/>
        </w:rPr>
        <w:t>Canadian Cash Management Bank</w:t>
      </w:r>
      <w:r>
        <w:rPr>
          <w:rFonts w:ascii="Arial" w:cs="Arial" w:eastAsia="Arial" w:hAnsi="Arial"/>
          <w:sz w:val="18"/>
          <w:szCs w:val="18"/>
          <w:color w:val="auto"/>
        </w:rPr>
        <w:t>” unless and until such Person shall have entered into a Control Agreement with the Canadian Loan Parties and the Administrative Agent in form and substance reasonably acceptable to the Administrative Agent.</w:t>
      </w:r>
    </w:p>
    <w:p>
      <w:pPr>
        <w:spacing w:after="0" w:line="195" w:lineRule="exact"/>
        <w:rPr>
          <w:sz w:val="20"/>
          <w:szCs w:val="20"/>
          <w:color w:val="auto"/>
        </w:rPr>
      </w:pPr>
    </w:p>
    <w:p>
      <w:pPr>
        <w:ind w:left="4" w:right="1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Collection Account</w:t>
      </w:r>
      <w:r>
        <w:rPr>
          <w:rFonts w:ascii="Arial" w:cs="Arial" w:eastAsia="Arial" w:hAnsi="Arial"/>
          <w:sz w:val="17"/>
          <w:szCs w:val="17"/>
          <w:color w:val="auto"/>
        </w:rPr>
        <w:t>” means the account at Barclays (or another commercial bank in the name of the Administrative Agent and under the sole dominion and control of the Administrative Agent, and otherwise established in a manner reasonably satisfactory to the Administrative Agent), so designated by the Administrative Agent, in a written notice delivered to the Borrower Representative, to be the “Canadian Collection Account,” to which funds on deposit in Deposit Accounts (other than Excluded Accounts) maintained by the Canadian Loan Parties with the Canadian Cash Management Bank and all collections and other payments received in respect of the Accounts of the Canadian Loan Parties by the Canadian Cash Management Bank shall be remitted at all times during a Cash Dominion Period.</w:t>
      </w:r>
    </w:p>
    <w:p>
      <w:pPr>
        <w:spacing w:after="0" w:line="178"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Commitment</w:t>
      </w:r>
      <w:r>
        <w:rPr>
          <w:rFonts w:ascii="Arial" w:cs="Arial" w:eastAsia="Arial" w:hAnsi="Arial"/>
          <w:sz w:val="16"/>
          <w:szCs w:val="16"/>
          <w:color w:val="auto"/>
        </w:rPr>
        <w:t xml:space="preserve">” means, with respect to each Canadian Lender, the commitment, if any, of such Canadian Lender to make Canadian Revolving Loans and to acquire participations in Canadian Letters of Credit, Canadian Overadvances and Canadian Swingline Loans hereunder, expressed as an amount representing the maximum possible aggregate amount of such Canadian Lender’s Canadian Revolving Exposure hereunder, as such commitment may be reduced or increased from time to time pursuant to (a) Section 2.09 and (b) assignments by or to such Canadian Lender pursuant to Section 9.04. The initial amount of each Canadian Lender’s Canadian Commitment is set forth on the </w:t>
      </w:r>
      <w:r>
        <w:rPr>
          <w:rFonts w:ascii="Arial" w:cs="Arial" w:eastAsia="Arial" w:hAnsi="Arial"/>
          <w:sz w:val="16"/>
          <w:szCs w:val="16"/>
          <w:u w:val="single" w:color="auto"/>
          <w:color w:val="auto"/>
        </w:rPr>
        <w:t>Revolving Commitment Schedule,</w:t>
      </w:r>
      <w:r>
        <w:rPr>
          <w:rFonts w:ascii="Arial" w:cs="Arial" w:eastAsia="Arial" w:hAnsi="Arial"/>
          <w:sz w:val="16"/>
          <w:szCs w:val="16"/>
          <w:color w:val="auto"/>
        </w:rPr>
        <w:t xml:space="preserve"> or in the Assignment and Assumption pursuant to which such Canadian Lender shall have assumed its Canadian Commitment, as applicable. The Canadian Commitment is a sub-facility of the Revolving Commitment and is not in addition to the Revolving Commitment. As of the </w:t>
      </w:r>
      <w:r>
        <w:rPr>
          <w:rFonts w:ascii="Arial" w:cs="Arial" w:eastAsia="Arial" w:hAnsi="Arial"/>
          <w:sz w:val="16"/>
          <w:szCs w:val="16"/>
          <w:b w:val="1"/>
          <w:bCs w:val="1"/>
          <w:color w:val="FF0000"/>
          <w:strike w:val="1"/>
        </w:rPr>
        <w:t>Second</w:t>
      </w:r>
      <w:r>
        <w:rPr>
          <w:rFonts w:ascii="Arial" w:cs="Arial" w:eastAsia="Arial" w:hAnsi="Arial"/>
          <w:sz w:val="16"/>
          <w:szCs w:val="16"/>
          <w:b w:val="1"/>
          <w:bCs w:val="1"/>
          <w:u w:val="single" w:color="auto"/>
          <w:color w:val="0000FF"/>
        </w:rPr>
        <w:t>Third</w:t>
      </w:r>
      <w:r>
        <w:rPr>
          <w:rFonts w:ascii="Arial" w:cs="Arial" w:eastAsia="Arial" w:hAnsi="Arial"/>
          <w:sz w:val="16"/>
          <w:szCs w:val="16"/>
          <w:color w:val="auto"/>
        </w:rPr>
        <w:t xml:space="preserve"> Amendment Effective Date, the aggregate Canadian Commitments are $</w:t>
      </w:r>
      <w:r>
        <w:rPr>
          <w:rFonts w:ascii="Arial" w:cs="Arial" w:eastAsia="Arial" w:hAnsi="Arial"/>
          <w:sz w:val="16"/>
          <w:szCs w:val="16"/>
          <w:b w:val="1"/>
          <w:bCs w:val="1"/>
          <w:color w:val="FF0000"/>
          <w:strike w:val="1"/>
        </w:rPr>
        <w:t>550,000,000</w:t>
      </w:r>
      <w:r>
        <w:rPr>
          <w:rFonts w:ascii="Arial" w:cs="Arial" w:eastAsia="Arial" w:hAnsi="Arial"/>
          <w:sz w:val="16"/>
          <w:szCs w:val="16"/>
          <w:b w:val="1"/>
          <w:bCs w:val="1"/>
          <w:u w:val="single" w:color="auto"/>
          <w:color w:val="0000FF"/>
        </w:rPr>
        <w:t>600,000,000</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6035040</wp:posOffset>
            </wp:positionH>
            <wp:positionV relativeFrom="paragraph">
              <wp:posOffset>-151130</wp:posOffset>
            </wp:positionV>
            <wp:extent cx="2832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-13970</wp:posOffset>
            </wp:positionV>
            <wp:extent cx="5746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145"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Cross-Border Loan Guarantors</w:t>
      </w:r>
      <w:r>
        <w:rPr>
          <w:rFonts w:ascii="Arial" w:cs="Arial" w:eastAsia="Arial" w:hAnsi="Arial"/>
          <w:sz w:val="18"/>
          <w:szCs w:val="18"/>
          <w:color w:val="auto"/>
        </w:rPr>
        <w:t xml:space="preserve">” means, individually or collectively as the context may require: (a) the entities listed on the </w:t>
      </w:r>
      <w:r>
        <w:rPr>
          <w:rFonts w:ascii="Arial" w:cs="Arial" w:eastAsia="Arial" w:hAnsi="Arial"/>
          <w:sz w:val="18"/>
          <w:szCs w:val="18"/>
          <w:u w:val="single" w:color="auto"/>
          <w:color w:val="auto"/>
        </w:rPr>
        <w:t>Loan Party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attached hereto under the heading “Canadian Cross-Border Loan Guarantors,” and (b) any Canadian Subsidiary (other than any CFC Subsidiary or any subsidiary thereof) that after the Fourth Restatement Date guarantees (or is required to guaranty) the payment of the Canadian Obligations and the U.S. Obligations pursuant to Section 5.13.</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Dollar Loan</w:t>
      </w:r>
      <w:r>
        <w:rPr>
          <w:rFonts w:ascii="Arial" w:cs="Arial" w:eastAsia="Arial" w:hAnsi="Arial"/>
          <w:sz w:val="17"/>
          <w:szCs w:val="17"/>
          <w:color w:val="auto"/>
        </w:rPr>
        <w:t>” means any Loan denominated in Canadian Dollars bearing interest at the Canadian Prime Rate or the CDOR Rate.</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or “</w:t>
      </w:r>
      <w:r>
        <w:rPr>
          <w:rFonts w:ascii="Arial" w:cs="Arial" w:eastAsia="Arial" w:hAnsi="Arial"/>
          <w:sz w:val="18"/>
          <w:szCs w:val="18"/>
          <w:u w:val="single" w:color="auto"/>
          <w:color w:val="auto"/>
        </w:rPr>
        <w:t>Cdn$</w:t>
      </w:r>
      <w:r>
        <w:rPr>
          <w:rFonts w:ascii="Arial" w:cs="Arial" w:eastAsia="Arial" w:hAnsi="Arial"/>
          <w:sz w:val="18"/>
          <w:szCs w:val="18"/>
          <w:color w:val="auto"/>
        </w:rPr>
        <w:t>” means the lawful currency of Canada.</w:t>
      </w:r>
    </w:p>
    <w:p>
      <w:pPr>
        <w:spacing w:after="0" w:line="225"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Economic Sanctions and Export Control Laws</w:t>
      </w:r>
      <w:r>
        <w:rPr>
          <w:rFonts w:ascii="Arial" w:cs="Arial" w:eastAsia="Arial" w:hAnsi="Arial"/>
          <w:sz w:val="18"/>
          <w:szCs w:val="18"/>
          <w:color w:val="auto"/>
        </w:rPr>
        <w:t>” means any Canadian laws, regulations or orders governing transactions in controlled goods or technologies or dealings with countries, entities, organizations, or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43" w:name="page44"/>
    <w:bookmarkEnd w:id="43"/>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individuals subject to economic sanctions and similar measures, including the </w:t>
      </w:r>
      <w:r>
        <w:rPr>
          <w:rFonts w:ascii="Arial" w:cs="Arial" w:eastAsia="Arial" w:hAnsi="Arial"/>
          <w:sz w:val="18"/>
          <w:szCs w:val="18"/>
          <w:i w:val="1"/>
          <w:iCs w:val="1"/>
          <w:color w:val="auto"/>
        </w:rPr>
        <w:t>Special Economic Measures Act</w:t>
      </w:r>
      <w:r>
        <w:rPr>
          <w:rFonts w:ascii="Arial" w:cs="Arial" w:eastAsia="Arial" w:hAnsi="Arial"/>
          <w:sz w:val="18"/>
          <w:szCs w:val="18"/>
          <w:color w:val="auto"/>
        </w:rPr>
        <w:t xml:space="preserve"> (Canada), the </w:t>
      </w:r>
      <w:r>
        <w:rPr>
          <w:rFonts w:ascii="Arial" w:cs="Arial" w:eastAsia="Arial" w:hAnsi="Arial"/>
          <w:sz w:val="18"/>
          <w:szCs w:val="18"/>
          <w:i w:val="1"/>
          <w:iCs w:val="1"/>
          <w:color w:val="auto"/>
        </w:rPr>
        <w:t>United Nations Act</w:t>
      </w:r>
      <w:r>
        <w:rPr>
          <w:rFonts w:ascii="Arial" w:cs="Arial" w:eastAsia="Arial" w:hAnsi="Arial"/>
          <w:sz w:val="18"/>
          <w:szCs w:val="18"/>
          <w:color w:val="auto"/>
        </w:rPr>
        <w:t xml:space="preserve"> (Canada), the </w:t>
      </w:r>
      <w:r>
        <w:rPr>
          <w:rFonts w:ascii="Arial" w:cs="Arial" w:eastAsia="Arial" w:hAnsi="Arial"/>
          <w:sz w:val="18"/>
          <w:szCs w:val="18"/>
          <w:i w:val="1"/>
          <w:iCs w:val="1"/>
          <w:color w:val="auto"/>
        </w:rPr>
        <w:t>Freezing Assets of Corrupt Foreign Officials Act</w:t>
      </w:r>
      <w:r>
        <w:rPr>
          <w:rFonts w:ascii="Arial" w:cs="Arial" w:eastAsia="Arial" w:hAnsi="Arial"/>
          <w:sz w:val="18"/>
          <w:szCs w:val="18"/>
          <w:color w:val="auto"/>
        </w:rPr>
        <w:t xml:space="preserve"> (Canada), Part II.1 of the </w:t>
      </w:r>
      <w:r>
        <w:rPr>
          <w:rFonts w:ascii="Arial" w:cs="Arial" w:eastAsia="Arial" w:hAnsi="Arial"/>
          <w:sz w:val="18"/>
          <w:szCs w:val="18"/>
          <w:i w:val="1"/>
          <w:iCs w:val="1"/>
          <w:color w:val="auto"/>
        </w:rPr>
        <w:t>Criminal Code</w:t>
      </w:r>
      <w:r>
        <w:rPr>
          <w:rFonts w:ascii="Arial" w:cs="Arial" w:eastAsia="Arial" w:hAnsi="Arial"/>
          <w:sz w:val="18"/>
          <w:szCs w:val="18"/>
          <w:color w:val="auto"/>
        </w:rPr>
        <w:t xml:space="preserve"> (Canada) and the </w:t>
      </w:r>
      <w:r>
        <w:rPr>
          <w:rFonts w:ascii="Arial" w:cs="Arial" w:eastAsia="Arial" w:hAnsi="Arial"/>
          <w:sz w:val="18"/>
          <w:szCs w:val="18"/>
          <w:i w:val="1"/>
          <w:iCs w:val="1"/>
          <w:color w:val="auto"/>
        </w:rPr>
        <w:t>Export and Import Permits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(Canada), and any related regulations.</w:t>
      </w:r>
    </w:p>
    <w:p>
      <w:pPr>
        <w:spacing w:after="0" w:line="184"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Guarantee</w:t>
      </w:r>
      <w:r>
        <w:rPr>
          <w:rFonts w:ascii="Arial" w:cs="Arial" w:eastAsia="Arial" w:hAnsi="Arial"/>
          <w:sz w:val="16"/>
          <w:szCs w:val="16"/>
          <w:color w:val="auto"/>
        </w:rPr>
        <w:t xml:space="preserve">” means, individually and collectively as the context may require (a) the Fourth Amended and Restated Canadian Guarantee Agreement dated as of the Fourth Restatement Date by the Canadian Loan Guarantors in favor of the Administrative Agent (for the benefit of the Canadian Lender Parties) in substantially the form of </w:t>
      </w:r>
      <w:r>
        <w:rPr>
          <w:rFonts w:ascii="Arial" w:cs="Arial" w:eastAsia="Arial" w:hAnsi="Arial"/>
          <w:sz w:val="16"/>
          <w:szCs w:val="16"/>
          <w:u w:val="single" w:color="auto"/>
          <w:color w:val="auto"/>
        </w:rPr>
        <w:t>Exhibit F-1</w:t>
      </w:r>
      <w:r>
        <w:rPr>
          <w:rFonts w:ascii="Arial" w:cs="Arial" w:eastAsia="Arial" w:hAnsi="Arial"/>
          <w:sz w:val="16"/>
          <w:szCs w:val="16"/>
          <w:color w:val="auto"/>
        </w:rPr>
        <w:t xml:space="preserve"> attached hereto, which Fourth Amended and Restated Canadian Guarantee amends and restates in its entirety the Second Amended and Restated Canadian Guarantee dated as of the Fourth Restatement Date by the Canadian Loan Guarantors party thereto in favor of the Administrative Agent, (b) the Fourth Amended and Restated Canadian Cross-Border Guarantee Agreement dated as of the Fourth Restatement Date by the Canadian Cross-Border Loan Guarantors in favor of the Administrative Agent (for the benefit of the Lender Parties) in substantially the form of </w:t>
      </w:r>
      <w:r>
        <w:rPr>
          <w:rFonts w:ascii="Arial" w:cs="Arial" w:eastAsia="Arial" w:hAnsi="Arial"/>
          <w:sz w:val="16"/>
          <w:szCs w:val="16"/>
          <w:u w:val="single" w:color="auto"/>
          <w:color w:val="auto"/>
        </w:rPr>
        <w:t>Exhibit F-2</w:t>
      </w:r>
      <w:r>
        <w:rPr>
          <w:rFonts w:ascii="Arial" w:cs="Arial" w:eastAsia="Arial" w:hAnsi="Arial"/>
          <w:sz w:val="16"/>
          <w:szCs w:val="16"/>
          <w:color w:val="auto"/>
        </w:rPr>
        <w:t xml:space="preserve"> attached hereto, which Fourth Amended and Restated Canadian Cross-Border Guarantee amends and restates in its entirety the Third Amended and Restated Canadian Cross-Border Guarantee dated as of the Fourth Restatement Date by the Canadian Cross-Border Loan Guarantors party thereto in favor of the Administrative Agent and (c) any other Guarantee agreement entered into after the Fourth Restatement Date by any Canadian Loan Party in favor of the Administrative Agent (for the benefit of the Canadian Lender Parties or, in the case of any Canadian Cross-Border Loan Guarantor, the Lender Parties) and governed by the laws of Ontario pursuant to the terms of this Agreement, or any other Loan Document, including Section 5.13, in each case, as the same may be amended, restated or otherwise modified from time to time.</w:t>
      </w:r>
    </w:p>
    <w:p>
      <w:pPr>
        <w:spacing w:after="0" w:line="168"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Hypothec</w:t>
      </w:r>
      <w:r>
        <w:rPr>
          <w:rFonts w:ascii="Arial" w:cs="Arial" w:eastAsia="Arial" w:hAnsi="Arial"/>
          <w:sz w:val="18"/>
          <w:szCs w:val="18"/>
          <w:color w:val="auto"/>
        </w:rPr>
        <w:t>” means, individually and collectively as the context may require, (a) the Deed of Hypothec dated on or about the Fourth Restatement Date by the Canadian Loan Parties party thereto in favor of the Administrative Agent, (b) any other deed of hypothec entered into after the Fourth Restatement Date by any Canadian Loan Party pursuant to the terms of this Agreement, or any other Loan Document, including Section 5.13, in each case, as the same may be amended, restated or otherwise modified from time to time, and (c) any Deed of Hypothec or pledge agreement and related bond executed in favor of the Existing Administrative Agent.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LC Collateral Account</w:t>
      </w:r>
      <w:r>
        <w:rPr>
          <w:rFonts w:ascii="Arial" w:cs="Arial" w:eastAsia="Arial" w:hAnsi="Arial"/>
          <w:sz w:val="18"/>
          <w:szCs w:val="18"/>
          <w:color w:val="auto"/>
        </w:rPr>
        <w:t>” has the meaning assigned to such term in Section 2.06(k).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LC Exposure</w:t>
      </w:r>
      <w:r>
        <w:rPr>
          <w:rFonts w:ascii="Arial" w:cs="Arial" w:eastAsia="Arial" w:hAnsi="Arial"/>
          <w:sz w:val="16"/>
          <w:szCs w:val="16"/>
          <w:color w:val="auto"/>
        </w:rPr>
        <w:t>” means, at any time, the sum of the Commercial LC Exposure and the Standby LC Exposure of the Canadian Borrowers.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Canadian LC Exposure of any Canadian Lender at any time shall be its Applicable Percentage of the total Canadian LC Exposure at such time.</w:t>
      </w:r>
    </w:p>
    <w:p>
      <w:pPr>
        <w:spacing w:after="0" w:line="23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Lender Parties</w:t>
      </w:r>
      <w:r>
        <w:rPr>
          <w:rFonts w:ascii="Arial" w:cs="Arial" w:eastAsia="Arial" w:hAnsi="Arial"/>
          <w:sz w:val="18"/>
          <w:szCs w:val="18"/>
          <w:color w:val="auto"/>
        </w:rPr>
        <w:t>” means, individually and collectively as the context may require, the Administrative Agent, the Issuing Banks issuing Canadian Letters of Credit and the Canadian Lenders.</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Lenders</w:t>
      </w:r>
      <w:r>
        <w:rPr>
          <w:rFonts w:ascii="Arial" w:cs="Arial" w:eastAsia="Arial" w:hAnsi="Arial"/>
          <w:sz w:val="17"/>
          <w:szCs w:val="17"/>
          <w:color w:val="auto"/>
        </w:rPr>
        <w:t xml:space="preserve">” means the Persons listed on the </w:t>
      </w:r>
      <w:r>
        <w:rPr>
          <w:rFonts w:ascii="Arial" w:cs="Arial" w:eastAsia="Arial" w:hAnsi="Arial"/>
          <w:sz w:val="17"/>
          <w:szCs w:val="17"/>
          <w:u w:val="single" w:color="auto"/>
          <w:color w:val="auto"/>
        </w:rPr>
        <w:t>Revolving Commitment Schedule</w:t>
      </w:r>
      <w:r>
        <w:rPr>
          <w:rFonts w:ascii="Arial" w:cs="Arial" w:eastAsia="Arial" w:hAnsi="Arial"/>
          <w:sz w:val="17"/>
          <w:szCs w:val="17"/>
          <w:color w:val="auto"/>
        </w:rPr>
        <w:t xml:space="preserve"> as having a Canadian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Person or an Affiliate of such Person also has a U.S. Commitment) and any other Person that shall acquire a Canadian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such time such Person or an Affiliate of such Person has, or is acquiring, a U.S. Commitment pursuant to an Assignment and Assumption or becomes a lender pursuant to an Aggregate Commitment Increase in accordance with Section 2.09), other than any such Person that ceases to be a Canadian Lender pursuant to an Assignment and Assumption. Unless the context otherwise requires, the term “Canadian Lenders” includes the Swingline Lender in its capacity as a lender of Canadian Swingline Loans.</w:t>
      </w:r>
    </w:p>
    <w:p>
      <w:pPr>
        <w:spacing w:after="0" w:line="178"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Letter of Credit</w:t>
      </w:r>
      <w:r>
        <w:rPr>
          <w:rFonts w:ascii="Arial" w:cs="Arial" w:eastAsia="Arial" w:hAnsi="Arial"/>
          <w:sz w:val="18"/>
          <w:szCs w:val="18"/>
          <w:color w:val="auto"/>
        </w:rPr>
        <w:t>” means any Letter of Credit issued hereunder for the purpose of providing credit support for the Canadian Borrowers or any Canadian Subsidiary.</w:t>
      </w:r>
    </w:p>
    <w:p>
      <w:pPr>
        <w:spacing w:after="0" w:line="170" w:lineRule="exact"/>
        <w:rPr>
          <w:sz w:val="20"/>
          <w:szCs w:val="20"/>
          <w:color w:val="auto"/>
        </w:rPr>
      </w:pPr>
    </w:p>
    <w:p>
      <w:pPr>
        <w:jc w:val="both"/>
        <w:ind w:right="3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Loan Documents</w:t>
      </w:r>
      <w:r>
        <w:rPr>
          <w:rFonts w:ascii="Arial" w:cs="Arial" w:eastAsia="Arial" w:hAnsi="Arial"/>
          <w:sz w:val="17"/>
          <w:szCs w:val="17"/>
          <w:color w:val="auto"/>
        </w:rPr>
        <w:t>” means, individually and collectively as the context may require, the Canadian Guarantee, the Canadian Security Agreement, the Canadian Hypothec and all other agreements, instruments and certificates delivered by a Canadian Loan Party, from time to time in connection therewith, in each case as amended, restated or otherwise modified from time to time.</w:t>
      </w:r>
    </w:p>
    <w:p>
      <w:pPr>
        <w:spacing w:after="0" w:line="165" w:lineRule="exact"/>
        <w:rPr>
          <w:sz w:val="20"/>
          <w:szCs w:val="20"/>
          <w:color w:val="auto"/>
        </w:rPr>
      </w:pPr>
    </w:p>
    <w:p>
      <w:pPr>
        <w:ind w:right="1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Loan Guarantors</w:t>
      </w:r>
      <w:r>
        <w:rPr>
          <w:rFonts w:ascii="Arial" w:cs="Arial" w:eastAsia="Arial" w:hAnsi="Arial"/>
          <w:sz w:val="18"/>
          <w:szCs w:val="18"/>
          <w:color w:val="auto"/>
        </w:rPr>
        <w:t xml:space="preserve">” means, individually or collectively as the context may require: (a) the entities listed on the </w:t>
      </w:r>
      <w:r>
        <w:rPr>
          <w:rFonts w:ascii="Arial" w:cs="Arial" w:eastAsia="Arial" w:hAnsi="Arial"/>
          <w:sz w:val="18"/>
          <w:szCs w:val="18"/>
          <w:u w:val="single" w:color="auto"/>
          <w:color w:val="auto"/>
        </w:rPr>
        <w:t>Loan Party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attached hereto under the heading “</w:t>
      </w:r>
      <w:r>
        <w:rPr>
          <w:rFonts w:ascii="Arial" w:cs="Arial" w:eastAsia="Arial" w:hAnsi="Arial"/>
          <w:sz w:val="18"/>
          <w:szCs w:val="18"/>
          <w:u w:val="single" w:color="auto"/>
          <w:color w:val="auto"/>
        </w:rPr>
        <w:t>Canadian Loan Guarantors</w:t>
      </w:r>
      <w:r>
        <w:rPr>
          <w:rFonts w:ascii="Arial" w:cs="Arial" w:eastAsia="Arial" w:hAnsi="Arial"/>
          <w:sz w:val="18"/>
          <w:szCs w:val="18"/>
          <w:color w:val="auto"/>
        </w:rPr>
        <w:t>,” (b) each Canadian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4" w:name="page45"/>
    <w:bookmarkEnd w:id="44"/>
    <w:p>
      <w:pPr>
        <w:ind w:left="4"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Borrower (in respect of each other Canadian Borrower’s obligations), (c) any Canadian Subsidiary or CFC Subsidiary Holding Company that, after the Fourth Restatement Date, guarantees the payment of the Canadian Obligations (but not the U.S. Obligations) pursuant to Section 5.13 and (d) the successors and assigns of the Persons described in clauses (a) through (c) of this definition, including without limitation, any entity resulting from an amalgamation between any such Person and any other Person to the extent permitted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for the avoidance of doubt, “Canadian Loan Guarantors” shall not include (i) WESCO Distribution III ULC or any of its subsidiaries or (ii) any Dutch Subsidiary.</w:t>
      </w:r>
    </w:p>
    <w:p>
      <w:pPr>
        <w:spacing w:after="0" w:line="161"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Loan Parties</w:t>
      </w:r>
      <w:r>
        <w:rPr>
          <w:rFonts w:ascii="Arial" w:cs="Arial" w:eastAsia="Arial" w:hAnsi="Arial"/>
          <w:sz w:val="18"/>
          <w:szCs w:val="18"/>
          <w:color w:val="auto"/>
        </w:rPr>
        <w:t>” means, individually and collectively as the context may require, the Canadian Borrowers, the Canadian Loan Guarantors and the Canadian Cross-Border Loan Guarantors.</w:t>
      </w:r>
    </w:p>
    <w:p>
      <w:pPr>
        <w:spacing w:after="0" w:line="17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Loans</w:t>
      </w:r>
      <w:r>
        <w:rPr>
          <w:rFonts w:ascii="Arial" w:cs="Arial" w:eastAsia="Arial" w:hAnsi="Arial"/>
          <w:sz w:val="18"/>
          <w:szCs w:val="18"/>
          <w:color w:val="auto"/>
        </w:rPr>
        <w:t>” means, individually and collectively as the context may require, the Canadian Revolving Loans, the Canadian Swingline Loans, the Canadian Overadvances and the Canadian Protective Advances.</w:t>
      </w:r>
    </w:p>
    <w:p>
      <w:pPr>
        <w:spacing w:after="0" w:line="170"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Obligations</w:t>
      </w:r>
      <w:r>
        <w:rPr>
          <w:rFonts w:ascii="Arial" w:cs="Arial" w:eastAsia="Arial" w:hAnsi="Arial"/>
          <w:sz w:val="16"/>
          <w:szCs w:val="16"/>
          <w:color w:val="auto"/>
        </w:rPr>
        <w:t xml:space="preserve">” means all unpaid principal of and accrued and unpaid interest on the Canadian Loans, all Canadian LC Exposure, all accrued and unpaid fees and all expenses, reimbursements, indemnities and other obligations of the Canadian Loan Parties to the Canadian Lenders or to any Canadian Lender, the Administrative Agent, any Issuing Bank with respect to Canadian Letters of Credit or any indemnified party arising under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obligations of the Canadian Cross-Border Loan Guarantors (i) as guarantors of the U.S. Obligations and</w:t>
      </w:r>
    </w:p>
    <w:p>
      <w:pPr>
        <w:spacing w:after="0" w:line="1" w:lineRule="exact"/>
        <w:rPr>
          <w:sz w:val="20"/>
          <w:szCs w:val="20"/>
          <w:color w:val="auto"/>
        </w:rPr>
      </w:pPr>
    </w:p>
    <w:p>
      <w:pPr>
        <w:ind w:left="4" w:right="460" w:hanging="4"/>
        <w:spacing w:after="0" w:line="260" w:lineRule="auto"/>
        <w:tabs>
          <w:tab w:leader="none" w:pos="2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 the Canadian Security Agreement to the extent such obligations relate to the U.S. Obligations and (y) any obligations of CFC Subsidiary Holding Companies, shall not constitute Canadian Obligations.</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Overadvance</w:t>
      </w:r>
      <w:r>
        <w:rPr>
          <w:rFonts w:ascii="Arial" w:cs="Arial" w:eastAsia="Arial" w:hAnsi="Arial"/>
          <w:sz w:val="18"/>
          <w:szCs w:val="18"/>
          <w:color w:val="auto"/>
        </w:rPr>
        <w:t>” has the meaning assigned to such term in Section 2.05(d).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Overnight Rate</w:t>
      </w:r>
      <w:r>
        <w:rPr>
          <w:rFonts w:ascii="Arial" w:cs="Arial" w:eastAsia="Arial" w:hAnsi="Arial"/>
          <w:sz w:val="17"/>
          <w:szCs w:val="17"/>
          <w:color w:val="auto"/>
        </w:rPr>
        <w:t>” means the overnight interest rate per annum charged by the Bank of Canada to Canadian chartered banks.</w:t>
      </w:r>
    </w:p>
    <w:p>
      <w:pPr>
        <w:spacing w:after="0" w:line="237" w:lineRule="exact"/>
        <w:rPr>
          <w:sz w:val="20"/>
          <w:szCs w:val="20"/>
          <w:color w:val="auto"/>
        </w:rPr>
      </w:pPr>
    </w:p>
    <w:p>
      <w:pPr>
        <w:ind w:left="4"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Pension Plans</w:t>
      </w:r>
      <w:r>
        <w:rPr>
          <w:rFonts w:ascii="Arial" w:cs="Arial" w:eastAsia="Arial" w:hAnsi="Arial"/>
          <w:sz w:val="18"/>
          <w:szCs w:val="18"/>
          <w:color w:val="auto"/>
        </w:rPr>
        <w:t>” means each pension plan required to be registered under Canadian federal or provincial law that is maintained or contributed to by a Loan Party or any Subsidiary of any Loan Party for its Canadian employees or former Canadian employees, but does not include a Canadian Union Plan, the Canada Pension Plan or the Quebec Pension Plan as maintained by the Government of Canada or the Province of Quebec, respectively.</w:t>
      </w:r>
    </w:p>
    <w:p>
      <w:pPr>
        <w:spacing w:after="0" w:line="187" w:lineRule="exact"/>
        <w:rPr>
          <w:sz w:val="20"/>
          <w:szCs w:val="20"/>
          <w:color w:val="auto"/>
        </w:rPr>
      </w:pPr>
    </w:p>
    <w:p>
      <w:pPr>
        <w:ind w:left="4" w:right="3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w:t>
      </w:r>
      <w:r>
        <w:rPr>
          <w:rFonts w:ascii="Arial" w:cs="Arial" w:eastAsia="Arial" w:hAnsi="Arial"/>
          <w:sz w:val="18"/>
          <w:szCs w:val="18"/>
          <w:color w:val="auto"/>
        </w:rPr>
        <w:t>” means the per annum rate of interest established as the “prime rate” of Royal Bank of Canada which it quotes or establishes for such day as its reference rate of interest in order to determine interest rates for commercial loans made by it in Canadian Dollars in Canada which shall not be less than the one month CDOR Rate plus 1.00%, with any such rate to be adjusted automatically without notice, as of the opening of business on the effective date of any change in such rate.</w:t>
      </w:r>
    </w:p>
    <w:p>
      <w:pPr>
        <w:spacing w:after="0" w:line="187"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 Loan</w:t>
      </w:r>
      <w:r>
        <w:rPr>
          <w:rFonts w:ascii="Arial" w:cs="Arial" w:eastAsia="Arial" w:hAnsi="Arial"/>
          <w:sz w:val="18"/>
          <w:szCs w:val="18"/>
          <w:color w:val="auto"/>
        </w:rPr>
        <w:t>” means a Loan denominated in Canadian Dollars the rate of interest applicable to which is based on the Canadian Prime Rate.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Protective Advance</w:t>
      </w:r>
      <w:r>
        <w:rPr>
          <w:rFonts w:ascii="Arial" w:cs="Arial" w:eastAsia="Arial" w:hAnsi="Arial"/>
          <w:sz w:val="18"/>
          <w:szCs w:val="18"/>
          <w:color w:val="auto"/>
        </w:rPr>
        <w:t>” has the meaning assigned to such term in Section 2.04(a).</w:t>
      </w:r>
    </w:p>
    <w:p>
      <w:pPr>
        <w:spacing w:after="0" w:line="225" w:lineRule="exact"/>
        <w:rPr>
          <w:sz w:val="20"/>
          <w:szCs w:val="20"/>
          <w:color w:val="auto"/>
        </w:rPr>
      </w:pPr>
    </w:p>
    <w:p>
      <w:pPr>
        <w:ind w:left="4" w:right="30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Revolving Exposure</w:t>
      </w:r>
      <w:r>
        <w:rPr>
          <w:rFonts w:ascii="Arial" w:cs="Arial" w:eastAsia="Arial" w:hAnsi="Arial"/>
          <w:sz w:val="17"/>
          <w:szCs w:val="17"/>
          <w:color w:val="auto"/>
        </w:rPr>
        <w:t xml:space="preserve">” means, with respect to any Canadian Lender at any time, the sum of (a) the outstanding principal amount of Canadian Revolving Loans of such Canadian Lender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an amount equal to such Canadian Lender’s Applicable Percentage of the aggregate principal amount of the Canadian Swingline Loans outstanding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an amount equal to the such Canadian Lender’s Applicable Percentage of the aggregate Canadian LC Exposure outstanding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(d) an amount equal to such Canadian Lender’s Applicable Percentage of the aggregate principal amount of the Canadian Overadvances outstanding at such time.</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Revolving Loan</w:t>
      </w:r>
      <w:r>
        <w:rPr>
          <w:rFonts w:ascii="Arial" w:cs="Arial" w:eastAsia="Arial" w:hAnsi="Arial"/>
          <w:sz w:val="18"/>
          <w:szCs w:val="18"/>
          <w:color w:val="auto"/>
        </w:rPr>
        <w:t>” means a Revolving Loan made to the Canadian Borrowers.</w:t>
      </w:r>
    </w:p>
    <w:p>
      <w:pPr>
        <w:spacing w:after="0" w:line="225" w:lineRule="exact"/>
        <w:rPr>
          <w:sz w:val="20"/>
          <w:szCs w:val="20"/>
          <w:color w:val="auto"/>
        </w:rPr>
      </w:pPr>
    </w:p>
    <w:p>
      <w:pPr>
        <w:jc w:val="both"/>
        <w:ind w:left="4" w:right="4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Secured Obligations</w:t>
      </w:r>
      <w:r>
        <w:rPr>
          <w:rFonts w:ascii="Arial" w:cs="Arial" w:eastAsia="Arial" w:hAnsi="Arial"/>
          <w:sz w:val="18"/>
          <w:szCs w:val="18"/>
          <w:color w:val="auto"/>
        </w:rPr>
        <w:t xml:space="preserve">” means all Canadian Obligations, together with all (a) Banking Services Obligations of the Canadian Loan Parties; and (b) Swap Agreement Obligations of the Canadian Loan Parties and their Subsidiaries owing to one or more Canadian Lenders or their respective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promptly after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45" w:name="page46"/>
    <w:bookmarkEnd w:id="45"/>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transaction relating to such Swap Obligation is executed, the Canadian Lender or Affiliate of a Canadian Lender party thereto (other than Barclays or its Affiliates) shall have delivered written notice to the Administrative Agent that such a transaction has been entered into and that it constitutes a Canadian Secured Obligation entitled to the benefits of the Collateral Documents in favor of the Canadian Lender Parties.</w:t>
      </w:r>
    </w:p>
    <w:p>
      <w:pPr>
        <w:spacing w:after="0" w:line="165"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Security Agreement</w:t>
      </w:r>
      <w:r>
        <w:rPr>
          <w:rFonts w:ascii="Arial" w:cs="Arial" w:eastAsia="Arial" w:hAnsi="Arial"/>
          <w:sz w:val="16"/>
          <w:szCs w:val="16"/>
          <w:color w:val="auto"/>
        </w:rPr>
        <w:t xml:space="preserve">” means, individually and collectively as the context may require, (a) the Fourth Amended and Restated Canadian Pledge and Security Agreement, dated as of the Fourth Restatement Date, of the Canadian Borrowers, the Canadian Loan Guarantors, WDINESCO III B.V. and Anixter Mid Holdings B.V. (solely, in the case of WDINESCO III B.V., with respect to the pledge of the Equity Interests of EECOL Electric Corp., and in the case of Anixter Mid Holdings B.V., with respect to the pledge of the Equity Interests of Anixter Canada Inc.), in favor of the Administrative Agent (for the benefit of the Canadian Lender Parties) in substantially the form of </w:t>
      </w:r>
      <w:r>
        <w:rPr>
          <w:rFonts w:ascii="Arial" w:cs="Arial" w:eastAsia="Arial" w:hAnsi="Arial"/>
          <w:sz w:val="16"/>
          <w:szCs w:val="16"/>
          <w:u w:val="single" w:color="auto"/>
          <w:color w:val="auto"/>
        </w:rPr>
        <w:t>Exhibit G-1</w:t>
      </w:r>
      <w:r>
        <w:rPr>
          <w:rFonts w:ascii="Arial" w:cs="Arial" w:eastAsia="Arial" w:hAnsi="Arial"/>
          <w:sz w:val="16"/>
          <w:szCs w:val="16"/>
          <w:color w:val="auto"/>
        </w:rPr>
        <w:t xml:space="preserve"> attached hereto, which Fourth Amended and Restated Canadian Pledge and Security Agreement amends and restates in its entirety the Third Amended and Restated Canadian Pledge and Security Agreement dated as of the Third Restatement Date among the Existing Canadian Administrative Agent and the Canadian Loan Parties party thereto, (b) the Fourth Amended and Restated Canadian Cross-Border Pledge and Security Agreement, dated as of the Fourth Restatement Date, of the Canadian Cross-Border Loan Guarantors in favor of the Administrative Agent (for the benefit of the Lender Parties) in substantially the form of </w:t>
      </w:r>
      <w:r>
        <w:rPr>
          <w:rFonts w:ascii="Arial" w:cs="Arial" w:eastAsia="Arial" w:hAnsi="Arial"/>
          <w:sz w:val="16"/>
          <w:szCs w:val="16"/>
          <w:u w:val="single" w:color="auto"/>
          <w:color w:val="auto"/>
        </w:rPr>
        <w:t>Exhibit G-2</w:t>
      </w:r>
      <w:r>
        <w:rPr>
          <w:rFonts w:ascii="Arial" w:cs="Arial" w:eastAsia="Arial" w:hAnsi="Arial"/>
          <w:sz w:val="16"/>
          <w:szCs w:val="16"/>
          <w:color w:val="auto"/>
        </w:rPr>
        <w:t xml:space="preserve"> attached hereto, which Fourth Amended and Restated Canadian Cross-Border Pledge and Security Agreement amends and restates in its entirety the Third Amended and Restated Canadian Cross-Border Pledge and Security Agreement dated as of the Third Restatement Date among the Existing Canadian Administrative Agent and the Canadian Cross-Border Loan Guarantors party thereto and (c) any other pledge, security agreement or hypothec entered into, after the Fourth Restatement Date, by any Canadian Loan Party pursuant to the terms of this Agreement or any other Loan Document, including Section 5.13, as the same may be amended, restated or otherwise modified from time to time.</w:t>
      </w:r>
    </w:p>
    <w:p>
      <w:pPr>
        <w:spacing w:after="0" w:line="167"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Sublimit</w:t>
      </w:r>
      <w:r>
        <w:rPr>
          <w:rFonts w:ascii="Arial" w:cs="Arial" w:eastAsia="Arial" w:hAnsi="Arial"/>
          <w:sz w:val="18"/>
          <w:szCs w:val="18"/>
          <w:color w:val="auto"/>
        </w:rPr>
        <w:t>” means $</w:t>
      </w:r>
      <w:r>
        <w:rPr>
          <w:rFonts w:ascii="Arial" w:cs="Arial" w:eastAsia="Arial" w:hAnsi="Arial"/>
          <w:sz w:val="18"/>
          <w:szCs w:val="18"/>
          <w:b w:val="1"/>
          <w:bCs w:val="1"/>
          <w:color w:val="FF0000"/>
          <w:strike w:val="1"/>
        </w:rPr>
        <w:t>550,000,000</w:t>
      </w:r>
      <w:r>
        <w:rPr>
          <w:rFonts w:ascii="Arial" w:cs="Arial" w:eastAsia="Arial" w:hAnsi="Arial"/>
          <w:sz w:val="18"/>
          <w:szCs w:val="18"/>
          <w:b w:val="1"/>
          <w:bCs w:val="1"/>
          <w:u w:val="single" w:color="auto"/>
          <w:color w:val="0000FF"/>
        </w:rPr>
        <w:t>600,000,000</w:t>
      </w:r>
      <w:r>
        <w:rPr>
          <w:rFonts w:ascii="Arial" w:cs="Arial" w:eastAsia="Arial" w:hAnsi="Arial"/>
          <w:sz w:val="18"/>
          <w:szCs w:val="18"/>
          <w:color w:val="auto"/>
        </w:rPr>
        <w:t>, as such amount may be decreased pursuant to Section 2.09(c) or increased pursuant to Section 2.09(g).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-151130</wp:posOffset>
            </wp:positionV>
            <wp:extent cx="5740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Subsidiary</w:t>
      </w:r>
      <w:r>
        <w:rPr>
          <w:rFonts w:ascii="Arial" w:cs="Arial" w:eastAsia="Arial" w:hAnsi="Arial"/>
          <w:sz w:val="18"/>
          <w:szCs w:val="18"/>
          <w:color w:val="auto"/>
        </w:rPr>
        <w:t>” means any Subsidiary of Holdings organized under the laws of Canada or one of the provinces of Canada.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Swingline Loan</w:t>
      </w:r>
      <w:r>
        <w:rPr>
          <w:rFonts w:ascii="Arial" w:cs="Arial" w:eastAsia="Arial" w:hAnsi="Arial"/>
          <w:sz w:val="18"/>
          <w:szCs w:val="18"/>
          <w:color w:val="auto"/>
        </w:rPr>
        <w:t>” means a Loan made by the Swingline Lender pursuant to Section 2.05(b).</w:t>
      </w:r>
    </w:p>
    <w:p>
      <w:pPr>
        <w:spacing w:after="0" w:line="22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Union Plan</w:t>
      </w:r>
      <w:r>
        <w:rPr>
          <w:rFonts w:ascii="Arial" w:cs="Arial" w:eastAsia="Arial" w:hAnsi="Arial"/>
          <w:sz w:val="18"/>
          <w:szCs w:val="18"/>
          <w:color w:val="auto"/>
        </w:rPr>
        <w:t>” means any registered pension plan for the benefit of Canadian employees or former Canadian employees of a Loan Party or any of its Subsidiaries that is not maintained, sponsored or administered by a Loan Party or any of its Subsidiaries, but to which a Loan Party or any of its Subsidiaries is required to contribute pursuant to a collective agreement.</w:t>
      </w:r>
    </w:p>
    <w:p>
      <w:pPr>
        <w:spacing w:after="0" w:line="18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U.S. Borrowing Base Utilization</w:t>
      </w:r>
      <w:r>
        <w:rPr>
          <w:rFonts w:ascii="Arial" w:cs="Arial" w:eastAsia="Arial" w:hAnsi="Arial"/>
          <w:sz w:val="18"/>
          <w:szCs w:val="18"/>
          <w:color w:val="auto"/>
        </w:rPr>
        <w:t xml:space="preserve">” means, as of any date of determination, the result (so long as it is a positive number) of (a) the total Canadian Revolving Exposure of the Canadian Lenders as of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Canadian Borrowing Base as of such date; if the result of the foregoing is a negative number, then the Canadian U.S. Borrowing Base Utilization is zero.</w:t>
      </w:r>
    </w:p>
    <w:p>
      <w:pPr>
        <w:spacing w:after="0" w:line="184" w:lineRule="exact"/>
        <w:rPr>
          <w:sz w:val="20"/>
          <w:szCs w:val="20"/>
          <w:color w:val="auto"/>
        </w:rPr>
      </w:pPr>
    </w:p>
    <w:p>
      <w:pPr>
        <w:jc w:val="both"/>
        <w:ind w:right="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Expenditures</w:t>
      </w:r>
      <w:r>
        <w:rPr>
          <w:rFonts w:ascii="Arial" w:cs="Arial" w:eastAsia="Arial" w:hAnsi="Arial"/>
          <w:sz w:val="16"/>
          <w:szCs w:val="16"/>
          <w:color w:val="auto"/>
        </w:rPr>
        <w:t>” means, without duplication, any expenditure for any purchase or other acquisition of any asset which would be classified as a fixed or capital asset on a consolidated balance sheet of Holdings and its Restricted Subsidiaries prepared in accordance with GAAP, but excluding in each case, any expenditure constituting the consideration paid (and transaction expenses incurred) in connection with any Permitted Acquisition.</w:t>
      </w:r>
    </w:p>
    <w:p>
      <w:pPr>
        <w:spacing w:after="0" w:line="14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subject to Section 1.04(b),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8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Dominion Period</w:t>
      </w:r>
      <w:r>
        <w:rPr>
          <w:rFonts w:ascii="Arial" w:cs="Arial" w:eastAsia="Arial" w:hAnsi="Arial"/>
          <w:sz w:val="18"/>
          <w:szCs w:val="18"/>
          <w:color w:val="auto"/>
        </w:rPr>
        <w:t>” means the period (a) commencing on the day that either (i) a Specified Event of Default shall occur or (ii) Aggregate Availability shall fall below the Aggregate Availability Trigger Amount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40" w:top="274" w:right="519" w:bottom="1440" w:gutter="0" w:footer="0" w:header="0"/>
        </w:sectPr>
      </w:pPr>
    </w:p>
    <w:bookmarkStart w:id="46" w:name="page47"/>
    <w:bookmarkEnd w:id="46"/>
    <w:p>
      <w:pPr>
        <w:ind w:left="4" w:right="200" w:hanging="4"/>
        <w:spacing w:after="0" w:line="286" w:lineRule="auto"/>
        <w:tabs>
          <w:tab w:leader="none" w:pos="259" w:val="left"/>
        </w:tabs>
        <w:numPr>
          <w:ilvl w:val="0"/>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continuing until the date on which the Borrower Representative requests that the Cash Dominion Period cease,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Representative may only request a cessation of a Cash Dominion Period if at all times during the thirty (30) consecutive days prior to such request, no Specified Event of Default has existed and Aggregate Availability has exceeded the Aggregate Availability Trigger Amount.</w:t>
      </w:r>
    </w:p>
    <w:p>
      <w:pPr>
        <w:spacing w:after="0" w:line="165"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CDOR Rate</w:t>
      </w:r>
      <w:r>
        <w:rPr>
          <w:rFonts w:ascii="Arial" w:cs="Arial" w:eastAsia="Arial" w:hAnsi="Arial"/>
          <w:sz w:val="18"/>
          <w:szCs w:val="18"/>
          <w:color w:val="auto"/>
        </w:rPr>
        <w:t>” means, with respect to any Term Benchmark Borrowing denominated in Canadian Dollars and for any Interest Period, the CDOR Screen Rate two Business Days prior to the commencement of such Interest Period.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CDOR Rate Borrowing</w:t>
      </w:r>
      <w:r>
        <w:rPr>
          <w:rFonts w:ascii="Arial" w:cs="Arial" w:eastAsia="Arial" w:hAnsi="Arial"/>
          <w:sz w:val="18"/>
          <w:szCs w:val="18"/>
          <w:color w:val="auto"/>
        </w:rPr>
        <w:t>” means, as to any Borrowing, the CDOR Rate Loans comprising such Borrowing.</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CDOR Rate Loan</w:t>
      </w:r>
      <w:r>
        <w:rPr>
          <w:rFonts w:ascii="Arial" w:cs="Arial" w:eastAsia="Arial" w:hAnsi="Arial"/>
          <w:sz w:val="17"/>
          <w:szCs w:val="17"/>
          <w:color w:val="auto"/>
        </w:rPr>
        <w:t>” means a Loan denominated in Canadian Dollars the rate of interest applicable to which is based on the CDOR Rate.</w:t>
      </w:r>
    </w:p>
    <w:p>
      <w:pPr>
        <w:spacing w:after="0" w:line="237"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CDOR Screen Rate</w:t>
      </w:r>
      <w:r>
        <w:rPr>
          <w:rFonts w:ascii="Arial" w:cs="Arial" w:eastAsia="Arial" w:hAnsi="Arial"/>
          <w:sz w:val="17"/>
          <w:szCs w:val="17"/>
          <w:color w:val="auto"/>
        </w:rPr>
        <w:t>” means on any day for the relevant Interest Period, the annual rate of interest equal to the average rate applicable to Canadian dollar Canadian bankers’ acceptances for the applicable period that appears on the CDOR page of the Thomson Reuters screen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rounded to the nearest 1/100th of 1% (with .005% being rounded up), at approximately 10:15 a.m., Toronto, Ontario time, two Business Days prior to the commencement of such Interest Period (as adjusted by the Administrative Agent after 10:15 a.m. Toronto, Ontario time to reflect any error in the posted rate of interest or in the posted average annual rate of interest). If the CDOR Screen Rate shall be less than the zero, the CDOR Screen Rate shall be deemed to be zero for purposes of this Agreement.</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Certain Funds Provisions</w:t>
      </w:r>
      <w:r>
        <w:rPr>
          <w:rFonts w:ascii="Arial" w:cs="Arial" w:eastAsia="Arial" w:hAnsi="Arial"/>
          <w:sz w:val="18"/>
          <w:szCs w:val="18"/>
          <w:color w:val="auto"/>
        </w:rPr>
        <w:t>” has the meaning assigned to such term in Section 4.01.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CFC Subsidiary</w:t>
      </w:r>
      <w:r>
        <w:rPr>
          <w:rFonts w:ascii="Arial" w:cs="Arial" w:eastAsia="Arial" w:hAnsi="Arial"/>
          <w:sz w:val="17"/>
          <w:szCs w:val="17"/>
          <w:color w:val="auto"/>
        </w:rPr>
        <w:t>” shall mean any Subsidiary that constitutes a controlled foreign corporation within the meaning of Section 957 of the Code.</w:t>
      </w:r>
    </w:p>
    <w:p>
      <w:pPr>
        <w:spacing w:after="0" w:line="237"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 Subsidiary Holding Company</w:t>
      </w:r>
      <w:r>
        <w:rPr>
          <w:rFonts w:ascii="Arial" w:cs="Arial" w:eastAsia="Arial" w:hAnsi="Arial"/>
          <w:sz w:val="18"/>
          <w:szCs w:val="18"/>
          <w:color w:val="auto"/>
        </w:rPr>
        <w:t>” shall mean any Subsidiary (a) that is engaged in no material business activities other than the holding of Equity Interests and other investments in one or more CFC Subsidiaries or other CFC Subsidiary Holding Companies or (b) that owns Equity Interests or other investments in one or more CFC Subsidiaries or other CFC Subsidiary Holding Companies and is disregarded for U.S. federal income tax purposes.</w:t>
      </w:r>
    </w:p>
    <w:p>
      <w:pPr>
        <w:spacing w:after="0" w:line="187" w:lineRule="exact"/>
        <w:rPr>
          <w:sz w:val="20"/>
          <w:szCs w:val="20"/>
          <w:color w:val="auto"/>
        </w:rPr>
      </w:pPr>
    </w:p>
    <w:p>
      <w:pPr>
        <w:ind w:left="4" w:right="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 the acquisition (whether by stock purchase, merger, amalgamation, consolidation or other transaction) of ownership, directly or indirectly, beneficially or of record, by any Person or group (within the meaning of the Securities Exchange Act of 1934 and the rules of the Securities and Exchange Commission thereunder as in effect on the Fourth Restatement Date), of Equity Interests representing more than 35% of the aggregate ordinary voting power represented by the issued and outstanding Equity Interests of Holdings; (b) other than pursuant to a transaction permitted under Section 6.05, cessation of ownership (directly or indirectly) by Holdings of 100% of the outstanding voting Equity Interests of the other Loan Parties on a fully diluted basis; and (c) the occurrence of any “change of control” or similar event under and as defined in any Permitted Term Loan Agreement.</w:t>
      </w:r>
    </w:p>
    <w:p>
      <w:pPr>
        <w:spacing w:after="0" w:line="195"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the occurrence, after the Fourth Restatement Date, of any of the following: (a) the adoption of any law, rule, regulation or treaty (including any rules or regulations issued under or implementing any existing law) after the Fourth Restatement Date, (b) any change in any law, rule, regulation or treaty or in the interpretation or application thereof by any Governmental Authority after the Fourth Restatement Date or</w:t>
      </w:r>
    </w:p>
    <w:p>
      <w:pPr>
        <w:spacing w:after="0" w:line="2" w:lineRule="exact"/>
        <w:rPr>
          <w:sz w:val="20"/>
          <w:szCs w:val="20"/>
          <w:color w:val="auto"/>
        </w:rPr>
      </w:pPr>
    </w:p>
    <w:p>
      <w:pPr>
        <w:ind w:left="4" w:right="40" w:hanging="4"/>
        <w:spacing w:after="0" w:line="271" w:lineRule="auto"/>
        <w:tabs>
          <w:tab w:leader="none" w:pos="249"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compliance by any Lender or the Issuing Bank (or, for purposes of Section 2.15(b), by any lending office of such Lender or by such Lender’s or the Issuing Bank’s holding company, if any) with any request, guideline, requirement or directive (whether or not having the force of law) of any Governmental Authority made or issued after the Fourth Restatement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(i) the Dodd-Frank Wall Street Reform and Consumer Protection Act and all requests, rules, guidelines, requirements or directives thereunder or issued in connection therewith or in implementation thereof, and (ii) all requests, rules, guidelines and directives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47" w:name="page48"/>
    <w:bookmarkEnd w:id="47"/>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Revolving Loans, Swingline Loans, Protective Advances or Overadvances.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Clean-Up Period</w:t>
      </w:r>
      <w:r>
        <w:rPr>
          <w:rFonts w:ascii="Arial" w:cs="Arial" w:eastAsia="Arial" w:hAnsi="Arial"/>
          <w:sz w:val="17"/>
          <w:szCs w:val="17"/>
          <w:color w:val="auto"/>
        </w:rPr>
        <w:t>” means the period from the Fourth Restatement Date until the date that is 90 days after the Fourth Restatement Date.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means any and all personal / movable property owned, leased or operated by a Person expressly described as Collateral in the Collateral Documents and any and all other personal / movable property of any Loan Party, now existing or hereafter acquired, that becomes subject, under the terms of the Collateral Documents, to a security interest, hypothec or Lien in favor of the Administrative Agent, on behalf of the Lender Parties (to secure the Secured Obligations) and the Canadian Lender Parties (to secure the Canadian Secured Obligations), as the case may be. For clarification, Collateral does not include (a) interests in real property, Accounts sold under Receivables Securitization Agreements (including any Related Assets (as defined therein)) or Equity Interests in Excluded Subsidiaries or Unrestricted Subsidiaries, (b) any Excluded Collateral, Excluded Debt Security or Excluded Equity Interests (each, as defined in the U.S. Security Agreement), or (c) with respect to any U.S. Secured Obligation, (i) the assets of any CFC Subsidiary or (ii) more than 65% of the issued and outstanding Equity Interests of any CFC Subsidiary or CFC Subsidiary Holding Company entitled to vote (within the meaning of United States Treasury Regulations Section 1.956-2(c)(2)).</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Access Agreement</w:t>
      </w:r>
      <w:r>
        <w:rPr>
          <w:rFonts w:ascii="Arial" w:cs="Arial" w:eastAsia="Arial" w:hAnsi="Arial"/>
          <w:sz w:val="18"/>
          <w:szCs w:val="18"/>
          <w:color w:val="auto"/>
        </w:rPr>
        <w:t>” has the meaning assigned to such term in the U.S. Security Agreement.</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individually and collectively as the context may require, the Canadian Security Agreement, the Canadian Hypothec, the U.S. Security Agreement, each Collateral Access Agreement, each Control Agreement, each Lock Box Agreement (as defined in the U.S. Security Agreement), if any, each additional security and pledge agreement of a Loan Party entered into pursuant to the terms of this Agreement (including Section 5.13 hereof) or any other Loan Document and each other document granting a Lien upon the Collateral as security for payment of the Secured Obligations.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Combined Availability</w:t>
      </w:r>
      <w:r>
        <w:rPr>
          <w:rFonts w:ascii="Arial" w:cs="Arial" w:eastAsia="Arial" w:hAnsi="Arial"/>
          <w:sz w:val="18"/>
          <w:szCs w:val="18"/>
          <w:color w:val="auto"/>
        </w:rPr>
        <w:t>” means, at any time, the sum of (a) Aggregate Availability and (b) Securitization Availability.</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Combined Availability Trigger Amount</w:t>
      </w:r>
      <w:r>
        <w:rPr>
          <w:rFonts w:ascii="Arial" w:cs="Arial" w:eastAsia="Arial" w:hAnsi="Arial"/>
          <w:sz w:val="18"/>
          <w:szCs w:val="18"/>
          <w:color w:val="auto"/>
        </w:rPr>
        <w:t>” means, at any time, the sum of (a) $318,750,000 and (b) 15% of the amount (so long as it is a positive number) by which (i) the Combined Commitments at such time exceed (ii) $2,125,000,000.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Combined Commitments</w:t>
      </w:r>
      <w:r>
        <w:rPr>
          <w:rFonts w:ascii="Arial" w:cs="Arial" w:eastAsia="Arial" w:hAnsi="Arial"/>
          <w:sz w:val="16"/>
          <w:szCs w:val="16"/>
          <w:color w:val="auto"/>
        </w:rPr>
        <w:t>” means, at any time, the sum of (a) the Aggregate Revolving Commitments and (b) the Securitization Purchase Limit.</w:t>
      </w:r>
    </w:p>
    <w:p>
      <w:pPr>
        <w:spacing w:after="0" w:line="248"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LC Exposure</w:t>
      </w:r>
      <w:r>
        <w:rPr>
          <w:rFonts w:ascii="Arial" w:cs="Arial" w:eastAsia="Arial" w:hAnsi="Arial"/>
          <w:sz w:val="18"/>
          <w:szCs w:val="18"/>
          <w:color w:val="auto"/>
        </w:rPr>
        <w:t xml:space="preserve">” means, at any time, the sum of (a) the aggregate undrawn amount of all outstanding commercial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all LC Disbursements relating to commercial Letters of Credit that have not yet been reimbursed by or on behalf of the Borrowers at such time. The Commercial LC Exposure of any Revolving Lender at any time shall be its Applicable Percentage of the total Commercial LC Exposure at such time.</w:t>
      </w:r>
    </w:p>
    <w:p>
      <w:pPr>
        <w:spacing w:after="0" w:line="187"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 Letter</w:t>
      </w:r>
      <w:r>
        <w:rPr>
          <w:rFonts w:ascii="Arial" w:cs="Arial" w:eastAsia="Arial" w:hAnsi="Arial"/>
          <w:sz w:val="16"/>
          <w:szCs w:val="16"/>
          <w:color w:val="auto"/>
        </w:rPr>
        <w:t>” means that certain commitment letter, dated as of January 10, 2020, by and among Holdings, Barclays, Canadian Imperial Bank of Commerce, New York Branch, Fifth Third Bank, National Association, PNC Bank, National Association, PNC Capital Markets LLC, The Toronto-Dominion Bank, New York Branch, TD Securities (USA) LLC and U.S. Bank National Association, as amended by that certain amendment to</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48" w:name="page49"/>
    <w:bookmarkEnd w:id="48"/>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commitment letter and fee letter, dated as of February 3, 2020 and that certain second amendment to commitment letter, dated as of April 27, 2020.</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 statute.</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has the meaning assigned to such term in Section 9.01(d).</w:t>
      </w:r>
    </w:p>
    <w:p>
      <w:pPr>
        <w:spacing w:after="0" w:line="225" w:lineRule="exact"/>
        <w:rPr>
          <w:sz w:val="20"/>
          <w:szCs w:val="20"/>
          <w:color w:val="auto"/>
        </w:rPr>
      </w:pPr>
    </w:p>
    <w:p>
      <w:pPr>
        <w:ind w:left="4" w:right="8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Conforming Changes</w:t>
      </w:r>
      <w:r>
        <w:rPr>
          <w:rFonts w:ascii="Arial" w:cs="Arial" w:eastAsia="Arial" w:hAnsi="Arial"/>
          <w:sz w:val="17"/>
          <w:szCs w:val="17"/>
          <w:color w:val="auto"/>
        </w:rPr>
        <w:t>” means, with respect to either the use or administration of any Term Benchmark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2.16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82"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delivered by the Borrower Representative to the Administrative Agent,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pursuant to Section 11.06.</w:t>
      </w:r>
    </w:p>
    <w:p>
      <w:pPr>
        <w:spacing w:after="0" w:line="170" w:lineRule="exact"/>
        <w:rPr>
          <w:sz w:val="20"/>
          <w:szCs w:val="20"/>
          <w:color w:val="auto"/>
        </w:rPr>
      </w:pPr>
    </w:p>
    <w:p>
      <w:pPr>
        <w:ind w:left="4" w:right="3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 Agreement</w:t>
      </w:r>
      <w:r>
        <w:rPr>
          <w:rFonts w:ascii="Arial" w:cs="Arial" w:eastAsia="Arial" w:hAnsi="Arial"/>
          <w:sz w:val="16"/>
          <w:szCs w:val="16"/>
          <w:color w:val="auto"/>
        </w:rPr>
        <w:t>” has the meaning assigned to such term in the U.S. Security Agreement or the Canadian Security Agreement, as applicable.</w:t>
      </w:r>
    </w:p>
    <w:p>
      <w:pPr>
        <w:spacing w:after="0" w:line="248" w:lineRule="exact"/>
        <w:rPr>
          <w:sz w:val="20"/>
          <w:szCs w:val="20"/>
          <w:color w:val="auto"/>
        </w:rPr>
      </w:pPr>
    </w:p>
    <w:p>
      <w:pPr>
        <w:jc w:val="center"/>
        <w:ind w:right="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Entity</w:t>
      </w:r>
      <w:r>
        <w:rPr>
          <w:rFonts w:ascii="Arial" w:cs="Arial" w:eastAsia="Arial" w:hAnsi="Arial"/>
          <w:sz w:val="17"/>
          <w:szCs w:val="17"/>
          <w:color w:val="auto"/>
        </w:rPr>
        <w:t>” means any of the following: (a) a “covered entity” as that term is defined in, and interpreted in accordance with, 12 C.F.R.</w:t>
      </w:r>
    </w:p>
    <w:p>
      <w:pPr>
        <w:spacing w:after="0" w:line="35" w:lineRule="exact"/>
        <w:rPr>
          <w:sz w:val="20"/>
          <w:szCs w:val="20"/>
          <w:color w:val="auto"/>
        </w:rPr>
      </w:pPr>
    </w:p>
    <w:p>
      <w:pPr>
        <w:ind w:left="4" w:right="120" w:hanging="4"/>
        <w:spacing w:after="0" w:line="260" w:lineRule="auto"/>
        <w:tabs>
          <w:tab w:leader="none" w:pos="1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252.82(b); (b) a “covered bank” as that term is defined in, and interpreted in accordance with, 12 C.F.R. § 47.3(b); or (c) a “covered FSI” as that term is defined in, and interpreted in accordance with, 12 C.F.R. § 382.2(b).</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has the meaning assigned to such term in Section 9.26.</w:t>
      </w:r>
    </w:p>
    <w:p>
      <w:pPr>
        <w:spacing w:after="0" w:line="225"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Exposure</w:t>
      </w:r>
      <w:r>
        <w:rPr>
          <w:rFonts w:ascii="Arial" w:cs="Arial" w:eastAsia="Arial" w:hAnsi="Arial"/>
          <w:sz w:val="18"/>
          <w:szCs w:val="18"/>
          <w:color w:val="auto"/>
        </w:rPr>
        <w:t xml:space="preserve">” means, as to any Lender at any time, the sum of (a) such Lender’s Revolving Exposure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an amount equal to its Applicable Percentage, if any, of the aggregate principal amount of Protective Advances outstanding at such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Simple SOFR</w:t>
      </w:r>
      <w:r>
        <w:rPr>
          <w:rFonts w:ascii="Arial" w:cs="Arial" w:eastAsia="Arial" w:hAnsi="Arial"/>
          <w:sz w:val="16"/>
          <w:szCs w:val="16"/>
          <w:color w:val="auto"/>
        </w:rPr>
        <w:t>” means, for any day (a “</w:t>
      </w:r>
      <w:r>
        <w:rPr>
          <w:rFonts w:ascii="Arial" w:cs="Arial" w:eastAsia="Arial" w:hAnsi="Arial"/>
          <w:sz w:val="16"/>
          <w:szCs w:val="16"/>
          <w:u w:val="single" w:color="auto"/>
          <w:color w:val="auto"/>
        </w:rPr>
        <w:t>SOFR Rate Day</w:t>
      </w:r>
      <w:r>
        <w:rPr>
          <w:rFonts w:ascii="Arial" w:cs="Arial" w:eastAsia="Arial" w:hAnsi="Arial"/>
          <w:sz w:val="16"/>
          <w:szCs w:val="16"/>
          <w:color w:val="auto"/>
        </w:rPr>
        <w:t>”), a rate per annum equal to the greater of (a) (i) SOFR for the day (such day, a</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Daily Simple SOFR Determination Day</w:t>
      </w:r>
      <w:r>
        <w:rPr>
          <w:rFonts w:ascii="Arial" w:cs="Arial" w:eastAsia="Arial" w:hAnsi="Arial"/>
          <w:sz w:val="17"/>
          <w:szCs w:val="17"/>
          <w:color w:val="auto"/>
        </w:rPr>
        <w:t>”) that is five U.S. Government Securities Business Days prior to (A) if such SOFR Rate Day is a U.S.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Government Securities Business Day, such SOFR Rate Day or (B) if such SOFR Rate Day is not a U.S. Government Securities Business Day, the U.S.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Government Securities Business Day immediately preceding such SOFR Rate Day, in each case, as such SOFR is published by the SOFR Administrator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on the SOFR Administrator’s Website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Applicable SOFR Adjustment and (b) zero. If by 5:00 pm (New York City time) on the second</w:t>
      </w:r>
    </w:p>
    <w:p>
      <w:pPr>
        <w:ind w:left="4"/>
        <w:spacing w:after="0" w:line="216" w:lineRule="auto"/>
        <w:rPr>
          <w:sz w:val="20"/>
          <w:szCs w:val="20"/>
          <w:color w:val="auto"/>
        </w:rPr>
      </w:pPr>
      <w:r>
        <w:rPr>
          <w:rFonts w:ascii="Arial" w:cs="Arial" w:eastAsia="Arial" w:hAnsi="Arial"/>
          <w:sz w:val="16"/>
          <w:szCs w:val="16"/>
          <w:color w:val="auto"/>
        </w:rPr>
        <w:t>(2</w:t>
      </w:r>
      <w:r>
        <w:rPr>
          <w:rFonts w:ascii="Arial" w:cs="Arial" w:eastAsia="Arial" w:hAnsi="Arial"/>
          <w:sz w:val="23"/>
          <w:szCs w:val="23"/>
          <w:color w:val="auto"/>
          <w:vertAlign w:val="superscript"/>
        </w:rPr>
        <w:t>nd</w:t>
      </w:r>
      <w:r>
        <w:rPr>
          <w:rFonts w:ascii="Arial" w:cs="Arial" w:eastAsia="Arial" w:hAnsi="Arial"/>
          <w:sz w:val="16"/>
          <w:szCs w:val="16"/>
          <w:color w:val="auto"/>
        </w:rPr>
        <w:t>) U.S. Government Securities Business Day immediately following any Daily Simple SOFR Determination Day, the SOFR in respect of such Daily</w:t>
      </w:r>
    </w:p>
    <w:p>
      <w:pPr>
        <w:ind w:left="4"/>
        <w:spacing w:after="0"/>
        <w:rPr>
          <w:sz w:val="20"/>
          <w:szCs w:val="20"/>
          <w:color w:val="auto"/>
        </w:rPr>
      </w:pPr>
      <w:r>
        <w:rPr>
          <w:rFonts w:ascii="Arial" w:cs="Arial" w:eastAsia="Arial" w:hAnsi="Arial"/>
          <w:sz w:val="16"/>
          <w:szCs w:val="16"/>
          <w:color w:val="auto"/>
        </w:rPr>
        <w:t>Simple SOFR Determination Day has not been published on the SOFR Administrator’s Website and a Benchmark Replacement Date with respect to the</w:t>
      </w:r>
    </w:p>
    <w:p>
      <w:pPr>
        <w:spacing w:after="0" w:line="30" w:lineRule="exact"/>
        <w:rPr>
          <w:sz w:val="20"/>
          <w:szCs w:val="20"/>
          <w:color w:val="auto"/>
        </w:rPr>
      </w:pPr>
    </w:p>
    <w:p>
      <w:pPr>
        <w:ind w:left="4"/>
        <w:spacing w:after="0"/>
        <w:rPr>
          <w:sz w:val="20"/>
          <w:szCs w:val="20"/>
          <w:color w:val="auto"/>
        </w:rPr>
      </w:pPr>
      <w:r>
        <w:rPr>
          <w:rFonts w:ascii="Arial" w:cs="Arial" w:eastAsia="Arial" w:hAnsi="Arial"/>
          <w:sz w:val="16"/>
          <w:szCs w:val="16"/>
          <w:color w:val="auto"/>
        </w:rPr>
        <w:t>Daily Simple SOFR has not occurred, then the SOFR for such Daily Simple SOFR Determination Day will be the SOFR as published in respect of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first preceding U.S. Government Securities Business Day for which such SOFR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49" w:name="page50"/>
    <w:bookmarkEnd w:id="49"/>
    <w:p>
      <w:pPr>
        <w:ind w:right="3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was published on the SOFR Administrator’s Website;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 Representative. It is hereby agreed that if Daily Simple SOFR determined as provided above shall ever be less than zero, then Daily Simple SOFR shall be deemed to be zero.</w:t>
      </w:r>
    </w:p>
    <w:p>
      <w:pPr>
        <w:spacing w:after="0" w:line="157"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 Borrowing</w:t>
      </w:r>
      <w:r>
        <w:rPr>
          <w:rFonts w:ascii="Arial" w:cs="Arial" w:eastAsia="Arial" w:hAnsi="Arial"/>
          <w:sz w:val="18"/>
          <w:szCs w:val="18"/>
          <w:color w:val="auto"/>
        </w:rPr>
        <w:t>” means a Borrowing comprised of Loans bearing interest at a rate determined by reference to Daily Simple SOFR.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 Determination Day</w:t>
      </w:r>
      <w:r>
        <w:rPr>
          <w:rFonts w:ascii="Arial" w:cs="Arial" w:eastAsia="Arial" w:hAnsi="Arial"/>
          <w:sz w:val="18"/>
          <w:szCs w:val="18"/>
          <w:color w:val="auto"/>
        </w:rPr>
        <w:t>” has the meaning assigned to such term in in the definition of “Daily Simple SOFR”.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 Loan</w:t>
      </w:r>
      <w:r>
        <w:rPr>
          <w:rFonts w:ascii="Arial" w:cs="Arial" w:eastAsia="Arial" w:hAnsi="Arial"/>
          <w:sz w:val="18"/>
          <w:szCs w:val="18"/>
          <w:color w:val="auto"/>
        </w:rPr>
        <w:t>” means a Loan that bears interest at a rate based on Daily Simple SOFR.</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such term in, and shall be interpreted in accordance with, 12 C.F.R. §§ 252.81, 47.2 or 382.1, as applicable.</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any Lender that: (a) has failed, within two Business Days of the date required to be funded or paid, to (i) fund any portion of its Loans, (ii) fund any portion of its participations in Letters of Credit or Swingline Loans or (iii) pay over to any Lender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Borrower or any Lender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to funding a Loan under this Agreement (specifically identified and including the particular Default, if any) cannot be satisfied) or generally under other agreements in which it commits to extend credit; (c) has failed, within three Business Days after request by a Lender Party, acting in good faith, to provide a certification in writing from an authorized officer of such Lender that it will comply with its obligations (and is financially able to meet such obligations as of the date of such certification) to fund prospective Loans and participations in then outstanding Letters of Credit and Swingline Loans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such Lender Party’s receipt of such certification in form and substance reasonably satisfactory to it and the Administrative Agent; or (d) has become the subject of (i) a Bankruptcy Event or (ii) a Bail-In Action.</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w:t>
      </w:r>
      <w:r>
        <w:rPr>
          <w:rFonts w:ascii="Arial" w:cs="Arial" w:eastAsia="Arial" w:hAnsi="Arial"/>
          <w:sz w:val="18"/>
          <w:szCs w:val="18"/>
          <w:color w:val="auto"/>
        </w:rPr>
        <w:t>” has the meaning set forth in Article 9 of the UCC.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Immaterial Subsidiary</w:t>
      </w:r>
      <w:r>
        <w:rPr>
          <w:rFonts w:ascii="Arial" w:cs="Arial" w:eastAsia="Arial" w:hAnsi="Arial"/>
          <w:sz w:val="18"/>
          <w:szCs w:val="18"/>
          <w:color w:val="auto"/>
        </w:rPr>
        <w:t>” has the meaning assigned to such term in Section 5.13(g).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Immaterial Subsidiary Notice</w:t>
      </w:r>
      <w:r>
        <w:rPr>
          <w:rFonts w:ascii="Arial" w:cs="Arial" w:eastAsia="Arial" w:hAnsi="Arial"/>
          <w:sz w:val="18"/>
          <w:szCs w:val="18"/>
          <w:color w:val="auto"/>
        </w:rPr>
        <w:t>” has the meaning assigned to such term in Section 5.13(g).</w:t>
      </w:r>
    </w:p>
    <w:p>
      <w:pPr>
        <w:spacing w:after="0" w:line="225"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 Factors</w:t>
      </w:r>
      <w:r>
        <w:rPr>
          <w:rFonts w:ascii="Arial" w:cs="Arial" w:eastAsia="Arial" w:hAnsi="Arial"/>
          <w:sz w:val="18"/>
          <w:szCs w:val="18"/>
          <w:color w:val="auto"/>
        </w:rPr>
        <w:t>” shall mean, without duplication, with respect to any period, the aggregate amount of all deductions, credit memos, returns, adjustments, allowances, bad debt write-offs and other non-cash credits which are recorded to reduce accounts receivable in a manner consistent with current and historical accounting practices of the Borrowers.</w:t>
      </w:r>
    </w:p>
    <w:p>
      <w:pPr>
        <w:spacing w:after="0" w:line="184" w:lineRule="exact"/>
        <w:rPr>
          <w:sz w:val="20"/>
          <w:szCs w:val="20"/>
          <w:color w:val="auto"/>
        </w:rPr>
      </w:pPr>
    </w:p>
    <w:p>
      <w:pPr>
        <w:ind w:right="4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Dilution Ratio</w:t>
      </w:r>
      <w:r>
        <w:rPr>
          <w:rFonts w:ascii="Arial" w:cs="Arial" w:eastAsia="Arial" w:hAnsi="Arial"/>
          <w:sz w:val="16"/>
          <w:szCs w:val="16"/>
          <w:color w:val="auto"/>
        </w:rPr>
        <w:t>” shall mean, at any date, the amount (expressed as a percentage) equal to (a) the aggregate amount of the applicable Dilution Factors for the three (3) most recently ended fiscal months divided by (b) total gross sales for the three (3) most recently ended fiscal months.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 Reserve</w:t>
      </w:r>
      <w:r>
        <w:rPr>
          <w:rFonts w:ascii="Arial" w:cs="Arial" w:eastAsia="Arial" w:hAnsi="Arial"/>
          <w:sz w:val="18"/>
          <w:szCs w:val="18"/>
          <w:color w:val="auto"/>
        </w:rPr>
        <w:t>” shall mean, at any date, the applicable Dilution Ratio multiplied by the Eligible Accounts.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50" w:name="page51"/>
    <w:bookmarkEnd w:id="5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Disclosed Matters</w:t>
      </w:r>
      <w:r>
        <w:rPr>
          <w:rFonts w:ascii="Arial" w:cs="Arial" w:eastAsia="Arial" w:hAnsi="Arial"/>
          <w:sz w:val="18"/>
          <w:szCs w:val="18"/>
          <w:color w:val="auto"/>
        </w:rPr>
        <w:t xml:space="preserve">” means the actions, suits and proceedings and the environmental matters disclosed in </w:t>
      </w:r>
      <w:r>
        <w:rPr>
          <w:rFonts w:ascii="Arial" w:cs="Arial" w:eastAsia="Arial" w:hAnsi="Arial"/>
          <w:sz w:val="18"/>
          <w:szCs w:val="18"/>
          <w:u w:val="single" w:color="auto"/>
          <w:color w:val="auto"/>
        </w:rPr>
        <w:t>Schedule 3.06</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Dividing Person</w:t>
      </w:r>
      <w:r>
        <w:rPr>
          <w:rFonts w:ascii="Arial" w:cs="Arial" w:eastAsia="Arial" w:hAnsi="Arial"/>
          <w:sz w:val="18"/>
          <w:szCs w:val="18"/>
          <w:color w:val="auto"/>
        </w:rPr>
        <w:t>” has the meaning assigned to such term in the definition of “</w:t>
      </w:r>
      <w:r>
        <w:rPr>
          <w:rFonts w:ascii="Arial" w:cs="Arial" w:eastAsia="Arial" w:hAnsi="Arial"/>
          <w:sz w:val="18"/>
          <w:szCs w:val="18"/>
          <w:u w:val="single" w:color="auto"/>
          <w:color w:val="auto"/>
        </w:rPr>
        <w:t>Division</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Division</w:t>
      </w:r>
      <w:r>
        <w:rPr>
          <w:rFonts w:ascii="Arial" w:cs="Arial" w:eastAsia="Arial" w:hAnsi="Arial"/>
          <w:sz w:val="18"/>
          <w:szCs w:val="18"/>
          <w:color w:val="auto"/>
        </w:rPr>
        <w:t>” means the division of the assets, liabilities and/or obligations of a Person (the “</w:t>
      </w:r>
      <w:r>
        <w:rPr>
          <w:rFonts w:ascii="Arial" w:cs="Arial" w:eastAsia="Arial" w:hAnsi="Arial"/>
          <w:sz w:val="18"/>
          <w:szCs w:val="18"/>
          <w:u w:val="single" w:color="auto"/>
          <w:color w:val="auto"/>
        </w:rPr>
        <w:t>Dividing Person</w:t>
      </w:r>
      <w:r>
        <w:rPr>
          <w:rFonts w:ascii="Arial" w:cs="Arial" w:eastAsia="Arial" w:hAnsi="Arial"/>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84" w:lineRule="exact"/>
        <w:rPr>
          <w:sz w:val="20"/>
          <w:szCs w:val="20"/>
          <w:color w:val="auto"/>
        </w:rPr>
      </w:pPr>
    </w:p>
    <w:p>
      <w:pPr>
        <w:ind w:left="4" w:right="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Division Successor</w:t>
      </w:r>
      <w:r>
        <w:rPr>
          <w:rFonts w:ascii="Arial" w:cs="Arial" w:eastAsia="Arial" w:hAnsi="Arial"/>
          <w:sz w:val="16"/>
          <w:szCs w:val="16"/>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“Document” has the meaning assigned to such term in the U.S. Security Agreement.</w:t>
      </w:r>
    </w:p>
    <w:p>
      <w:pPr>
        <w:spacing w:after="0" w:line="225" w:lineRule="exact"/>
        <w:rPr>
          <w:sz w:val="20"/>
          <w:szCs w:val="20"/>
          <w:color w:val="auto"/>
        </w:rPr>
      </w:pPr>
    </w:p>
    <w:p>
      <w:pPr>
        <w:jc w:val="both"/>
        <w:ind w:left="4"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Amount</w:t>
      </w:r>
      <w:r>
        <w:rPr>
          <w:rFonts w:ascii="Arial" w:cs="Arial" w:eastAsia="Arial" w:hAnsi="Arial"/>
          <w:sz w:val="18"/>
          <w:szCs w:val="18"/>
          <w:color w:val="auto"/>
        </w:rPr>
        <w:t>” means (a) with regard to any Obligation or calculation denominated in dollars, the amount thereof, and (b) with regard to any Obligation or calculation denominated in any other currency, the amount of dollars which is equivalent to the amount so expressed in such currency at the Exchange Rate on the relevant date of determination.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with respect to any Person, each subsidiary of such Person that is organized under the laws of the United States, any State of the United States or the District of Columbia other than any such subsidiary that is also a direct or indirect subsidiary of a CFC Subsidiary or of a CFC Subsidiary Holding Company.</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Subsidiary</w:t>
      </w:r>
      <w:r>
        <w:rPr>
          <w:rFonts w:ascii="Arial" w:cs="Arial" w:eastAsia="Arial" w:hAnsi="Arial"/>
          <w:sz w:val="18"/>
          <w:szCs w:val="18"/>
          <w:color w:val="auto"/>
        </w:rPr>
        <w:t>” means any Subsidiary of Holdings organized under the laws of the Netherlands.</w:t>
      </w:r>
    </w:p>
    <w:p>
      <w:pPr>
        <w:spacing w:after="0" w:line="225"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EBITDA</w:t>
      </w:r>
      <w:r>
        <w:rPr>
          <w:rFonts w:ascii="Arial" w:cs="Arial" w:eastAsia="Arial" w:hAnsi="Arial"/>
          <w:sz w:val="16"/>
          <w:szCs w:val="16"/>
          <w:color w:val="auto"/>
        </w:rPr>
        <w:t xml:space="preserve">” means, for any period, Net Income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without duplication and to the extent deducted in determining Net Income for such period, the sum of (i) Interest Expense for such period, (ii) income tax expense for such period, (iii) all amounts attributable to depreciation and amortization expense for such period, (iv) amortized debt discount, (v) any non-cash losses or non-cash charges for such period that relate to the write-down or write-off of inventory to the extent such non-cash charges or non-cash losses do not exceed $10,000,000 in the aggregate during such period,</w:t>
      </w:r>
    </w:p>
    <w:p>
      <w:pPr>
        <w:spacing w:after="0" w:line="1" w:lineRule="exact"/>
        <w:rPr>
          <w:sz w:val="20"/>
          <w:szCs w:val="20"/>
          <w:color w:val="auto"/>
        </w:rPr>
      </w:pPr>
    </w:p>
    <w:p>
      <w:pPr>
        <w:ind w:left="4" w:right="40" w:hanging="4"/>
        <w:spacing w:after="0" w:line="284" w:lineRule="auto"/>
        <w:tabs>
          <w:tab w:leader="none" w:pos="3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any other non-cash losses or non-cash charges for such period (but excluding any non-cash charge in respect of an item that was included in Net Income in a prior period), (vii) charges and expenses incurred in connection with the Transactions and the other transactions related thereto and any amendments, waivers or consents with respect to the Loan Documents, (viii) charges and expenses incurred in connection with any actual or proposed Acquisition, disposition or Investment or any actual or proposed offering of securities, incurrence or repayment of Indebtedness or amendment to any agreement relating to Indebtedness, including any refinancing thereof, in each case whether or not consummated,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added back pursuant to this clause (a)(viii) shall not exceed an amount equal to 20% of EBITDA (calculated prior to giving effect to such addbacks) during such period and (ix) any reasonable, documented severance, relocation, consolidation, closing, integration, facilities opening, business optimization, transition or restructuring costs, charges or expenses (including any costs or expenses associated with any expatriate); provided, that the aggregate amount added back pursuant to clause (a)(ix) shall not exceed an amount equal to 15% of EBITDA (calculated prior to such addbacks);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without duplication and to the extent included in Net Income, (i) income tax credits and refunds, (ii) interest income, (iii) any cash payments made during such period in respect of non-cash charges described in clause (a)(v) taken in a prior period, (iv) any non-cash gains and non-cash items of income for such period that relate to any write-up of inventory to the extent such non-cash gains and non-cash income does not exceed $10,000,000 in the aggregate during such period, and (v) any other non-cash gains and non-cash items of income for such period, all calculated for Holdings and its Restricted Subsidiaries on a consolidated basis in accordance with GAAP. If during any period for which EBITDA is being determined, Holdings or any Restricted Subsidiary shall have consummated any Acquisition, then for all purposes of this Agreement, in the case of any Acquisition, EBITDA shall be determined on a pro forma basis as if such Acquisition had been consummated on the first day of such period, taking into account such</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51" w:name="page52"/>
    <w:bookmarkEnd w:id="51"/>
    <w:p>
      <w:pPr>
        <w:ind w:righ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adjustments as are consistent with the standards set forth in Rule 11-02(b)(6) of Regulation S-X;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pro forma adjustments are acceptable to the Administrative Agent in its Permitted Discretion.</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ECP</w:t>
      </w:r>
      <w:r>
        <w:rPr>
          <w:rFonts w:ascii="Arial" w:cs="Arial" w:eastAsia="Arial" w:hAnsi="Arial"/>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70"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ind w:right="60" w:firstLine="440"/>
        <w:spacing w:after="0" w:line="23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Electronic System</w:t>
      </w:r>
      <w:r>
        <w:rPr>
          <w:rFonts w:ascii="Arial" w:cs="Arial" w:eastAsia="Arial" w:hAnsi="Arial"/>
          <w:sz w:val="17"/>
          <w:szCs w:val="17"/>
          <w:color w:val="auto"/>
        </w:rPr>
        <w:t>” means any electronic system, including e-mail, e-fax, Intralinks</w:t>
      </w:r>
      <w:r>
        <w:rPr>
          <w:rFonts w:ascii="Arial" w:cs="Arial" w:eastAsia="Arial" w:hAnsi="Arial"/>
          <w:sz w:val="25"/>
          <w:szCs w:val="25"/>
          <w:color w:val="auto"/>
          <w:vertAlign w:val="superscript"/>
        </w:rPr>
        <w:t>®</w:t>
      </w:r>
      <w:r>
        <w:rPr>
          <w:rFonts w:ascii="Arial" w:cs="Arial" w:eastAsia="Arial" w:hAnsi="Arial"/>
          <w:sz w:val="17"/>
          <w:szCs w:val="17"/>
          <w:color w:val="auto"/>
        </w:rPr>
        <w:t>, ClearPar</w:t>
      </w:r>
      <w:r>
        <w:rPr>
          <w:rFonts w:ascii="Arial" w:cs="Arial" w:eastAsia="Arial" w:hAnsi="Arial"/>
          <w:sz w:val="25"/>
          <w:szCs w:val="25"/>
          <w:color w:val="auto"/>
          <w:vertAlign w:val="superscript"/>
        </w:rPr>
        <w:t>®</w:t>
      </w:r>
      <w:r>
        <w:rPr>
          <w:rFonts w:ascii="Arial" w:cs="Arial" w:eastAsia="Arial" w:hAnsi="Arial"/>
          <w:sz w:val="17"/>
          <w:szCs w:val="17"/>
          <w:color w:val="auto"/>
        </w:rPr>
        <w:t>, Debt Domain, Syndtrak and any other Internet or extranet-based site, whether such electronic system is owned, operated or hosted by the Administrative Agent and the Issuing Bank and any of its respective Related Parties or any other Person, providing for access to data protected by passcodes or other security system.</w:t>
      </w:r>
    </w:p>
    <w:p>
      <w:pPr>
        <w:spacing w:after="0" w:line="203"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Accounts</w:t>
      </w:r>
      <w:r>
        <w:rPr>
          <w:rFonts w:ascii="Arial" w:cs="Arial" w:eastAsia="Arial" w:hAnsi="Arial"/>
          <w:sz w:val="18"/>
          <w:szCs w:val="18"/>
          <w:color w:val="auto"/>
        </w:rPr>
        <w:t xml:space="preserve">” means, at any time, all Accounts created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Eligible Accounts shall not include any Account:</w:t>
      </w:r>
    </w:p>
    <w:p>
      <w:pPr>
        <w:spacing w:after="0" w:line="62" w:lineRule="exact"/>
        <w:rPr>
          <w:sz w:val="20"/>
          <w:szCs w:val="20"/>
          <w:color w:val="auto"/>
        </w:rPr>
      </w:pPr>
    </w:p>
    <w:p>
      <w:pPr>
        <w:jc w:val="both"/>
        <w:ind w:right="180" w:firstLine="436"/>
        <w:spacing w:after="0" w:line="286" w:lineRule="auto"/>
        <w:tabs>
          <w:tab w:leader="none" w:pos="685"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which is not subject to a first priority perfected Lien in favor of the Administrative Agent (for the benefit of the Lender Parties to secure the Secured Obligations, or for the benefit of the Canadian Lender Parties to secure the Canadian Secured Obligations,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Accounts comprising Eligible Securitization Receivables shall not be subject to a Lien in favor of the Administrative Agent;</w:t>
      </w:r>
    </w:p>
    <w:p>
      <w:pPr>
        <w:spacing w:after="0" w:line="57" w:lineRule="exact"/>
        <w:rPr>
          <w:rFonts w:ascii="Arial" w:cs="Arial" w:eastAsia="Arial" w:hAnsi="Arial"/>
          <w:sz w:val="17"/>
          <w:szCs w:val="17"/>
          <w:color w:val="auto"/>
        </w:rPr>
      </w:pPr>
    </w:p>
    <w:p>
      <w:pPr>
        <w:ind w:right="100" w:firstLine="436"/>
        <w:spacing w:after="0" w:line="275" w:lineRule="auto"/>
        <w:tabs>
          <w:tab w:leader="none" w:pos="695"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which is subject to any Lien other than (i) a Lien in favor of the Administrative Agent (for the benefit of the Lender Parties to secure the Secured Obligations, or for the benefit of the Canadian Lender Parties to secure the Canadian Secured Obligations, as the case may be), and (ii) a Permitted Encumbrance which does not have priority over the Lien in favor of the Administrative Agent (for the benefit of the Lender Parties or the Canadian Lender Parties,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Accounts comprising Eligible Securitization Receivables shall be subject to Liens in favor of the financial institutions which are purchasers (i.e. lenders) under the Receivables Securitization Agreements;</w:t>
      </w:r>
    </w:p>
    <w:p>
      <w:pPr>
        <w:spacing w:after="0" w:line="68" w:lineRule="exact"/>
        <w:rPr>
          <w:rFonts w:ascii="Arial" w:cs="Arial" w:eastAsia="Arial" w:hAnsi="Arial"/>
          <w:sz w:val="17"/>
          <w:szCs w:val="17"/>
          <w:color w:val="auto"/>
        </w:rPr>
      </w:pPr>
    </w:p>
    <w:p>
      <w:pPr>
        <w:ind w:right="40" w:firstLine="436"/>
        <w:spacing w:after="0" w:line="271" w:lineRule="auto"/>
        <w:tabs>
          <w:tab w:leader="none" w:pos="685"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in the case of any Account originated by a U.S. Loan Party, (i) with respect to which the scheduled due date is more than 90 days after the original invoice date, (ii) which is unpaid more than 120 days after the date of the original invoice therefor or more than 90 days after the original due date, or (iii) which has been written off the books of the applicable U.S. Loan Party or otherwise designated as uncollectible;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Accounts of the U.S. Loan Parties in an aggregate amount not exceeding 7.5% of the lesser of (x) the Aggregate Revolving Commitments and (y) the Aggregate Borrowing Base, shall not be deemed ineligible by reason of this clause (c) so long as (A) the scheduled due date thereof is more than 90 but less than 121 days after the original invoice date, (B) such Accounts remain unpaid for more than 120 but less than 151 days after the date of the original invoice therefor or more than 90 but less than 121 days after the original due date, and (C) such Accounts have not been written off the books of the applicable U.S. Loan Party or otherwise designated as uncollectible;</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440" w:top="274" w:right="519" w:bottom="1440" w:gutter="0" w:footer="0" w:header="0"/>
        </w:sectPr>
      </w:pPr>
    </w:p>
    <w:bookmarkStart w:id="52" w:name="page53"/>
    <w:bookmarkEnd w:id="52"/>
    <w:p>
      <w:pPr>
        <w:ind w:right="20" w:firstLine="436"/>
        <w:spacing w:after="0" w:line="290" w:lineRule="auto"/>
        <w:tabs>
          <w:tab w:leader="none" w:pos="695"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any Account originated by a Canadian Loan Party, (i) with respect to which the scheduled due date is more than 60 days after the original invoice date, (ii) which is unpaid more than 90 days after the date of the original invoice therefor or more than 60 days after the original due date, or (iii) which has been written off the books of the applicable Canadian Loan Party or otherwise designated as uncollectible,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Accounts of the Canadian Loan Parties in an aggregate amount not exceeding 7.5% of the aggregate amount of all Eligible Accounts (as determined without giving effect to this proviso) of the Canadian Loan Parties shall not be deemed ineligible by reason of this clause (d) so long as (A) the scheduled due date thereof is more than 60 but less than 91 days after the original invoice date, (B) such Accounts remain unpaid for more than 90 but less than 121 days after the date of the original invoice therefor or more than 60 but less than 91 days after the original due date, and (C) such Accounts have not been written off the books of the applicable Canadian Loan Party or otherwise designated as uncollectible;</w:t>
      </w:r>
    </w:p>
    <w:p>
      <w:pPr>
        <w:spacing w:after="0" w:line="57" w:lineRule="exact"/>
        <w:rPr>
          <w:rFonts w:ascii="Arial" w:cs="Arial" w:eastAsia="Arial" w:hAnsi="Arial"/>
          <w:sz w:val="16"/>
          <w:szCs w:val="16"/>
          <w:color w:val="auto"/>
        </w:rPr>
      </w:pPr>
    </w:p>
    <w:p>
      <w:pPr>
        <w:ind w:right="540" w:firstLine="436"/>
        <w:spacing w:after="0" w:line="277" w:lineRule="auto"/>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which is owing by an Account Debtor for which more than 50% of the Accounts owing from such Account Debtor and its Affiliates are ineligible hereunder;</w:t>
      </w:r>
    </w:p>
    <w:p>
      <w:pPr>
        <w:spacing w:after="0" w:line="62" w:lineRule="exact"/>
        <w:rPr>
          <w:rFonts w:ascii="Arial" w:cs="Arial" w:eastAsia="Arial" w:hAnsi="Arial"/>
          <w:sz w:val="18"/>
          <w:szCs w:val="18"/>
          <w:color w:val="auto"/>
        </w:rPr>
      </w:pPr>
    </w:p>
    <w:p>
      <w:pPr>
        <w:ind w:right="40" w:firstLine="436"/>
        <w:spacing w:after="0" w:line="263" w:lineRule="auto"/>
        <w:tabs>
          <w:tab w:leader="none" w:pos="6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which is owing by an Account Debtor to the extent the aggregate amount of Accounts owing from such Account Debtor and its Affiliates to any Loan Party or to WESCO Receivables exceeds 20% of the aggregate amount of Eligible Accounts (for clarification, only the amount of Accounts in excess of such percentage shall be deemed ineligible under this clause (f));</w:t>
      </w:r>
    </w:p>
    <w:p>
      <w:pPr>
        <w:spacing w:after="0" w:line="75" w:lineRule="exact"/>
        <w:rPr>
          <w:rFonts w:ascii="Arial" w:cs="Arial" w:eastAsia="Arial" w:hAnsi="Arial"/>
          <w:sz w:val="18"/>
          <w:szCs w:val="18"/>
          <w:color w:val="auto"/>
        </w:rPr>
      </w:pPr>
    </w:p>
    <w:p>
      <w:pPr>
        <w:ind w:right="80" w:firstLine="436"/>
        <w:spacing w:after="0" w:line="277"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respect to which any covenant, representation, or warranty contained in this Agreement, the U.S. Security Agreement, or in the Canadian Security Agreement, as applicable, has been breached and not cured or is not true in any material respect;</w:t>
      </w:r>
    </w:p>
    <w:p>
      <w:pPr>
        <w:spacing w:after="0" w:line="62" w:lineRule="exact"/>
        <w:rPr>
          <w:rFonts w:ascii="Arial" w:cs="Arial" w:eastAsia="Arial" w:hAnsi="Arial"/>
          <w:sz w:val="18"/>
          <w:szCs w:val="18"/>
          <w:color w:val="auto"/>
        </w:rPr>
      </w:pPr>
    </w:p>
    <w:p>
      <w:pPr>
        <w:ind w:firstLine="436"/>
        <w:spacing w:after="0" w:line="296" w:lineRule="auto"/>
        <w:tabs>
          <w:tab w:leader="none" w:pos="6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which (i) does not arise from the sale of goods or performance of services in the ordinary course of business, (ii) is not evidenced by an invoice or other documentation satisfactory to the Administrative Agent in its Permitted Discretion which has been sent to the Account Debtor, (iii) represents a progress billing (which term, for greater certainty, shall not include sales in connection with an ongoing project where each sale represents a separate billable sale), (iv) is contingent upon any Loan Party’s completion of any further performance, (v) represents a sale on a bill-and-hold, guaranteed sale, sale-and-return, sale on approval, consignment, cash-on-delivery or any other repurchase or return basis or (vi) relates to payments of interest;</w:t>
      </w:r>
    </w:p>
    <w:p>
      <w:pPr>
        <w:spacing w:after="0" w:line="53" w:lineRule="exact"/>
        <w:rPr>
          <w:rFonts w:ascii="Arial" w:cs="Arial" w:eastAsia="Arial" w:hAnsi="Arial"/>
          <w:sz w:val="16"/>
          <w:szCs w:val="16"/>
          <w:color w:val="auto"/>
        </w:rPr>
      </w:pPr>
    </w:p>
    <w:p>
      <w:pPr>
        <w:ind w:right="180" w:firstLine="436"/>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which the goods giving rise to such Account have not been shipped to the Account Debtor or its designee or for which the services giving rise to such Account have not been performed by the applicable Loan Party that originated such Account or if such Account was invoiced more than once;</w:t>
      </w:r>
    </w:p>
    <w:p>
      <w:pPr>
        <w:spacing w:after="0" w:line="75" w:lineRule="exact"/>
        <w:rPr>
          <w:rFonts w:ascii="Arial" w:cs="Arial" w:eastAsia="Arial" w:hAnsi="Arial"/>
          <w:sz w:val="18"/>
          <w:szCs w:val="18"/>
          <w:color w:val="auto"/>
        </w:rPr>
      </w:pPr>
    </w:p>
    <w:p>
      <w:pPr>
        <w:ind w:left="660" w:hanging="224"/>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firstLine="436"/>
        <w:spacing w:after="0" w:line="291" w:lineRule="auto"/>
        <w:tabs>
          <w:tab w:leader="none" w:pos="6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which is owed by an Account Debtor which has (i) applied for, suffered, or consented to the appointment of any receiver, interim receiver, custodian, trustee, monitor, administrator, sequestrator or liquidator of its assets, (ii) has had possession of all or a material part of its property taken by any receiver, interim receiver, custodian, trustee, monitor, administrator, sequestrator or liquidator, (iii) filed, or had filed against it, any request or petition for liquidation, reorganization, arrangement, adjustment of debts, adjudication as bankrupt, winding-up, or voluntary or involuntary case under any state, provincial, territorial or federal bankruptcy laws (other than post-petition accounts payable of an Account Debtor that is a debtor-in-possession under the Bankruptcy Code or other bankruptcy or insolvency laws and reasonably acceptable to the Administrative Agent), (iv) has admitted in writing its inability, or is generally unable to, pay its debts as they become due, (v) become insolvent, or (vi) ceased operation of its business;</w:t>
      </w:r>
    </w:p>
    <w:p>
      <w:pPr>
        <w:spacing w:after="0" w:line="58" w:lineRule="exact"/>
        <w:rPr>
          <w:rFonts w:ascii="Arial" w:cs="Arial" w:eastAsia="Arial" w:hAnsi="Arial"/>
          <w:sz w:val="16"/>
          <w:szCs w:val="16"/>
          <w:color w:val="auto"/>
        </w:rPr>
      </w:pPr>
    </w:p>
    <w:p>
      <w:pPr>
        <w:ind w:left="660" w:hanging="224"/>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right="160" w:firstLine="436"/>
        <w:spacing w:after="0" w:line="263" w:lineRule="auto"/>
        <w:tabs>
          <w:tab w:leader="none" w:pos="7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which is owed by an Account Debtor which (i) does not maintain a principal place of business in the U.S. or Canada or (ii) is not organized under applicable law of the U.S., any state of the U.S., Canada, or any province of Canada unless, in either case, such Account is backed by a Letter of Credit acceptable to the Administrative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in its Permitted Discretion and which is in the possession of, and is directly drawable by, the Administrative Agent;</w:t>
      </w:r>
    </w:p>
    <w:p>
      <w:pPr>
        <w:spacing w:after="0" w:line="117" w:lineRule="exact"/>
        <w:rPr>
          <w:sz w:val="20"/>
          <w:szCs w:val="20"/>
          <w:color w:val="auto"/>
        </w:rPr>
      </w:pPr>
    </w:p>
    <w:p>
      <w:pPr>
        <w:ind w:left="700" w:hanging="26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which is owed in any currency other than dollars or Canadian Dollars;</w:t>
      </w:r>
    </w:p>
    <w:p>
      <w:pPr>
        <w:spacing w:after="0" w:line="117" w:lineRule="exact"/>
        <w:rPr>
          <w:rFonts w:ascii="Arial" w:cs="Arial" w:eastAsia="Arial" w:hAnsi="Arial"/>
          <w:sz w:val="18"/>
          <w:szCs w:val="18"/>
          <w:color w:val="auto"/>
        </w:rPr>
      </w:pPr>
    </w:p>
    <w:p>
      <w:pPr>
        <w:ind w:firstLine="436"/>
        <w:spacing w:after="0" w:line="288" w:lineRule="auto"/>
        <w:tabs>
          <w:tab w:leader="none" w:pos="6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which is owed by (i) any Governmental Authority of any country other than the U.S. unless such Account is backed by a Letter of Credit acceptable to the Administrative Agent which is in the possession of, and is directly drawable by, the Administrative Agent, or (ii) any Governmental Authority of the U.S., or any department, agency, public corporation, or instrumentality thereof, unless the Federal Assignment of Claims Act of 1940, as amended (31 U.S.C. § 3727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and 41 U.S.C. § 15 </w:t>
      </w:r>
      <w:r>
        <w:rPr>
          <w:rFonts w:ascii="Arial" w:cs="Arial" w:eastAsia="Arial" w:hAnsi="Arial"/>
          <w:sz w:val="16"/>
          <w:szCs w:val="16"/>
          <w:u w:val="single" w:color="auto"/>
          <w:color w:val="auto"/>
        </w:rPr>
        <w:t>et seq</w:t>
      </w:r>
      <w:r>
        <w:rPr>
          <w:rFonts w:ascii="Arial" w:cs="Arial" w:eastAsia="Arial" w:hAnsi="Arial"/>
          <w:sz w:val="16"/>
          <w:szCs w:val="16"/>
          <w:color w:val="auto"/>
        </w:rPr>
        <w:t>., the “</w:t>
      </w:r>
      <w:r>
        <w:rPr>
          <w:rFonts w:ascii="Arial" w:cs="Arial" w:eastAsia="Arial" w:hAnsi="Arial"/>
          <w:sz w:val="16"/>
          <w:szCs w:val="16"/>
          <w:u w:val="single" w:color="auto"/>
          <w:color w:val="auto"/>
        </w:rPr>
        <w:t>Assignment of Claims Act</w:t>
      </w:r>
      <w:r>
        <w:rPr>
          <w:rFonts w:ascii="Arial" w:cs="Arial" w:eastAsia="Arial" w:hAnsi="Arial"/>
          <w:sz w:val="16"/>
          <w:szCs w:val="16"/>
          <w:color w:val="auto"/>
        </w:rPr>
        <w:t xml:space="preserve">”), has been complied with to the Administrative Agent’s satisfaction in its Permitted Discretion, or (iii) the federal government of Canada, unless the </w:t>
      </w:r>
      <w:r>
        <w:rPr>
          <w:rFonts w:ascii="Arial" w:cs="Arial" w:eastAsia="Arial" w:hAnsi="Arial"/>
          <w:sz w:val="16"/>
          <w:szCs w:val="16"/>
          <w:i w:val="1"/>
          <w:iCs w:val="1"/>
          <w:color w:val="auto"/>
        </w:rPr>
        <w:t>Financial Administration Act</w:t>
      </w:r>
      <w:r>
        <w:rPr>
          <w:rFonts w:ascii="Arial" w:cs="Arial" w:eastAsia="Arial" w:hAnsi="Arial"/>
          <w:sz w:val="16"/>
          <w:szCs w:val="16"/>
          <w:color w:val="auto"/>
        </w:rPr>
        <w:t xml:space="preserve"> (Canada), as amended, has been complied with to the Administrative Agent’s satisfaction in its Permitted Discretion and any other steps necessary to perfect the Lien of the Administrative Agent in such Account have been complied with to the Administrative Agent’s satisfaction in its Permitted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Accounts owed by the government of the U.S. (or any department, agency, public corporation or instrumentality thereof) or the federal government of Canada in an aggregate amount not in excess of an amount equal to five percent (5%) of the aggregate amount of Eligible Accounts as of any relevant date of determination shall not be excluded from “Eligible Accounts” pursuant to this clause (o);</w:t>
      </w:r>
    </w:p>
    <w:p>
      <w:pPr>
        <w:spacing w:after="0" w:line="60" w:lineRule="exact"/>
        <w:rPr>
          <w:rFonts w:ascii="Arial" w:cs="Arial" w:eastAsia="Arial" w:hAnsi="Arial"/>
          <w:sz w:val="16"/>
          <w:szCs w:val="16"/>
          <w:color w:val="auto"/>
        </w:rPr>
      </w:pPr>
    </w:p>
    <w:p>
      <w:pPr>
        <w:ind w:left="700" w:hanging="26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which is owed by any Affiliate, employee, officer, director, agent or stockholder of any Loan Party;</w:t>
      </w:r>
    </w:p>
    <w:p>
      <w:pPr>
        <w:spacing w:after="0" w:line="117" w:lineRule="exact"/>
        <w:rPr>
          <w:rFonts w:ascii="Arial" w:cs="Arial" w:eastAsia="Arial" w:hAnsi="Arial"/>
          <w:sz w:val="18"/>
          <w:szCs w:val="18"/>
          <w:color w:val="auto"/>
        </w:rPr>
      </w:pPr>
    </w:p>
    <w:p>
      <w:pPr>
        <w:ind w:right="160" w:firstLine="436"/>
        <w:spacing w:after="0" w:line="263"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which is owed by an Account Debtor or any Affiliate of such Account Debtor to which any Loan Party is indebted, but only to the extent of such indebtedness, or is subject to any security, deposit, progress payment, retainage or other similar advance made by or for the benefit of an Account Debtor, in each case to the extent thereof;</w:t>
      </w:r>
    </w:p>
    <w:p>
      <w:pPr>
        <w:spacing w:after="0" w:line="75" w:lineRule="exact"/>
        <w:rPr>
          <w:rFonts w:ascii="Arial" w:cs="Arial" w:eastAsia="Arial" w:hAnsi="Arial"/>
          <w:sz w:val="18"/>
          <w:szCs w:val="18"/>
          <w:color w:val="auto"/>
        </w:rPr>
      </w:pPr>
    </w:p>
    <w:p>
      <w:pPr>
        <w:ind w:right="100" w:firstLine="436"/>
        <w:spacing w:after="0" w:line="277" w:lineRule="auto"/>
        <w:tabs>
          <w:tab w:leader="none" w:pos="6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which is subject to any counterclaim, deduction, defense, setoff or dispute but only to the extent of any such counterclaim, deduction, defense, setoff or dispute;</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which is evidenced by any promissory note, chattel paper, or instrument;</w:t>
      </w:r>
    </w:p>
    <w:p>
      <w:pPr>
        <w:spacing w:after="0" w:line="117" w:lineRule="exact"/>
        <w:rPr>
          <w:rFonts w:ascii="Arial" w:cs="Arial" w:eastAsia="Arial" w:hAnsi="Arial"/>
          <w:sz w:val="18"/>
          <w:szCs w:val="18"/>
          <w:color w:val="auto"/>
        </w:rPr>
      </w:pPr>
    </w:p>
    <w:p>
      <w:pPr>
        <w:ind w:right="20" w:firstLine="436"/>
        <w:spacing w:after="0" w:line="25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which is owed by an Account Debtor located in any jurisdiction which requires filing of a “Notice of Business Activities Report” or other similar report in order to permit the applicable Loan Party or WESCO Receivables to seek judicial enforcement in such jurisdiction of payment of such Account, unless such Loan Party or WESCO Receivables, as applicable, has filed such report or qualified to do business in such jurisdiction, or which is a Sanctioned Person;</w:t>
      </w:r>
    </w:p>
    <w:p>
      <w:pPr>
        <w:spacing w:after="0" w:line="78" w:lineRule="exact"/>
        <w:rPr>
          <w:rFonts w:ascii="Arial" w:cs="Arial" w:eastAsia="Arial" w:hAnsi="Arial"/>
          <w:sz w:val="18"/>
          <w:szCs w:val="18"/>
          <w:color w:val="auto"/>
        </w:rPr>
      </w:pPr>
    </w:p>
    <w:p>
      <w:pPr>
        <w:ind w:right="40" w:firstLine="436"/>
        <w:spacing w:after="0" w:line="263"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respect to which such Loan Party or WESCO Receivables has made any agreement with the Account Debtor for any reduction thereof, other than discounts and adjustments given in the ordinary course of business, or any Account which was partially paid and such Loan Party or WESCO Receivables created a new receivable for the unpaid portion of such Account;</w:t>
      </w:r>
    </w:p>
    <w:p>
      <w:pPr>
        <w:spacing w:after="0" w:line="75" w:lineRule="exact"/>
        <w:rPr>
          <w:rFonts w:ascii="Arial" w:cs="Arial" w:eastAsia="Arial" w:hAnsi="Arial"/>
          <w:sz w:val="18"/>
          <w:szCs w:val="18"/>
          <w:color w:val="auto"/>
        </w:rPr>
      </w:pPr>
    </w:p>
    <w:p>
      <w:pPr>
        <w:jc w:val="both"/>
        <w:ind w:right="120" w:firstLine="436"/>
        <w:spacing w:after="0" w:line="263"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which does not comply in all material respects with the requirements of all applicable laws and regulations, whether federal, state, provincial, territorial or local, including without limitation the Federal Consumer Credit Protection Act, the Federal Truth in Lending Act and Regulation Z of the Board;</w:t>
      </w:r>
    </w:p>
    <w:p>
      <w:pPr>
        <w:spacing w:after="0" w:line="75" w:lineRule="exact"/>
        <w:rPr>
          <w:rFonts w:ascii="Arial" w:cs="Arial" w:eastAsia="Arial" w:hAnsi="Arial"/>
          <w:sz w:val="18"/>
          <w:szCs w:val="18"/>
          <w:color w:val="auto"/>
        </w:rPr>
      </w:pPr>
    </w:p>
    <w:p>
      <w:pPr>
        <w:ind w:right="260" w:firstLine="436"/>
        <w:spacing w:after="0" w:line="263" w:lineRule="auto"/>
        <w:tabs>
          <w:tab w:leader="none" w:pos="7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which is for goods that have been sold under a purchase order or pursuant to the terms of a contract or other agreement or understanding (written or oral) that indicates or purports that any Person other than such Loan Party has an ownership interest in such goods, or which indicates any party other than such Loan Party as payee or remittance party;</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which was created on cash on delivery terms; or</w:t>
      </w:r>
    </w:p>
    <w:p>
      <w:pPr>
        <w:spacing w:after="0" w:line="117" w:lineRule="exact"/>
        <w:rPr>
          <w:rFonts w:ascii="Arial" w:cs="Arial" w:eastAsia="Arial" w:hAnsi="Arial"/>
          <w:sz w:val="18"/>
          <w:szCs w:val="18"/>
          <w:color w:val="auto"/>
        </w:rPr>
      </w:pPr>
    </w:p>
    <w:p>
      <w:pPr>
        <w:ind w:right="240" w:firstLine="436"/>
        <w:spacing w:after="0" w:line="277"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which the Administrative Agent determines may not be paid by reason of the Account Debtor’s inability to pay or which the Administrative Agent otherwise determines, in its Permitted Discretion, is unacceptable.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54" w:name="page55"/>
    <w:bookmarkEnd w:id="54"/>
    <w:p>
      <w:pPr>
        <w:ind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determining the amount of an Eligible Account, the face amount of an Account may, in the Administrative Agent’s Permitted Discretion, be reduced by, without duplication, to the extent not reflected in such face amount, (i) the amount of all accrued and actual discounts, claims, credits or credits pending, promotional program allowances, price adjustments, finance charges or other allowances (including any amount that such Loan Party may be obligated to rebate to an Account Debtor pursuant to the terms of any agreement or understanding (written or oral)) and (ii) the aggregate amount of all cash received in respect of such Account but not yet applied by such Loan Party or WESCO Receivables to reduce the amount of such Account. Notwithstanding anything to the contrary set forth herein, the Administrative Agent shall not (x) change the standards of eligibility set forth herein to make such standards more restrictive, (y) exclude from Eligible Accounts any Account that meets the eligibility standards set forth herein other than pursuant to clause (y) above, or (z) exclude any Account pursuant to clause (y) above, unless, in each such case, the Administrative Agent shall have provided the Borrower Representative not less than five (5) Business Days advance notice of such change or exclusion.</w:t>
      </w:r>
    </w:p>
    <w:p>
      <w:pPr>
        <w:spacing w:after="0" w:line="166"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Inventory</w:t>
      </w:r>
      <w:r>
        <w:rPr>
          <w:rFonts w:ascii="Arial" w:cs="Arial" w:eastAsia="Arial" w:hAnsi="Arial"/>
          <w:sz w:val="18"/>
          <w:szCs w:val="18"/>
          <w:color w:val="auto"/>
        </w:rPr>
        <w:t xml:space="preserve">” means, at any time, the Inventory of any Loan Party that sells goods to customers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Eligible Inventory shall not include any Inventory:</w:t>
      </w:r>
    </w:p>
    <w:p>
      <w:pPr>
        <w:spacing w:after="0" w:line="62" w:lineRule="exact"/>
        <w:rPr>
          <w:sz w:val="20"/>
          <w:szCs w:val="20"/>
          <w:color w:val="auto"/>
        </w:rPr>
      </w:pPr>
    </w:p>
    <w:p>
      <w:pPr>
        <w:ind w:right="260" w:firstLine="436"/>
        <w:spacing w:after="0" w:line="308" w:lineRule="auto"/>
        <w:tabs>
          <w:tab w:leader="none" w:pos="68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which is not subject to a first priority perfected Lien in favor of the Administrative Agent (for the benefit of the Lender Parties to secure the Secured Obligations, or for the benefit of the Canadian Lender Parties to secure the Canadian Secured Obligations, as the case may be);</w:t>
      </w:r>
    </w:p>
    <w:p>
      <w:pPr>
        <w:spacing w:after="0" w:line="38" w:lineRule="exact"/>
        <w:rPr>
          <w:rFonts w:ascii="Arial" w:cs="Arial" w:eastAsia="Arial" w:hAnsi="Arial"/>
          <w:sz w:val="17"/>
          <w:szCs w:val="17"/>
          <w:color w:val="auto"/>
        </w:rPr>
      </w:pPr>
    </w:p>
    <w:p>
      <w:pPr>
        <w:ind w:right="360" w:firstLine="436"/>
        <w:spacing w:after="0" w:line="259"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which is subject to any Lien other than (i) a Lien in favor of the Administrative Agent (for the benefit of the Lender Parties to secure the Secured Obligations, or for the benefit of the Canadian Lender Parties to secure the Canadian Secured Obligations, as the case may be) and (ii) a Permitted Encumbrance which does not have priority over the Lien in favor of the Administrative Agent (for the benefit of the Lender Parties or the Canadian Lender Parties, as the case may be);</w:t>
      </w:r>
    </w:p>
    <w:p>
      <w:pPr>
        <w:spacing w:after="0" w:line="78" w:lineRule="exact"/>
        <w:rPr>
          <w:rFonts w:ascii="Arial" w:cs="Arial" w:eastAsia="Arial" w:hAnsi="Arial"/>
          <w:sz w:val="18"/>
          <w:szCs w:val="18"/>
          <w:color w:val="auto"/>
        </w:rPr>
      </w:pPr>
    </w:p>
    <w:p>
      <w:pPr>
        <w:ind w:right="60" w:firstLine="436"/>
        <w:spacing w:after="0" w:line="259" w:lineRule="auto"/>
        <w:tabs>
          <w:tab w:leader="none" w:pos="6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which has remained unsold for twelve (12) consecutive months (or such longer period as Administrative Agent may determine in its Permitted Discretion), or for which there is more than a twelve (12) month (or such longer period as the Administrative Agent may determine in its Permitted Discretion) supply of inventory on hand unless an appropriate U.S. Borrowing Base Reserve or Canadian Borrowing Base Reserve, as applicable for such unsold / excess inventory has been established by the Administrative Agent;</w:t>
      </w:r>
    </w:p>
    <w:p>
      <w:pPr>
        <w:spacing w:after="0" w:line="78" w:lineRule="exact"/>
        <w:rPr>
          <w:rFonts w:ascii="Arial" w:cs="Arial" w:eastAsia="Arial" w:hAnsi="Arial"/>
          <w:sz w:val="18"/>
          <w:szCs w:val="18"/>
          <w:color w:val="auto"/>
        </w:rPr>
      </w:pPr>
    </w:p>
    <w:p>
      <w:pPr>
        <w:ind w:right="120" w:firstLine="436"/>
        <w:spacing w:after="0" w:line="257"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 respect to which (i) any covenant contained in this Agreement, the U.S. Security Agreement or any Canadian Security Agreement has been breached and not cured or (ii) any representation or warranty contained in this Agreement, the U.S. Security Agreement, or the Canadian Security Agreement is not true and correct in all material respects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materiality qualifier shall not be applicable to any representations and warranties that are already qualified or modified by materiality in the text thereof) and which does not conform to all standards imposed by any applicable Governmental Authority;</w:t>
      </w:r>
    </w:p>
    <w:p>
      <w:pPr>
        <w:spacing w:after="0" w:line="79" w:lineRule="exact"/>
        <w:rPr>
          <w:rFonts w:ascii="Arial" w:cs="Arial" w:eastAsia="Arial" w:hAnsi="Arial"/>
          <w:sz w:val="18"/>
          <w:szCs w:val="18"/>
          <w:color w:val="auto"/>
        </w:rPr>
      </w:pPr>
    </w:p>
    <w:p>
      <w:pPr>
        <w:ind w:right="100" w:firstLine="436"/>
        <w:spacing w:after="0" w:line="263" w:lineRule="auto"/>
        <w:tabs>
          <w:tab w:leader="none" w:pos="6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which any Person other than such Loan Party shall (i) have any direct or indirect ownership, interest (other than with respect to interests described in clause (b) of the definition of Permitted Encumbrances) or title to such Inventory or (ii) be indicated on any purchase order or invoice with respect to such Inventory as having or purporting to have an interest therein;</w:t>
      </w:r>
    </w:p>
    <w:p>
      <w:pPr>
        <w:spacing w:after="0" w:line="75" w:lineRule="exact"/>
        <w:rPr>
          <w:rFonts w:ascii="Arial" w:cs="Arial" w:eastAsia="Arial" w:hAnsi="Arial"/>
          <w:sz w:val="18"/>
          <w:szCs w:val="18"/>
          <w:color w:val="auto"/>
        </w:rPr>
      </w:pPr>
    </w:p>
    <w:p>
      <w:pPr>
        <w:ind w:right="200" w:firstLine="436"/>
        <w:spacing w:after="0" w:line="301" w:lineRule="auto"/>
        <w:tabs>
          <w:tab w:leader="none" w:pos="665"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which is not finished goods or is not goods held for sale or which constitutes work in process, samples, prototypes, displays or display items, bill and hold or ship in place goods, goods that are returned or marked for return, repossessed goods, defective or damaged goods, goods held on consignment or goods which are not of a type held for sale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Inventory constituting work in process having a value not in excess of $5,000,000 in the aggregate at any time shall not be excluded from “Eligible Inventory” pursuant to this clause (f);</w:t>
      </w:r>
    </w:p>
    <w:p>
      <w:pPr>
        <w:spacing w:after="0" w:line="49" w:lineRule="exact"/>
        <w:rPr>
          <w:rFonts w:ascii="Arial" w:cs="Arial" w:eastAsia="Arial" w:hAnsi="Arial"/>
          <w:sz w:val="16"/>
          <w:szCs w:val="16"/>
          <w:color w:val="auto"/>
        </w:rPr>
      </w:pPr>
    </w:p>
    <w:p>
      <w:pPr>
        <w:ind w:right="340" w:firstLine="436"/>
        <w:spacing w:after="0" w:line="263"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which is in transit with a common carrier from vendors and suppliers or is not located in: (i) the U.S. with respect to Inventory owned by a U.S. Loan Party; or (ii) Canada with respect to Inventory owned by a Canadian Loan Party, except that Inventory in transit between U.S. locations, between U.S. locations and Canadian locations,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55" w:name="page56"/>
    <w:bookmarkEnd w:id="55"/>
    <w:p>
      <w:pPr>
        <w:ind w:right="8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between Canadian locations of the Loan Parties shall not be excluded from “Eligible Inventory” pursuant to this clause (g) so long as the Administrative Agent’s Liens have been perfected at origin and destination;</w:t>
      </w:r>
    </w:p>
    <w:p>
      <w:pPr>
        <w:spacing w:after="0" w:line="62" w:lineRule="exact"/>
        <w:rPr>
          <w:sz w:val="20"/>
          <w:szCs w:val="20"/>
          <w:color w:val="auto"/>
        </w:rPr>
      </w:pPr>
    </w:p>
    <w:p>
      <w:pPr>
        <w:ind w:right="160" w:firstLine="436"/>
        <w:spacing w:after="0" w:line="308" w:lineRule="auto"/>
        <w:tabs>
          <w:tab w:leader="none" w:pos="6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which is located in any location leased by such Loan Party unless (i) the lessor has delivered to the Administrative Agent a Collateral Access Agreement or (ii) an appropriate Rent Reserve has been established by the Administrative Agent in its Permitted Discretion;</w:t>
      </w:r>
    </w:p>
    <w:p>
      <w:pPr>
        <w:spacing w:after="0" w:line="38" w:lineRule="exact"/>
        <w:rPr>
          <w:rFonts w:ascii="Arial" w:cs="Arial" w:eastAsia="Arial" w:hAnsi="Arial"/>
          <w:sz w:val="17"/>
          <w:szCs w:val="17"/>
          <w:color w:val="auto"/>
        </w:rPr>
      </w:pPr>
    </w:p>
    <w:p>
      <w:pPr>
        <w:ind w:right="100" w:firstLine="436"/>
        <w:spacing w:after="0" w:line="25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which is located in any third party warehouse or is in the possession of a bailee (other than a third party processor) and is not evidenced by a Document, unless (i) such warehouseman or bailee has delivered to the Administrative Agent a Collateral Access Agreement and such other documentation as the Administrative Agent may require or (ii) an appropriate reserve has been established by the Administrative Agent in its Permitted Discretion;</w:t>
      </w:r>
    </w:p>
    <w:p>
      <w:pPr>
        <w:spacing w:after="0" w:line="78" w:lineRule="exact"/>
        <w:rPr>
          <w:rFonts w:ascii="Arial" w:cs="Arial" w:eastAsia="Arial" w:hAnsi="Arial"/>
          <w:sz w:val="18"/>
          <w:szCs w:val="18"/>
          <w:color w:val="auto"/>
        </w:rPr>
      </w:pPr>
    </w:p>
    <w:p>
      <w:pPr>
        <w:ind w:right="440" w:firstLine="436"/>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which is being processed offsite at a third party location or outside processor, or is in-transit to or from said third party location or outside processor;</w:t>
      </w:r>
    </w:p>
    <w:p>
      <w:pPr>
        <w:spacing w:after="0" w:line="62" w:lineRule="exact"/>
        <w:rPr>
          <w:rFonts w:ascii="Arial" w:cs="Arial" w:eastAsia="Arial" w:hAnsi="Arial"/>
          <w:sz w:val="18"/>
          <w:szCs w:val="18"/>
          <w:color w:val="auto"/>
        </w:rPr>
      </w:pPr>
    </w:p>
    <w:p>
      <w:pPr>
        <w:ind w:right="160" w:firstLine="436"/>
        <w:spacing w:after="0" w:line="263"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which is located at any customer location;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Inventory having a value not in excess of $70,000,000 in the aggregate at any time shall not be excluded from “Eligible Inventory” pursuant to this clause (k) so long as such Inventory is located at a customer location acceptable to the Administrative Agent in its Permitted Discretion;</w:t>
      </w:r>
    </w:p>
    <w:p>
      <w:pPr>
        <w:spacing w:after="0" w:line="75" w:lineRule="exact"/>
        <w:rPr>
          <w:rFonts w:ascii="Arial" w:cs="Arial" w:eastAsia="Arial" w:hAnsi="Arial"/>
          <w:sz w:val="18"/>
          <w:szCs w:val="18"/>
          <w:color w:val="auto"/>
        </w:rPr>
      </w:pPr>
    </w:p>
    <w:p>
      <w:pPr>
        <w:ind w:left="660" w:hanging="224"/>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which is the subject of a consignment by such Loan Party as consignor;</w:t>
      </w:r>
    </w:p>
    <w:p>
      <w:pPr>
        <w:spacing w:after="0" w:line="117" w:lineRule="exact"/>
        <w:rPr>
          <w:rFonts w:ascii="Arial" w:cs="Arial" w:eastAsia="Arial" w:hAnsi="Arial"/>
          <w:sz w:val="18"/>
          <w:szCs w:val="18"/>
          <w:color w:val="auto"/>
        </w:rPr>
      </w:pPr>
    </w:p>
    <w:p>
      <w:pPr>
        <w:ind w:left="740" w:hanging="304"/>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which is perishable;</w:t>
      </w:r>
    </w:p>
    <w:p>
      <w:pPr>
        <w:spacing w:after="0" w:line="117" w:lineRule="exact"/>
        <w:rPr>
          <w:rFonts w:ascii="Arial" w:cs="Arial" w:eastAsia="Arial" w:hAnsi="Arial"/>
          <w:sz w:val="18"/>
          <w:szCs w:val="18"/>
          <w:color w:val="auto"/>
        </w:rPr>
      </w:pPr>
    </w:p>
    <w:p>
      <w:pPr>
        <w:ind w:firstLine="436"/>
        <w:spacing w:after="0" w:line="259"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which contains or bears any intellectual property rights licensed to such Loan Party unless the Administrative Agent in its Permitted Discretion is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w:t>
      </w:r>
    </w:p>
    <w:p>
      <w:pPr>
        <w:spacing w:after="0" w:line="78" w:lineRule="exact"/>
        <w:rPr>
          <w:rFonts w:ascii="Arial" w:cs="Arial" w:eastAsia="Arial" w:hAnsi="Arial"/>
          <w:sz w:val="18"/>
          <w:szCs w:val="18"/>
          <w:color w:val="auto"/>
        </w:rPr>
      </w:pPr>
    </w:p>
    <w:p>
      <w:pPr>
        <w:ind w:right="220" w:firstLine="436"/>
        <w:spacing w:after="0" w:line="277"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which is not reflected in a current perpetual inventory report of such Loan Party or other report acceptable to the Administrative Agent in its Permitted Discretion;</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which reclamation rights have been asserted by the seller;</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which is located at any location where the aggregate value of all Inventory of the Loan Parties is less than $100,000; or</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which the Administrative Agent otherwise determines, in its Permitted Discretion, is unacceptable.</w:t>
      </w:r>
    </w:p>
    <w:p>
      <w:pPr>
        <w:spacing w:after="0" w:line="225"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Notwithstanding anything to the contrary set forth herein, the Administrative Agent shall not (x) change the standards of eligibility set forth herein to make such standards more restrictive, (y) exclude from Eligible Inventory any Inventory that meets the eligibility standards set forth herein other than pursuant to clause (r) above, or (z) exclude any Inventory pursuant to clause (r) above, unless, in each such case, the Administrative Agent shall have provided the Borrower Representative not less than five (5) Business Days advance notice of such change or exclusion.</w:t>
      </w:r>
    </w:p>
    <w:p>
      <w:pPr>
        <w:spacing w:after="0" w:line="157" w:lineRule="exact"/>
        <w:rPr>
          <w:sz w:val="20"/>
          <w:szCs w:val="20"/>
          <w:color w:val="auto"/>
        </w:rPr>
      </w:pPr>
    </w:p>
    <w:p>
      <w:pPr>
        <w:ind w:right="20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Securitization Receivables</w:t>
      </w:r>
      <w:r>
        <w:rPr>
          <w:rFonts w:ascii="Arial" w:cs="Arial" w:eastAsia="Arial" w:hAnsi="Arial"/>
          <w:sz w:val="18"/>
          <w:szCs w:val="18"/>
          <w:color w:val="auto"/>
        </w:rPr>
        <w:t xml:space="preserve">” means Eligible Accounts that have been sold to WESCO Receivables pursuant to the Receivables Securitization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Accounts shall be Eligible Securitization Receivables unless (i) the Administrative Agent shall have determined, based on the results of the most recent field examination of the Accounts of the Loan Parties and WESCO Receivables conducted by the Administrative Agent, that the Loan Parties and WESCO Receivables are in compliance with Section 5.14, (ii) the Administrative Agent shall have obtained a first priority pledge of 100% of the equity interests of WESCO Receivables, and (iii) the Administrative Agent, WESCO Receivables and PNC Bank National Association shall have entered into a Control Agreement with respect to the master collection account of WESCO Receivables maintained at PNC Bank National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56" w:name="page57"/>
    <w:bookmarkEnd w:id="56"/>
    <w:p>
      <w:pPr>
        <w:ind w:right="9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Association into which all proceeds of Accounts sold to WESCO Receivables are required to be remitted under the terms of the Receivables Securitization Agreements.</w:t>
      </w:r>
    </w:p>
    <w:p>
      <w:pPr>
        <w:spacing w:after="0" w:line="17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rules, regulations, codes and ordinances and binding orders, decrees, judgments, injunctions, notices or agreements issued, promulgated or entered into by any Governmental Authority, relating in any way to the environment, preservation or reclamation of natural resources, the management, release or threatened release of any Hazardous Material or to health and safety matters with respect to exposure to any Hazardous Materials.</w:t>
      </w:r>
    </w:p>
    <w:p>
      <w:pPr>
        <w:spacing w:after="0" w:line="18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of any Loan Party or any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6"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84"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rules and regulations promulgated thereunder.</w:t>
      </w:r>
    </w:p>
    <w:p>
      <w:pPr>
        <w:spacing w:after="0" w:line="170"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a Borrower, is treated as a single employer under Section 414(b) or (c) of the Code or Section 4001(14) of ERISA or, solely for purposes of Section 302 of ERISA and Section 412 of the Code, is treated as a single employer under Section 414 of the Code.</w:t>
      </w:r>
    </w:p>
    <w:p>
      <w:pPr>
        <w:spacing w:after="0" w:line="18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any Borrower or any ERISA Affiliate of any liability under Title IV of ERISA with respect to the termination of any Plan; (e) the receipt by any Borrower or any ERISA Affiliate from the PBGC or a plan administrator of any notice relating to an intention to terminate any Plan or Plans or to appoint a trustee to administer any Plan; (f) the incurrence by any Borrower or any ERISA Affiliate of any liability with respect to the withdrawal or partial withdrawal of any Borrower or any ERISA Affiliate from any Plan or Multiemployer Plan; or (g) the receipt by any Borrower or any ERISA Affiliate of any notice, or the receipt by any Multiemployer Plan from any Borrower or any ERISA Affiliate of any notice, concerning the imposition upon any Borrower or any ERISA Affiliate of Withdrawal Liability or a determination that a Multiemployer Plan is, or is expected to be, insolvent or in reorganization, within the meaning of Title IV of ERISA.</w:t>
      </w:r>
    </w:p>
    <w:p>
      <w:pPr>
        <w:spacing w:after="0" w:line="168"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Article VII.</w:t>
      </w:r>
    </w:p>
    <w:p>
      <w:pPr>
        <w:spacing w:after="0" w:line="225"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w:t>
      </w:r>
      <w:r>
        <w:rPr>
          <w:rFonts w:ascii="Arial" w:cs="Arial" w:eastAsia="Arial" w:hAnsi="Arial"/>
          <w:sz w:val="17"/>
          <w:szCs w:val="17"/>
          <w:color w:val="auto"/>
        </w:rPr>
        <w:t>” means the rate at which any currency (the “</w:t>
      </w:r>
      <w:r>
        <w:rPr>
          <w:rFonts w:ascii="Arial" w:cs="Arial" w:eastAsia="Arial" w:hAnsi="Arial"/>
          <w:sz w:val="17"/>
          <w:szCs w:val="17"/>
          <w:u w:val="single" w:color="auto"/>
          <w:color w:val="auto"/>
        </w:rPr>
        <w:t>Original Currency</w:t>
      </w:r>
      <w:r>
        <w:rPr>
          <w:rFonts w:ascii="Arial" w:cs="Arial" w:eastAsia="Arial" w:hAnsi="Arial"/>
          <w:sz w:val="17"/>
          <w:szCs w:val="17"/>
          <w:color w:val="auto"/>
        </w:rPr>
        <w:t>”) may be exchanged into dollars, Euros or another currency (the “</w:t>
      </w:r>
      <w:r>
        <w:rPr>
          <w:rFonts w:ascii="Arial" w:cs="Arial" w:eastAsia="Arial" w:hAnsi="Arial"/>
          <w:sz w:val="17"/>
          <w:szCs w:val="17"/>
          <w:u w:val="single" w:color="auto"/>
          <w:color w:val="auto"/>
        </w:rPr>
        <w:t>Exchanged Currency</w:t>
      </w:r>
      <w:r>
        <w:rPr>
          <w:rFonts w:ascii="Arial" w:cs="Arial" w:eastAsia="Arial" w:hAnsi="Arial"/>
          <w:sz w:val="17"/>
          <w:szCs w:val="17"/>
          <w:color w:val="auto"/>
        </w:rPr>
        <w:t>”), as set forth on such date on the relevant Reuters screen at or about 11:00 a.m. (London, England time) on such date. In the event that such rate does not appear on the Reuters screen, the “Exchange Rate” with respect to such Original Currency into such Exchanged Currency shall be determined by reference to such other publicly available service for displaying exchange rates as may be agreed upon by the Administrative Agent (or the Issuing Bank, if applicable) and the Borrower Representative or, in the absence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57" w:name="page58"/>
    <w:bookmarkEnd w:id="57"/>
    <w:p>
      <w:pPr>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such agreement, such “Exchange Rate” shall instead be the Administrative Agent’s (or the Issuing Bank’s, if applicable) spot rate of exchange in the interbank market where its foreign currency exchange operations in respect of such Original Currency are then being conducted, at or about 11:00 a.m. (local time), on such date for the purchase of the Exchanged Currency, with such Original Currency for delivery two Business Days later; provided, that, if at the time of any such determination, no such spot rate can reasonably be quoted, the Administrative Agent (or the Issuing Bank, if applicable) may use any reasonable method as it deems applicable to determine such rate, and such determination shall be conclusive absent manifest error.</w:t>
      </w:r>
    </w:p>
    <w:p>
      <w:pPr>
        <w:spacing w:after="0" w:line="16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Accounts</w:t>
      </w:r>
      <w:r>
        <w:rPr>
          <w:rFonts w:ascii="Arial" w:cs="Arial" w:eastAsia="Arial" w:hAnsi="Arial"/>
          <w:sz w:val="18"/>
          <w:szCs w:val="18"/>
          <w:color w:val="auto"/>
        </w:rPr>
        <w:t xml:space="preserve">” means, collectively, (a) any Deposit Account of any Loan Party which is used exclusively for the payment of payroll, payroll taxes, employee benefits or escrow deposits or to maintain client postage advances, and (b) any other Deposit Account or Securities Account of any Loan Party, so long as the aggregate amount of available funds on deposit in such Deposit Account or the aggregate value of all cash, investment property and other financial assets in such Securities Account, as applicable, does not at any time exceed $5,000,000 for more than five (5) consecutive Business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sum of (i) the aggregate amount of available funds on deposit in all Deposit Accounts under this clause (b)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value of all cash, investment property and other financial assets in all Securities Accounts under this clause (b) does not at any time exceed $20,000,000.</w:t>
      </w:r>
    </w:p>
    <w:p>
      <w:pPr>
        <w:spacing w:after="0" w:line="195"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 any Foreign Subsidiary (other than any Foreign Subsidiary which is, or pursuant to the terms hereof is required to be, a party to the Canadian Security Agreement, the Canadian Guarantee or the U.S. Security Agreement), (b) any Immaterial Domestic Subsidiary (other than a Designated Immaterial Subsidiary), (c) any Immaterial Canadian Subsidiary (other than a Designated Immaterial Subsidiary), (d) any Dutch Subsidiary (other than WDINESCO II B.V., WDINESCO III B.V. and Anixter Mid Holdings B.V.) or (e) any Subsidiary of any Person described in any of the foregoing clauses (a) through (d).</w:t>
      </w:r>
    </w:p>
    <w:p>
      <w:pPr>
        <w:spacing w:after="0" w:line="188"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77"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with respect to any payment made by any Loan Party under any Loan Document,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located or, in the case of any Lender, its applicable lending office being located in, the jurisdiction imposing such Tax (or any political subdivision thereof) or (ii) that are Other Connection Taxes, (b) in the case of a Lender, U.S. federal or Canadian federal withholding Taxes imposed on amounts payable to or for the account of such Lender with respect to an applicable interest in a Loan, Letter of Credit or Revolving Commitment pursuant to a law in effect on the date on which (i) such Lender acquires such interest in the Loan, Letter of Credit or Revolving Commitment (other than pursuant to an assignment request by a Borrower under Section 2.19(b)) or (ii) such Lender changes its lending office, except in each case to the extent that, pursuant to Section 2.17(a), amounts with respect to such Taxes were payable either to such Lender’s assignor immediately before such Lender became a party hereto or to such Lender immediately before it changed its lending office, (c) Taxes attributable to such Recipient’s failure to comply with Section 2.17(f), (d) any withholding Taxes imposed under FATCA and (e) any withholding Tax that a Lender is required to pay or incur pursuant to Part XIII of the ITA that (i) would not have been imposed had the Recipient and the payor of the amount been dealing with each other at arms’ length; or (ii) that arises because a dividend is deemed to be received by a Recipient in accordance with</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subsection 214(16) or subsection 214(17) of the ITA, in each case, except where (i) the non-arm’s length relationship arises or (ii) the Recipient is (or is deemed to be) a “specified non-resident shareholder” or does not deal at arm’s length with a “specified shareholder” a Loan Party, on account of the Recipient having executed, delivered, become a party to,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58" w:name="page59"/>
    <w:bookmarkEnd w:id="58"/>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performed its obligations under, received payments under, received or perfected a security interest under, or enforced this Agreement or any other Loan Document.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Administrative Agents</w:t>
      </w:r>
      <w:r>
        <w:rPr>
          <w:rFonts w:ascii="Arial" w:cs="Arial" w:eastAsia="Arial" w:hAnsi="Arial"/>
          <w:sz w:val="18"/>
          <w:szCs w:val="18"/>
          <w:color w:val="auto"/>
        </w:rPr>
        <w:t>” has the meaning assigned to such term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Canadian Administrative Agent</w:t>
      </w:r>
      <w:r>
        <w:rPr>
          <w:rFonts w:ascii="Arial" w:cs="Arial" w:eastAsia="Arial" w:hAnsi="Arial"/>
          <w:sz w:val="18"/>
          <w:szCs w:val="18"/>
          <w:color w:val="auto"/>
        </w:rPr>
        <w:t>” has the meaning assigned to such term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Canadian Letters of Credit</w:t>
      </w:r>
      <w:r>
        <w:rPr>
          <w:rFonts w:ascii="Arial" w:cs="Arial" w:eastAsia="Arial" w:hAnsi="Arial"/>
          <w:sz w:val="18"/>
          <w:szCs w:val="18"/>
          <w:color w:val="auto"/>
        </w:rPr>
        <w:t xml:space="preserve">” means the letters of credit listed on </w:t>
      </w:r>
      <w:r>
        <w:rPr>
          <w:rFonts w:ascii="Arial" w:cs="Arial" w:eastAsia="Arial" w:hAnsi="Arial"/>
          <w:sz w:val="18"/>
          <w:szCs w:val="18"/>
          <w:u w:val="single" w:color="auto"/>
          <w:color w:val="auto"/>
        </w:rPr>
        <w:t>Schedule 2.06</w:t>
      </w:r>
      <w:r>
        <w:rPr>
          <w:rFonts w:ascii="Arial" w:cs="Arial" w:eastAsia="Arial" w:hAnsi="Arial"/>
          <w:sz w:val="18"/>
          <w:szCs w:val="18"/>
          <w:color w:val="auto"/>
        </w:rPr>
        <w:t xml:space="preserv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assigned to such term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Lenders</w:t>
      </w:r>
      <w:r>
        <w:rPr>
          <w:rFonts w:ascii="Arial" w:cs="Arial" w:eastAsia="Arial" w:hAnsi="Arial"/>
          <w:sz w:val="18"/>
          <w:szCs w:val="18"/>
          <w:color w:val="auto"/>
        </w:rPr>
        <w:t>” has the meaning assigned to such term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means the Existing Canadian Letters of Credit and the Existing U.S. Letters of Credit.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 Documents</w:t>
      </w:r>
      <w:r>
        <w:rPr>
          <w:rFonts w:ascii="Arial" w:cs="Arial" w:eastAsia="Arial" w:hAnsi="Arial"/>
          <w:sz w:val="18"/>
          <w:szCs w:val="18"/>
          <w:color w:val="auto"/>
        </w:rPr>
        <w:t>” means the “Loan Documents” as defined in the Existing Credit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U.S. Administrative Agent</w:t>
      </w:r>
      <w:r>
        <w:rPr>
          <w:rFonts w:ascii="Arial" w:cs="Arial" w:eastAsia="Arial" w:hAnsi="Arial"/>
          <w:sz w:val="18"/>
          <w:szCs w:val="18"/>
          <w:color w:val="auto"/>
        </w:rPr>
        <w:t>” has the meaning assigned to such term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U.S. Letters of Credit</w:t>
      </w:r>
      <w:r>
        <w:rPr>
          <w:rFonts w:ascii="Arial" w:cs="Arial" w:eastAsia="Arial" w:hAnsi="Arial"/>
          <w:sz w:val="18"/>
          <w:szCs w:val="18"/>
          <w:color w:val="auto"/>
        </w:rPr>
        <w:t xml:space="preserve">” means the letters of credit listed on </w:t>
      </w:r>
      <w:r>
        <w:rPr>
          <w:rFonts w:ascii="Arial" w:cs="Arial" w:eastAsia="Arial" w:hAnsi="Arial"/>
          <w:sz w:val="18"/>
          <w:szCs w:val="18"/>
          <w:u w:val="single" w:color="auto"/>
          <w:color w:val="auto"/>
        </w:rPr>
        <w:t>Schedule 2.06</w:t>
      </w:r>
      <w:r>
        <w:rPr>
          <w:rFonts w:ascii="Arial" w:cs="Arial" w:eastAsia="Arial" w:hAnsi="Arial"/>
          <w:sz w:val="18"/>
          <w:szCs w:val="18"/>
          <w:color w:val="auto"/>
        </w:rPr>
        <w:t xml:space="preserve"> hereto.</w:t>
      </w:r>
    </w:p>
    <w:p>
      <w:pPr>
        <w:spacing w:after="0" w:line="225"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Fourth Restatement Date (or any amended or successor version that is substantively comparable and not materially more onerous to comply with), any current or future regulations or official interpretations thereof and any agreement entered into pursuant to Section 1471(b)(1) of the Code and any applicable intergovernmental agreements with respect thereto and applicable fiscal or regulatory legislation rules, practices or other official implementing guidance thereunder or pursuant to such intergovernmental agreements.</w:t>
      </w:r>
    </w:p>
    <w:p>
      <w:pPr>
        <w:spacing w:after="0" w:line="15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Federal Reserve Bank of New York based on such day’s federal funds transactions by depository institutions (as determined in such manner as published by the Federal Reserve Bank of New York on the Federal Reserve Bank of New York’s Website from time to time) and published on the next succeeding Business Day by the Federal Reserve Bank of New York as the federal funds effective rate;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Federal Funds Effective Rate for any day is less than zero, the Federal Funds Effective Rate for such day will be deemed to be zero.</w:t>
      </w:r>
    </w:p>
    <w:p>
      <w:pPr>
        <w:spacing w:after="0" w:line="188"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Bank of New York’s Website</w:t>
      </w:r>
      <w:r>
        <w:rPr>
          <w:rFonts w:ascii="Arial" w:cs="Arial" w:eastAsia="Arial" w:hAnsi="Arial"/>
          <w:sz w:val="18"/>
          <w:szCs w:val="18"/>
          <w:color w:val="auto"/>
        </w:rPr>
        <w:t>” means the website of the Federal Reserve Bank of New York at http://www.newyorkfed.org, or any successor source.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that certain fee letter, dated as of January 10, 2020, by and among Holdings, Barclays, Canadian Imperial Bank of Commerce, New York Branch, Fifth Third Bank, National Association, PNC Bank, National Association, PNC Capital Markets LLC, The Toronto-Dominion Bank, New York Branch, TD Securities (USA) LLC, and U.S. Bank National Association, as amended by that certain amendment to commitment letter and fee letter, dated as of February 3, 2020.</w:t>
      </w:r>
    </w:p>
    <w:p>
      <w:pPr>
        <w:spacing w:after="0" w:line="187"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assistant treasurer or corporate controller of a Borrower or other officer so designated by the Borrower.</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w:t>
      </w:r>
      <w:r>
        <w:rPr>
          <w:rFonts w:ascii="Arial" w:cs="Arial" w:eastAsia="Arial" w:hAnsi="Arial"/>
          <w:sz w:val="18"/>
          <w:szCs w:val="18"/>
          <w:color w:val="auto"/>
        </w:rPr>
        <w:t>” means that certain First Amendment to Fourth Amended and Restated Credit Agreement, dated as of December 14, 2020, by and among the Borrowers, the Lenders party thereto and the Administrative Agent.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59" w:name="page60"/>
    <w:bookmarkEnd w:id="59"/>
    <w:p>
      <w:pPr>
        <w:ind w:left="4" w:right="30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Fixed Charge Coverage Ratio</w:t>
      </w:r>
      <w:r>
        <w:rPr>
          <w:rFonts w:ascii="Arial" w:cs="Arial" w:eastAsia="Arial" w:hAnsi="Arial"/>
          <w:sz w:val="17"/>
          <w:szCs w:val="17"/>
          <w:color w:val="auto"/>
        </w:rPr>
        <w:t>” means, for any period of four consecutive fiscal quarters, the ratio of (a) EBITDA for such period to (b) Fixed Charges for such period, all calculated for Holdings and its Restricted Subsidiaries on a consolidated basis in accordance with GAAP.</w:t>
      </w:r>
    </w:p>
    <w:p>
      <w:pPr>
        <w:spacing w:after="0" w:line="146"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 Coverage Trigger Event</w:t>
      </w:r>
      <w:r>
        <w:rPr>
          <w:rFonts w:ascii="Arial" w:cs="Arial" w:eastAsia="Arial" w:hAnsi="Arial"/>
          <w:sz w:val="18"/>
          <w:szCs w:val="18"/>
          <w:color w:val="auto"/>
        </w:rPr>
        <w:t>” means any day on which either (a) a Specified Event of Default shall occur or (b) Aggregate Availability shall fall below the Aggregate Availability Trigger Amount.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Charge Coverage Trigger Period</w:t>
      </w:r>
      <w:r>
        <w:rPr>
          <w:rFonts w:ascii="Arial" w:cs="Arial" w:eastAsia="Arial" w:hAnsi="Arial"/>
          <w:sz w:val="16"/>
          <w:szCs w:val="16"/>
          <w:color w:val="auto"/>
        </w:rPr>
        <w:t>” means the period (a) commencing on the occurrence of a Fixed Charge Coverage Trigger Event and</w:t>
      </w:r>
    </w:p>
    <w:p>
      <w:pPr>
        <w:spacing w:after="0" w:line="46" w:lineRule="exact"/>
        <w:rPr>
          <w:sz w:val="20"/>
          <w:szCs w:val="20"/>
          <w:color w:val="auto"/>
        </w:rPr>
      </w:pPr>
    </w:p>
    <w:p>
      <w:pPr>
        <w:ind w:left="4" w:right="140" w:hanging="4"/>
        <w:spacing w:after="0" w:line="260" w:lineRule="auto"/>
        <w:tabs>
          <w:tab w:leader="none" w:pos="2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continuing until the date on which Aggregate Availability has exceeded the Aggregate Availability Trigger Amount for thirty (30) consecutive days and no Specified Event of Default exists.</w:t>
      </w:r>
    </w:p>
    <w:p>
      <w:pPr>
        <w:spacing w:after="0" w:line="185" w:lineRule="exact"/>
        <w:rPr>
          <w:sz w:val="20"/>
          <w:szCs w:val="20"/>
          <w:color w:val="auto"/>
        </w:rPr>
      </w:pPr>
    </w:p>
    <w:p>
      <w:pPr>
        <w:ind w:left="4" w:right="8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Charges</w:t>
      </w:r>
      <w:r>
        <w:rPr>
          <w:rFonts w:ascii="Arial" w:cs="Arial" w:eastAsia="Arial" w:hAnsi="Arial"/>
          <w:sz w:val="16"/>
          <w:szCs w:val="16"/>
          <w:color w:val="auto"/>
        </w:rPr>
        <w:t xml:space="preserve">” means, with reference to any period, without duplication, (i) cash Interest Expense,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scheduled cash principal payments on Indebtedness made during such period (excluding (A) any scheduled payment on Indebtedness to the extent funded with additional Indebtedness permitted under Section 6.01 and (B) principal payments in respect of (x) the Revolving Loans or (y) Indebtedness owing under the Receivables Securitization Agreements),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expense for taxes paid in cash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(iv) Restricted Payments made by Holdings and paid in cash during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(v) Capital Lease Obligation payments and unfinanced Capital Expenditures made in cash made during such period (other than any such Capital Lease Obligation payments or Capital Expenditures to the extent that such Capital Lease Obligation payments or Capital Expenditures are made with proceeds from (A) any sale of assets permitted by this Agreement, (B) sale of Equity Interests permitted by this Agreement (other than in connection with the Anixter Acquisition), (C) trade-ins of machinery, equipment or motor vehicles or (D) insurance covering any loss or damage to Collateral), all calculated for Holdings and its Restricted Subsidiaries on a consolidated basis in accordance with GAAP.</w:t>
      </w:r>
    </w:p>
    <w:p>
      <w:pPr>
        <w:spacing w:after="0" w:line="166"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Banking Services</w:t>
      </w:r>
      <w:r>
        <w:rPr>
          <w:rFonts w:ascii="Arial" w:cs="Arial" w:eastAsia="Arial" w:hAnsi="Arial"/>
          <w:sz w:val="18"/>
          <w:szCs w:val="18"/>
          <w:color w:val="auto"/>
        </w:rPr>
        <w:t>” means each and any of the following bank services provided to one or more of Holdings’ Foreign Subsidiaries by any Lender or any Affiliate of a Lender (or any Person that was a Lender or an Affiliate of a Lender at the time the service was initially provided, or in the case of any services in effect on the Fourth Restatement Date, was a Lender or an Affiliate of a Lender as of such date) solely in connection with or related to Foreign Credit Extensions extended by such Lender or its Affiliates to such Foreign Subsidiaries of Holdings: (a) credit cards for commercial customers (including, without limitation, “commercial credit cards” and purchasing cards), (b) stored value cards, (c) credit cards issued to employees of Holdings’ Foreign Subsidiaries for travel, entertainment and similar expenses, (d) supply chain finance arrangements, and (e) treasury management services (including, without limitation, controlled disbursement, automated clearinghouse transactions, return items, overdrafts and depository network services).</w:t>
      </w:r>
    </w:p>
    <w:p>
      <w:pPr>
        <w:spacing w:after="0" w:line="192"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Banking Services Obligations</w:t>
      </w:r>
      <w:r>
        <w:rPr>
          <w:rFonts w:ascii="Arial" w:cs="Arial" w:eastAsia="Arial" w:hAnsi="Arial"/>
          <w:sz w:val="18"/>
          <w:szCs w:val="18"/>
          <w:color w:val="auto"/>
        </w:rPr>
        <w:t>” of Holdings’ Foreign Subsidiaries means any and all obligations of such Foreign Subsidiaries, whether absolute or contingent and howsoever and whensoever created, arising, evidenced or acquired (including all renewals, extensions and modifications thereof and substitutions therefor) in connection with Foreign Banking Services.</w:t>
      </w:r>
    </w:p>
    <w:p>
      <w:pPr>
        <w:spacing w:after="0" w:line="184"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Credit Extensions</w:t>
      </w:r>
      <w:r>
        <w:rPr>
          <w:rFonts w:ascii="Arial" w:cs="Arial" w:eastAsia="Arial" w:hAnsi="Arial"/>
          <w:sz w:val="18"/>
          <w:szCs w:val="18"/>
          <w:color w:val="auto"/>
        </w:rPr>
        <w:t>” means credit extended by any Lender (or any of its affiliates) to one or more of Holdings’ Foreign Subsidiaries, including Letters of Credit issued for the accounts of Holdings’ Foreign Subsidiaries (other than Letters of Credit issued under this Agreement), working capital and other loans made by any Lender (or any of its Affiliates) to Holdings’ Foreign Subsidiaries, guarantees by Barclays or any Lender (or any of its Affiliates) of indebtedness of Holdings’ Foreign Subsidiaries, international trade instruments issued or guaranteed by any Lender (or any of its affiliates) for the accounts of Holdings’ Foreign Subsidiaries, or other similar extensions of credit by any Lender (or any of its Affiliates) to Holdings’ Foreign Subsidiaries.</w:t>
      </w:r>
    </w:p>
    <w:p>
      <w:pPr>
        <w:spacing w:after="0" w:line="192" w:lineRule="exact"/>
        <w:rPr>
          <w:sz w:val="20"/>
          <w:szCs w:val="20"/>
          <w:color w:val="auto"/>
        </w:rPr>
      </w:pPr>
    </w:p>
    <w:p>
      <w:pPr>
        <w:ind w:left="4" w:right="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Credit Reserves</w:t>
      </w:r>
      <w:r>
        <w:rPr>
          <w:rFonts w:ascii="Arial" w:cs="Arial" w:eastAsia="Arial" w:hAnsi="Arial"/>
          <w:sz w:val="17"/>
          <w:szCs w:val="17"/>
          <w:color w:val="auto"/>
        </w:rPr>
        <w:t>” means reserves (in an amount of dollars constituting the Dollar Amount of the currency in which such credit extension is denominated) established by the Administrative Agent in its Permitted Discretion in respect of Foreign Credit Extensions.</w:t>
      </w:r>
    </w:p>
    <w:p>
      <w:pPr>
        <w:spacing w:after="0" w:line="146" w:lineRule="exact"/>
        <w:rPr>
          <w:sz w:val="20"/>
          <w:szCs w:val="20"/>
          <w:color w:val="auto"/>
        </w:rPr>
      </w:pPr>
    </w:p>
    <w:p>
      <w:pPr>
        <w:ind w:left="4" w:right="7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each subsidiary of such Person that is not a Domestic Subsidiary or a Canadian Subsidiary of such Person.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60" w:name="page61"/>
    <w:bookmarkEnd w:id="6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Funding Accounts</w:t>
      </w:r>
      <w:r>
        <w:rPr>
          <w:rFonts w:ascii="Arial" w:cs="Arial" w:eastAsia="Arial" w:hAnsi="Arial"/>
          <w:sz w:val="18"/>
          <w:szCs w:val="18"/>
          <w:color w:val="auto"/>
        </w:rPr>
        <w:t>” has the meaning assigned to such term in Section 4.01(g).</w:t>
      </w:r>
    </w:p>
    <w:p>
      <w:pPr>
        <w:spacing w:after="0" w:line="225" w:lineRule="exact"/>
        <w:rPr>
          <w:sz w:val="20"/>
          <w:szCs w:val="20"/>
          <w:color w:val="auto"/>
        </w:rPr>
      </w:pPr>
    </w:p>
    <w:p>
      <w:pPr>
        <w:ind w:left="4"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Fourth Restatement Date</w:t>
      </w:r>
      <w:r>
        <w:rPr>
          <w:rFonts w:ascii="Arial" w:cs="Arial" w:eastAsia="Arial" w:hAnsi="Arial"/>
          <w:sz w:val="18"/>
          <w:szCs w:val="18"/>
          <w:color w:val="auto"/>
        </w:rPr>
        <w:t>” means the date on which the conditions specified in Section 4.01 are satisfied (or waived in accordance with Section 9.02).</w:t>
      </w:r>
    </w:p>
    <w:p>
      <w:pPr>
        <w:spacing w:after="0" w:line="170" w:lineRule="exact"/>
        <w:rPr>
          <w:sz w:val="20"/>
          <w:szCs w:val="20"/>
          <w:color w:val="auto"/>
        </w:rPr>
      </w:pPr>
    </w:p>
    <w:p>
      <w:pPr>
        <w:ind w:left="4" w:right="7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means generally accepted accounting principles in the United States of America;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with respect to any determination involving a Canadian Loan Party on a standalone basis, “</w:t>
      </w:r>
      <w:r>
        <w:rPr>
          <w:rFonts w:ascii="Arial" w:cs="Arial" w:eastAsia="Arial" w:hAnsi="Arial"/>
          <w:sz w:val="16"/>
          <w:szCs w:val="16"/>
          <w:u w:val="single" w:color="auto"/>
          <w:color w:val="auto"/>
        </w:rPr>
        <w:t>GAAP</w:t>
      </w:r>
      <w:r>
        <w:rPr>
          <w:rFonts w:ascii="Arial" w:cs="Arial" w:eastAsia="Arial" w:hAnsi="Arial"/>
          <w:sz w:val="16"/>
          <w:szCs w:val="16"/>
          <w:color w:val="auto"/>
        </w:rPr>
        <w:t>” means generally accepted accounting principles in Canada.</w:t>
      </w:r>
    </w:p>
    <w:p>
      <w:pPr>
        <w:spacing w:after="0" w:line="124" w:lineRule="exact"/>
        <w:rPr>
          <w:sz w:val="20"/>
          <w:szCs w:val="20"/>
          <w:color w:val="auto"/>
        </w:rPr>
      </w:pPr>
    </w:p>
    <w:p>
      <w:pPr>
        <w:ind w:left="4"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the government of the United States of America, Canada, any other nation or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w:t>
      </w:r>
    </w:p>
    <w:p>
      <w:pPr>
        <w:spacing w:after="0" w:line="165" w:lineRule="exact"/>
        <w:rPr>
          <w:sz w:val="20"/>
          <w:szCs w:val="20"/>
          <w:color w:val="auto"/>
        </w:rPr>
      </w:pPr>
    </w:p>
    <w:p>
      <w:pPr>
        <w:ind w:left="4" w:right="60"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w:t>
      </w:r>
    </w:p>
    <w:p>
      <w:pPr>
        <w:spacing w:after="0" w:line="196"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in each case above as regulated pursuant to any Environmental Law.</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means WESCO International, Inc., a Delaware corporation.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IBA</w:t>
      </w:r>
      <w:r>
        <w:rPr>
          <w:rFonts w:ascii="Arial" w:cs="Arial" w:eastAsia="Arial" w:hAnsi="Arial"/>
          <w:sz w:val="18"/>
          <w:szCs w:val="18"/>
          <w:color w:val="auto"/>
        </w:rPr>
        <w:t>” has the meaning assigned to such term in Section 1.06.</w:t>
      </w:r>
    </w:p>
    <w:p>
      <w:pPr>
        <w:spacing w:after="0" w:line="225" w:lineRule="exact"/>
        <w:rPr>
          <w:sz w:val="20"/>
          <w:szCs w:val="20"/>
          <w:color w:val="auto"/>
        </w:rPr>
      </w:pPr>
    </w:p>
    <w:p>
      <w:pPr>
        <w:ind w:left="4" w:right="1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IFRS</w:t>
      </w:r>
      <w:r>
        <w:rPr>
          <w:rFonts w:ascii="Arial" w:cs="Arial" w:eastAsia="Arial" w:hAnsi="Arial"/>
          <w:sz w:val="16"/>
          <w:szCs w:val="16"/>
          <w:color w:val="auto"/>
        </w:rPr>
        <w:t>” means the body of pronouncements issued by the International Accounting Standards Board (IASB), including International Financial Reporting Standards and interpretations approved by the IASB, International Accounting Standards and Standing Interpretations Committee interpretations approved by the predecessor International Accounting Standards Committee and adapted for use in the European Union.</w:t>
      </w:r>
    </w:p>
    <w:p>
      <w:pPr>
        <w:spacing w:after="0" w:line="149"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Canadian Subsidiary</w:t>
      </w:r>
      <w:r>
        <w:rPr>
          <w:rFonts w:ascii="Arial" w:cs="Arial" w:eastAsia="Arial" w:hAnsi="Arial"/>
          <w:sz w:val="16"/>
          <w:szCs w:val="16"/>
          <w:color w:val="auto"/>
        </w:rPr>
        <w:t>” means any Canadian Subsidiary, whether existing as of the Fourth Restatement Date or formed or acquired thereafter, (i) the revenues of which, as of end of any fiscal year, for the period of four consecutive fiscal quarters then ended, were less than 5% of the consolidated revenues of Holdings and its Domestic Subsidiaries and Canadian Subsidiaries which are Restricted Subsidiaries for such period and</w:t>
      </w:r>
    </w:p>
    <w:p>
      <w:pPr>
        <w:spacing w:after="0" w:line="2" w:lineRule="exact"/>
        <w:rPr>
          <w:sz w:val="20"/>
          <w:szCs w:val="20"/>
          <w:color w:val="auto"/>
        </w:rPr>
      </w:pPr>
    </w:p>
    <w:p>
      <w:pPr>
        <w:ind w:left="4" w:right="80" w:hanging="4"/>
        <w:spacing w:after="0" w:line="255" w:lineRule="auto"/>
        <w:tabs>
          <w:tab w:leader="none" w:pos="2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consolidated assets of which, as of end of any fiscal year, were less than 5% of the consolidated total assets of Holdings and its Domestic Subsidiaries and Canadian Subsidiaries which are Restricted Subsidiaries as of the end of such fiscal year, in each case as reflected on the most recent annual or quarterly consolidated financial statements of Holdings and its Subsidiaries.</w:t>
      </w:r>
    </w:p>
    <w:p>
      <w:pPr>
        <w:spacing w:after="0" w:line="190"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Domestic Subsidiary</w:t>
      </w:r>
      <w:r>
        <w:rPr>
          <w:rFonts w:ascii="Arial" w:cs="Arial" w:eastAsia="Arial" w:hAnsi="Arial"/>
          <w:sz w:val="16"/>
          <w:szCs w:val="16"/>
          <w:color w:val="auto"/>
        </w:rPr>
        <w:t>” means any Domestic Subsidiary, whether existing as of the Fourth Restatement Date or formed or acquired thereafter, (i) the revenues of which, as of end of any fiscal year, for the period of four consecutive fiscal quarters then ended, were less than 5% of the consolidated revenues of Holdings and its Domestic Subsidiaries and Canadian Subsidiaries which are Restricted Subsidiaries for such period and</w:t>
      </w:r>
    </w:p>
    <w:p>
      <w:pPr>
        <w:spacing w:after="0" w:line="2" w:lineRule="exact"/>
        <w:rPr>
          <w:sz w:val="20"/>
          <w:szCs w:val="20"/>
          <w:color w:val="auto"/>
        </w:rPr>
      </w:pPr>
    </w:p>
    <w:p>
      <w:pPr>
        <w:ind w:left="4" w:right="460" w:hanging="4"/>
        <w:spacing w:after="0" w:line="260" w:lineRule="auto"/>
        <w:tabs>
          <w:tab w:leader="none" w:pos="26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consolidated assets of which, as of end of any fiscal year, were less than 5% of the consolidated total assets of Holdings and its Domestic Subsidiaries and Canadian Subsidiaries which are Restricted Subsidiaries as of the end of such fiscal</w:t>
      </w:r>
    </w:p>
    <w:p>
      <w:pPr>
        <w:spacing w:after="0" w:line="118"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64"/>
          </w:cols>
          <w:pgMar w:left="436" w:top="274" w:right="599" w:bottom="1440" w:gutter="0" w:footer="0" w:header="0"/>
        </w:sectPr>
      </w:pPr>
    </w:p>
    <w:bookmarkStart w:id="61" w:name="page62"/>
    <w:bookmarkEnd w:id="6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year, in each case as reflected on the most recent annual or quarterly consolidated financial statements of Holdings and its Subsidiaries.</w:t>
      </w:r>
    </w:p>
    <w:p>
      <w:pPr>
        <w:spacing w:after="0" w:line="225" w:lineRule="exact"/>
        <w:rPr>
          <w:sz w:val="20"/>
          <w:szCs w:val="20"/>
          <w:color w:val="auto"/>
        </w:rPr>
      </w:pPr>
    </w:p>
    <w:p>
      <w:pPr>
        <w:ind w:left="4" w:right="2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Foreign Subsidiary</w:t>
      </w:r>
      <w:r>
        <w:rPr>
          <w:rFonts w:ascii="Arial" w:cs="Arial" w:eastAsia="Arial" w:hAnsi="Arial"/>
          <w:sz w:val="16"/>
          <w:szCs w:val="16"/>
          <w:color w:val="auto"/>
        </w:rPr>
        <w:t>” means any Foreign Subsidiary, whether existing as of the Fourth Restatement Date or formed or acquired thereafter (i) the revenues of which, as of end of any fiscal year, for the period of four consecutive fiscal quarters then ended, were less than 5% of the consolidated revenues of Holdings and its Domestic Subsidiaries and Canadian Subsidiaries which are Restricted Subsidiaries for such period and</w:t>
      </w:r>
    </w:p>
    <w:p>
      <w:pPr>
        <w:spacing w:after="0" w:line="2" w:lineRule="exact"/>
        <w:rPr>
          <w:sz w:val="20"/>
          <w:szCs w:val="20"/>
          <w:color w:val="auto"/>
        </w:rPr>
      </w:pPr>
    </w:p>
    <w:p>
      <w:pPr>
        <w:ind w:left="4" w:right="240" w:hanging="4"/>
        <w:spacing w:after="0" w:line="255" w:lineRule="auto"/>
        <w:tabs>
          <w:tab w:leader="none" w:pos="26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consolidated assets of which, as of end of any fiscal year, were less than 5% of the consolidated total assets of Holdings and its Domestic Subsidiaries and Canadian Subsidiaries which are Restricted Subsidiaries as of the end of such fiscal year, in each case as reflected on the most recent annual or quarterly consolidated financial statements of Holdings and its Subsidiaries.</w:t>
      </w:r>
    </w:p>
    <w:p>
      <w:pPr>
        <w:spacing w:after="0" w:line="190"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(b) all obligations of such Person evidenced by bonds, debentures, notes or similar instruments, (c) all obligations of such Person upon which interest charges are customarily paid,</w:t>
      </w:r>
    </w:p>
    <w:p>
      <w:pPr>
        <w:ind w:left="4" w:hanging="4"/>
        <w:spacing w:after="0" w:line="285" w:lineRule="auto"/>
        <w:tabs>
          <w:tab w:leader="none" w:pos="25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all obligations of such Person under any liquidated earn-out to the extent such obligations remain unpaid after becoming due and owing, (l) Swap Agreement Obligations of such Person (measured as provided in the definition of “Material Indebtedness”) other than those related to a Permitted TEU Purchase Contract, Permitted TEU Capped Call Transaction or a Permitted Forward and (m) any other Off-Balance Sheet Liability of such Person.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72" w:lineRule="exact"/>
        <w:rPr>
          <w:sz w:val="20"/>
          <w:szCs w:val="20"/>
          <w:color w:val="auto"/>
        </w:rPr>
      </w:pPr>
    </w:p>
    <w:p>
      <w:pPr>
        <w:ind w:left="4" w:right="5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any Loan Party under any Loan Document and (b) to the extent not otherwise described in the foregoing clause (a), Other Taxes.</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9.03(b).</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Guarantee</w:t>
      </w:r>
      <w:r>
        <w:rPr>
          <w:rFonts w:ascii="Arial" w:cs="Arial" w:eastAsia="Arial" w:hAnsi="Arial"/>
          <w:sz w:val="18"/>
          <w:szCs w:val="18"/>
          <w:color w:val="auto"/>
        </w:rPr>
        <w:t>” means a guaranty by any Loan Party of an Intercompany Obligation of another Loan Party.</w:t>
      </w:r>
    </w:p>
    <w:p>
      <w:pPr>
        <w:spacing w:after="0" w:line="225"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Loan</w:t>
      </w:r>
      <w:r>
        <w:rPr>
          <w:rFonts w:ascii="Arial" w:cs="Arial" w:eastAsia="Arial" w:hAnsi="Arial"/>
          <w:sz w:val="18"/>
          <w:szCs w:val="18"/>
          <w:color w:val="auto"/>
        </w:rPr>
        <w:t>” means a loan or advance made by one Loan Party to another Loan Party, whether or not evidenced by a promissory note or other instrument.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Note</w:t>
      </w:r>
      <w:r>
        <w:rPr>
          <w:rFonts w:ascii="Arial" w:cs="Arial" w:eastAsia="Arial" w:hAnsi="Arial"/>
          <w:sz w:val="18"/>
          <w:szCs w:val="18"/>
          <w:color w:val="auto"/>
        </w:rPr>
        <w:t>” means any promissory note or other instrument evidencing an Intercompany Obligation.</w:t>
      </w:r>
    </w:p>
    <w:p>
      <w:pPr>
        <w:spacing w:after="0" w:line="225" w:lineRule="exact"/>
        <w:rPr>
          <w:sz w:val="20"/>
          <w:szCs w:val="20"/>
          <w:color w:val="auto"/>
        </w:rPr>
      </w:pPr>
    </w:p>
    <w:p>
      <w:pPr>
        <w:ind w:left="4" w:right="2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Intercompany Obligation</w:t>
      </w:r>
      <w:r>
        <w:rPr>
          <w:rFonts w:ascii="Arial" w:cs="Arial" w:eastAsia="Arial" w:hAnsi="Arial"/>
          <w:sz w:val="16"/>
          <w:szCs w:val="16"/>
          <w:color w:val="auto"/>
        </w:rPr>
        <w:t>” means any liability or obligation, contingent or otherwise, of one or more Loan Parties to one or more other Loan Parties, whether in respect of an Intercompany Loan or an Intercompany Guarantee, or in respect of property or other goods sold or delivered or for services rendered, or under a conditional sale or other title retention agreement, and, in each case, whether or not evidenced by an Intercompany Note.</w:t>
      </w:r>
    </w:p>
    <w:p>
      <w:pPr>
        <w:spacing w:after="0" w:line="149"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means a request by the Borrower Representative to convert or continue a Revolving Borrowing in accordance with Section 2.08.</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4"/>
          </w:cols>
          <w:pgMar w:left="436" w:top="274" w:right="439" w:bottom="1440" w:gutter="0" w:footer="0" w:header="0"/>
        </w:sectPr>
      </w:pPr>
    </w:p>
    <w:bookmarkStart w:id="62" w:name="page63"/>
    <w:bookmarkEnd w:id="62"/>
    <w:p>
      <w:pPr>
        <w:ind w:right="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Interest Expense</w:t>
      </w:r>
      <w:r>
        <w:rPr>
          <w:rFonts w:ascii="Arial" w:cs="Arial" w:eastAsia="Arial" w:hAnsi="Arial"/>
          <w:sz w:val="18"/>
          <w:szCs w:val="18"/>
          <w:color w:val="auto"/>
        </w:rPr>
        <w:t>” means, with reference to any period, total interest expense (whether cash or non-cash interest expense and including interest expense attributable to Capital Lease Obligations) of Holdings and its Restricted Subsidiaries for such period with respect to all outstanding Indebtedness of Holdings and its Restricted Subsidiaries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calculated on a consolidated basis for Holdings and its Restricted Subsidiaries for such period in accordance with GAAP.</w:t>
      </w:r>
    </w:p>
    <w:p>
      <w:pPr>
        <w:spacing w:after="0" w:line="192"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(a) with respect to any ABR Loan, Canadian Prime Rate Loan (other than a Swingline Loan) or any Daily Simple SOFR Loan, the first Business Day of each April, July, October and January for the immediately prior quarter and the Maturity Date, and (b) with respect to any Term SOFR Loan, or CDOR Rate Loan, the last day of the Interest Period applicable to the Borrowing of which such Loan is a part and, in the case of a Term SOFR Borrowing or a CDOR Rate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6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with respect to: (a) any Term SOFR Borrowing, the period commencing on the date of such Borrowing and ending on the numerically corresponding day in the calendar month that is one, three or six months thereafter, as the Borrower Representative may elect, and (b) any CDOR Rate Borrowing, the period commencing on the date of such Borrowing and ending on the date that is one or three months thereafter, as the Borrower Representative may elect;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in the case of a CDOR Rate Borrowing or a Term SOFR Borrowing, thereafter shall be the effective date of the most recent conversion or continuation of such Borrowing.</w:t>
      </w:r>
    </w:p>
    <w:p>
      <w:pPr>
        <w:spacing w:after="0" w:line="185"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Intermediate Holding Company</w:t>
      </w:r>
      <w:r>
        <w:rPr>
          <w:rFonts w:ascii="Arial" w:cs="Arial" w:eastAsia="Arial" w:hAnsi="Arial"/>
          <w:sz w:val="18"/>
          <w:szCs w:val="18"/>
          <w:color w:val="auto"/>
        </w:rPr>
        <w:t>” means a Subsidiary which has no Indebtedness (other than pursuant to the Loan Documents or intercompany Indebtedness to Holdings or any Restricted Subsidiary of Holdings not prohibited by Section 6.01) and holds no material assets other than Equity Interests in another Subsidiary.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has the meaning assigned to such term in the U.S. Security Agreement.</w:t>
      </w:r>
    </w:p>
    <w:p>
      <w:pPr>
        <w:spacing w:after="0" w:line="225" w:lineRule="exact"/>
        <w:rPr>
          <w:sz w:val="20"/>
          <w:szCs w:val="20"/>
          <w:color w:val="auto"/>
        </w:rPr>
      </w:pPr>
    </w:p>
    <w:p>
      <w:pPr>
        <w:ind w:right="18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means, for any Person: (a) the acquisition (whether for cash, property, services or securities or otherwise) of capital stock, bonds, notes, debentures, partnership, limited liability company or other ownership interests or other securities of any other Person or any agreement to make any such acquisition (including any “short sale” or any sale of any securities at a time when such securities are not owned by the Person entering into such short sale); (b) the making of any deposit with, or advance, loan or other extension of credit to, any other Person (including the purchase of property from another Person subject to an understanding or agreement, contingent or otherwise, to resell such property to such Person); or (c) the entering into of any Guarantee of, or other contingent obligation with respect to, Indebtedness or other liability of any other Person and (without duplication) any amount committed to be advanced, lent or extended to such Person. Notwithstanding the foregoing, Capital Expenditures shall not be deemed “</w:t>
      </w:r>
      <w:r>
        <w:rPr>
          <w:rFonts w:ascii="Arial" w:cs="Arial" w:eastAsia="Arial" w:hAnsi="Arial"/>
          <w:sz w:val="17"/>
          <w:szCs w:val="17"/>
          <w:u w:val="single" w:color="auto"/>
          <w:color w:val="auto"/>
        </w:rPr>
        <w:t>Investments</w:t>
      </w:r>
      <w:r>
        <w:rPr>
          <w:rFonts w:ascii="Arial" w:cs="Arial" w:eastAsia="Arial" w:hAnsi="Arial"/>
          <w:sz w:val="17"/>
          <w:szCs w:val="17"/>
          <w:color w:val="auto"/>
        </w:rPr>
        <w:t>” for purposes hereof.</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individually and collectively (a) with respect to U.S. Letters of Credit, each of Barclays, Bank of America N.A., Canadian Imperial Bank of Commerce, New York Branch, Citizens Bank, Fifth Third Bank, National Association, HSBC Bank USA, National Association, PNC Bank, National Association, The Bank of Nova Scotia, TD Bank, N.A., U.S. Bank National Association, Wells Fargo Bank, National Association, Citibank, N.A., Goldman Sachs Bank USA and any other Lender proposed by the Borrower Representative that has agreed to act as an Issuing Bank with respect to U.S. Letters of Credit and is reasonably acceptable to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63" w:name="page64"/>
    <w:bookmarkEnd w:id="63"/>
    <w:p>
      <w:pPr>
        <w:ind w:left="4"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each in its capacity as an issuer of U.S. Letters of Credit hereunder, and its successors in such capacity as provided in Section 2.06(j) and (b) with respect to Canadian Letters of Credit, each of Barclays, Bank of America N.A., Canadian Imperial Bank of Commerce, New York Branch, Citizens Bank, Fifth Third Bank, National Association, HSBC Bank USA, National Association, PNC Bank, National Association, The Bank of Nova Scotia, TD Bank, N.A., U.S. Bank National Association, Wells Fargo Bank, National Association, Citibank, N.A., Goldman Sachs Bank USA and any other Lender proposed by the Borrower Representative that has agreed to act as an Issuing Bank with respect to Canadian Letters of Credit and is reasonably acceptable to the Administrative Agent, each in its capacity as an issuer of Canadian Letters of Credit hereunder, and its successors in such capacity as provided in Section 2.06(j). The Issuing Bank may, in its discretion, arrange for one or more Letters of Credit to be issued by Affiliates of such Issuing Bank, in which case the term “</w:t>
      </w:r>
      <w:r>
        <w:rPr>
          <w:rFonts w:ascii="Arial" w:cs="Arial" w:eastAsia="Arial" w:hAnsi="Arial"/>
          <w:sz w:val="16"/>
          <w:szCs w:val="16"/>
          <w:u w:val="single" w:color="auto"/>
          <w:color w:val="auto"/>
        </w:rPr>
        <w:t>Issuing Banks</w:t>
      </w:r>
      <w:r>
        <w:rPr>
          <w:rFonts w:ascii="Arial" w:cs="Arial" w:eastAsia="Arial" w:hAnsi="Arial"/>
          <w:sz w:val="16"/>
          <w:szCs w:val="16"/>
          <w:color w:val="auto"/>
        </w:rPr>
        <w:t>” shall include any such Affiliate with respect to Letters of Credit issued by such Affiliate.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and the regulations thereunder, as amended.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has the meaning assigned to such term in Section 5.13.</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Aggregate Maximum Amount</w:t>
      </w:r>
      <w:r>
        <w:rPr>
          <w:rFonts w:ascii="Arial" w:cs="Arial" w:eastAsia="Arial" w:hAnsi="Arial"/>
          <w:sz w:val="18"/>
          <w:szCs w:val="18"/>
          <w:color w:val="auto"/>
        </w:rPr>
        <w:t>” means $200,000,000.</w:t>
      </w:r>
    </w:p>
    <w:p>
      <w:pPr>
        <w:spacing w:after="0" w:line="225" w:lineRule="exact"/>
        <w:rPr>
          <w:sz w:val="20"/>
          <w:szCs w:val="20"/>
          <w:color w:val="auto"/>
        </w:rPr>
      </w:pPr>
    </w:p>
    <w:p>
      <w:pPr>
        <w:ind w:left="4"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Alternative Currency</w:t>
      </w:r>
      <w:r>
        <w:rPr>
          <w:rFonts w:ascii="Arial" w:cs="Arial" w:eastAsia="Arial" w:hAnsi="Arial"/>
          <w:sz w:val="18"/>
          <w:szCs w:val="18"/>
          <w:color w:val="auto"/>
        </w:rPr>
        <w:t>” means any lawful currency (other than dollars or Canadian Dollars) acceptable to the Issuing Banks and which is freely transferable and convertible into dollars in the United States or London currency market, as applicable, and is freely available to the applicable Issuing Bank in the London interbank deposit market.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Alternative Currency Sublimit</w:t>
      </w:r>
      <w:r>
        <w:rPr>
          <w:rFonts w:ascii="Arial" w:cs="Arial" w:eastAsia="Arial" w:hAnsi="Arial"/>
          <w:sz w:val="18"/>
          <w:szCs w:val="18"/>
          <w:color w:val="auto"/>
        </w:rPr>
        <w:t>” means $50,000,000.</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has the meaning assigned to such term in Section 2.06(k).</w:t>
      </w:r>
    </w:p>
    <w:p>
      <w:pPr>
        <w:spacing w:after="0" w:line="225" w:lineRule="exact"/>
        <w:rPr>
          <w:sz w:val="20"/>
          <w:szCs w:val="20"/>
          <w:color w:val="auto"/>
        </w:rPr>
      </w:pPr>
    </w:p>
    <w:p>
      <w:pPr>
        <w:ind w:left="4" w:right="2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Disbursement</w:t>
      </w:r>
      <w:r>
        <w:rPr>
          <w:rFonts w:ascii="Arial" w:cs="Arial" w:eastAsia="Arial" w:hAnsi="Arial"/>
          <w:sz w:val="17"/>
          <w:szCs w:val="17"/>
          <w:color w:val="auto"/>
        </w:rPr>
        <w:t xml:space="preserve">” means a payment made by the Issuing Bank pursuant to a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component of any such amount in an LC Alternative Currency under a U.S. Letter of Credit, such amount shall be the Dollar Amount thereof.</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the U.S. LC Exposure and the Canadian LC Exposure.</w:t>
      </w:r>
    </w:p>
    <w:p>
      <w:pPr>
        <w:spacing w:after="0" w:line="225" w:lineRule="exact"/>
        <w:rPr>
          <w:sz w:val="20"/>
          <w:szCs w:val="20"/>
          <w:color w:val="auto"/>
        </w:rPr>
      </w:pPr>
    </w:p>
    <w:p>
      <w:pPr>
        <w:ind w:left="4" w:right="4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Individual Sublimit</w:t>
      </w:r>
      <w:r>
        <w:rPr>
          <w:rFonts w:ascii="Arial" w:cs="Arial" w:eastAsia="Arial" w:hAnsi="Arial"/>
          <w:sz w:val="17"/>
          <w:szCs w:val="17"/>
          <w:color w:val="auto"/>
        </w:rPr>
        <w:t>” means (a) $10,000,000 for Barclays, in its capacity as an Issuing Bank, (b) $25,000,000 for Bank of America N.A. in its capacity as an Issuing Bank, (c) $5,000,000 for Canadian Imperial Bank of Commerce, New York Branch in its capacity as an Issuing Bank,</w:t>
      </w:r>
    </w:p>
    <w:p>
      <w:pPr>
        <w:ind w:left="4" w:hanging="4"/>
        <w:spacing w:after="0" w:line="281" w:lineRule="auto"/>
        <w:tabs>
          <w:tab w:leader="none" w:pos="259" w:val="left"/>
        </w:tabs>
        <w:numPr>
          <w:ilvl w:val="0"/>
          <w:numId w:val="30"/>
        </w:numPr>
        <w:rPr>
          <w:rFonts w:ascii="Arial" w:cs="Arial" w:eastAsia="Arial" w:hAnsi="Arial"/>
          <w:sz w:val="16"/>
          <w:szCs w:val="16"/>
          <w:color w:val="auto"/>
        </w:rPr>
      </w:pPr>
      <w:r>
        <w:rPr>
          <w:rFonts w:ascii="Arial" w:cs="Arial" w:eastAsia="Arial" w:hAnsi="Arial"/>
          <w:sz w:val="16"/>
          <w:szCs w:val="16"/>
          <w:color w:val="auto"/>
        </w:rPr>
        <w:t>$5,000,000 for Citizens Bank in its capacity as an Issuing Bank, (e) $15,000,000 for HSBC Bank USA, National Association in its capacity as an Issuing Bank, (f) $20,000,000 for The Bank of Nova Scotia in its capacity as an Issuing Bank, (g) $5,000,000 for Fifth Third Bank, National Association in its capacity as an Issuing Bank, (h) $5,000,000 for PNC Bank, National Association, in its capacity as an Issuing Bank, (i) $5,000,000 for TD Bank, N.A., in its capacity as an Issuing Bank, (j) $5,000,000 for U.S. Bank National Association in its capacity as an Issuing Bank, (k) $40,000,000 for Wells Fargo Bank, National Association in its capacity as an Issuing Bank, (l) $5,000,000 for Citibank, N.A., in its capacity as an Issuing Bank,</w:t>
      </w:r>
    </w:p>
    <w:p>
      <w:pPr>
        <w:spacing w:after="0" w:line="2" w:lineRule="exact"/>
        <w:rPr>
          <w:rFonts w:ascii="Arial" w:cs="Arial" w:eastAsia="Arial" w:hAnsi="Arial"/>
          <w:sz w:val="16"/>
          <w:szCs w:val="16"/>
          <w:color w:val="auto"/>
        </w:rPr>
      </w:pPr>
    </w:p>
    <w:p>
      <w:pPr>
        <w:ind w:left="4" w:hanging="4"/>
        <w:spacing w:after="0" w:line="252" w:lineRule="auto"/>
        <w:tabs>
          <w:tab w:leader="none" w:pos="309"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$5,000,000 for Goldman Sachs Bank USA, in its capacity as an Issuing Bank, and (n) with respect to any other Issuing Bank, such amount agreed to by the Borrowers and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request of the Borrowers, any Issuing Bank may, in its sole discretion, without the necessity of obtaining the consent of the Administrative Agent or any Lender, elect to increase its LC Individual Sublimit in an amount not to exceed the Revolving Commitment of the applicable Lender so long as after giving effect to such increase, the aggregate LC Individual Sublimit of all Issuing Banks does not exceed the LC Aggregate Maximum Amount; provided, further that the foregoing sublimits apply to the applicable Lender and its Affiliates.</w:t>
      </w:r>
    </w:p>
    <w:p>
      <w:pPr>
        <w:spacing w:after="0" w:line="19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Election</w:t>
      </w:r>
      <w:r>
        <w:rPr>
          <w:rFonts w:ascii="Arial" w:cs="Arial" w:eastAsia="Arial" w:hAnsi="Arial"/>
          <w:sz w:val="18"/>
          <w:szCs w:val="18"/>
          <w:color w:val="auto"/>
        </w:rPr>
        <w:t>” has the meaning assigned to such term in Section 1.08.</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Specified Transaction</w:t>
      </w:r>
      <w:r>
        <w:rPr>
          <w:rFonts w:ascii="Arial" w:cs="Arial" w:eastAsia="Arial" w:hAnsi="Arial"/>
          <w:sz w:val="18"/>
          <w:szCs w:val="18"/>
          <w:color w:val="auto"/>
        </w:rPr>
        <w:t>” has the meaning assigned to such term in Section 1.08.</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64" w:name="page65"/>
    <w:bookmarkEnd w:id="6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LCT Test Date</w:t>
      </w:r>
      <w:r>
        <w:rPr>
          <w:rFonts w:ascii="Arial" w:cs="Arial" w:eastAsia="Arial" w:hAnsi="Arial"/>
          <w:sz w:val="18"/>
          <w:szCs w:val="18"/>
          <w:color w:val="auto"/>
        </w:rPr>
        <w:t>” has the meaning assigned to such term in Section 1.08.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 Parties</w:t>
      </w:r>
      <w:r>
        <w:rPr>
          <w:rFonts w:ascii="Arial" w:cs="Arial" w:eastAsia="Arial" w:hAnsi="Arial"/>
          <w:sz w:val="16"/>
          <w:szCs w:val="16"/>
          <w:color w:val="auto"/>
        </w:rPr>
        <w:t>” means, individually and collectively as the context may require, the Administrative Agent, the Lenders and the Issuing Banks.</w:t>
      </w:r>
    </w:p>
    <w:p>
      <w:pPr>
        <w:spacing w:after="0" w:line="248"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individually and collectively as the context may require, the Canadian Lenders and the U.S. Lenders. Unless the context otherwise requires, the term “Lenders” includes the Swingline Lenders.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w:t>
      </w:r>
    </w:p>
    <w:p>
      <w:pPr>
        <w:spacing w:after="0" w:line="225"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7"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means any Investment the consummation of which is not conditioned on the availability of, or on obtaining, third party financing.</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means, at any time, the sum of (a) Combined Availability and (b) unrestricted cash held at such time in Deposit Accounts subject to Control Agreements.</w:t>
      </w:r>
    </w:p>
    <w:p>
      <w:pPr>
        <w:spacing w:after="0" w:line="170"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individually and collectively as the context may require, this Agreement, any promissory notes issued pursuant to this Agreement, any Letter of Credit applications, the Collateral Documents, each Loan Guaranty, each Canadian Guarantee, the Receivables Intercreditor Agreement, any Permitted Term Debt Intercreditor Agreement, the Affiliate Subordination Agreement and each additional guaranty entered into by a Canadian Loan Party pursuant to Section 5.13, and all other agreements, instruments, documents and certificates identified in Section 4.01 executed and delivered to, or in favor of, the Administrative Agent or any Lenders and including all other pledges, powers of attorney, consents, assignments, contracts, notices, letter of credit agreements, letter of credit applications and any agreements between the Borrower Representative and the Issuing Bank regarding the Issuing Bank’s LC Individual Sublimit or the respective rights and obligations between the applicable Borrower and the Issuing Bank in connection with the issuance by the Issuing Bank of Letters of Credit, and all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68"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Guarantor</w:t>
      </w:r>
      <w:r>
        <w:rPr>
          <w:rFonts w:ascii="Arial" w:cs="Arial" w:eastAsia="Arial" w:hAnsi="Arial"/>
          <w:sz w:val="18"/>
          <w:szCs w:val="18"/>
          <w:color w:val="auto"/>
        </w:rPr>
        <w:t>” means (a) with respect to the U.S. Obligations, each U.S. Borrower, each U.S. Loan Guarantor and any other Person that becomes a U.S. Loan Guarantor pursuant to Section 5.13; and (b) with respect to the Canadian Obligations, each Loan Party and any other Person that becomes a Loan Guarantor pursuant to Section 5.13.</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Guaranty</w:t>
      </w:r>
      <w:r>
        <w:rPr>
          <w:rFonts w:ascii="Arial" w:cs="Arial" w:eastAsia="Arial" w:hAnsi="Arial"/>
          <w:sz w:val="18"/>
          <w:szCs w:val="18"/>
          <w:color w:val="auto"/>
        </w:rPr>
        <w:t>” means (a) each U.S. Loan Party Guaranty and (b) each other separate Guarantee in form and substance reasonably satisfactory to the Administrative Agent delivered by each Loan Guarantor that is a Foreign Subsidiary of Holdings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Guarantee provided by a Foreign Subsidiary of Holdings shall be governed by the laws of the country in which such Foreign Subsidiary is located), as the same may be amended or modified and in effect from time to time.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individually and collectively as the context may require, the U.S. Loan Parties and the Canadian Loan Parties.</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and advances made by the Lenders pursuant to this Agreement, including Swingline Loans, Overadvances and Protective Advances.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65" w:name="page66"/>
    <w:bookmarkEnd w:id="65"/>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Lock Box</w:t>
      </w:r>
      <w:r>
        <w:rPr>
          <w:rFonts w:ascii="Arial" w:cs="Arial" w:eastAsia="Arial" w:hAnsi="Arial"/>
          <w:sz w:val="16"/>
          <w:szCs w:val="16"/>
          <w:color w:val="auto"/>
        </w:rPr>
        <w:t>” means a postal lock box established by any Person with any banking institution, securities intermediary or other financial institution.</w:t>
      </w:r>
    </w:p>
    <w:p>
      <w:pPr>
        <w:spacing w:after="0" w:line="248" w:lineRule="exact"/>
        <w:rPr>
          <w:sz w:val="20"/>
          <w:szCs w:val="20"/>
          <w:color w:val="auto"/>
        </w:rPr>
      </w:pPr>
    </w:p>
    <w:p>
      <w:pPr>
        <w:ind w:left="4" w:right="18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material adverse effect on (a) the business, assets, operations or financial condition, of Holdings and its Subsidiaries taken as a whole, (b) the ability of the Loan Parties, taken as a whole, to perform any of their obligations under the Loan Documents to which they are a party, (c) the Collateral, the Administrative Agent’s Liens (for the benefit of the Lender Parties or the Canadian Lender Parties, as the case may be) on the Collateral or the priority of such Liens (this clause (c) to be taken as a whole), or (d) the rights of or benefits available to the Administrative Agent, any Issuing Bank or the Lenders under any of the Loan Documents.</w:t>
      </w:r>
    </w:p>
    <w:p>
      <w:pPr>
        <w:spacing w:after="0" w:line="17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Indebtedness (other than the Loans and Letters of Credit), or obligations in respect of one or more Swap Agreements, of any one or more of Holdings and its Restricted Subsidiaries in an aggregate principal amount exceeding $75,000,000. For purposes of determining Material Indebtedness, the “obligations” of any Loan Party or any Restricted Subsidiary in respect of any Swap Agreement at any time shall be the maximum aggregate amount (giving effect to any netting agreements) that such Loan Party or such Subsidiary would be required to pay if such Swap Agreement were terminated at such time.</w:t>
      </w:r>
    </w:p>
    <w:p>
      <w:pPr>
        <w:spacing w:after="0" w:line="188"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means the earliest of: (a) the Scheduled Maturity Date, (b) the date that is 91 days prior to the final scheduled maturity date of the 2025 Senior Notes unless as of such 91st day (i) not more than $75,000,000 of 2025 Senior Notes remain outstanding, (ii) the Borrower Representative has received a binding commitment to refinance the 2025 Senior Notes on or prior to the maturity date of the 2025 Senior Notes (subject only to reasonable and customary conditions) so that upon receipt of the net proceeds thereof not more than $75,000,000 of 2025 Senior Notes will remain outstanding and such refinancing is permitted by this Agreement and matures no earlier than 91 days after the Scheduled Maturity Date or (iii) there shall exist Reserves in an amount equal to or greater than the amount remaining outstanding under the 2025 Senior Notes and Liquidity shall be at least $250,000,000; and (c) the final scheduled maturity date of any Bridge Debt, unless on such maturity date (i) all such Bridge Debt is refinanced with Indebtedness that is permitted by this agreement and matures no earlier than 91 days after the Scheduled Maturity Date or (ii) none of such Bridge Debt remains outstanding. For purposes of this definition, “refinance” shall include any transaction that has the effect of extending the maturity date.</w:t>
      </w:r>
    </w:p>
    <w:p>
      <w:pPr>
        <w:spacing w:after="0" w:line="166"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MaxCell Patents</w:t>
      </w:r>
      <w:r>
        <w:rPr>
          <w:rFonts w:ascii="Arial" w:cs="Arial" w:eastAsia="Arial" w:hAnsi="Arial"/>
          <w:sz w:val="18"/>
          <w:szCs w:val="18"/>
          <w:color w:val="auto"/>
        </w:rPr>
        <w:t>” means domestic and international patents and patents pending associated with the fabric innerduct and conduit divider system known as MaxCell.</w:t>
      </w:r>
    </w:p>
    <w:p>
      <w:pPr>
        <w:spacing w:after="0" w:line="170" w:lineRule="exact"/>
        <w:rPr>
          <w:sz w:val="20"/>
          <w:szCs w:val="20"/>
          <w:color w:val="auto"/>
        </w:rPr>
      </w:pPr>
    </w:p>
    <w:p>
      <w:pPr>
        <w:ind w:left="4" w:right="1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Monthly Financial Statement Trigger Period</w:t>
      </w:r>
      <w:r>
        <w:rPr>
          <w:rFonts w:ascii="Arial" w:cs="Arial" w:eastAsia="Arial" w:hAnsi="Arial"/>
          <w:sz w:val="16"/>
          <w:szCs w:val="16"/>
          <w:color w:val="auto"/>
        </w:rPr>
        <w:t>” means the period (a) commencing on the day that (i) an Event of Default occurs or (ii) Combined Availability falls below the Combined Availability Trigger Amount; and (b) continuing until the date on which, at all times during the preceding thirty</w:t>
      </w:r>
    </w:p>
    <w:p>
      <w:pPr>
        <w:ind w:left="4" w:right="520" w:hanging="4"/>
        <w:spacing w:after="0" w:line="260" w:lineRule="auto"/>
        <w:tabs>
          <w:tab w:leader="none" w:pos="3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consecutive days, (i) no Event of Default has existed and (ii) Combined Availability has been greater than the Combined Availability Trigger Amount.</w:t>
      </w:r>
    </w:p>
    <w:p>
      <w:pPr>
        <w:spacing w:after="0" w:line="185" w:lineRule="exact"/>
        <w:rPr>
          <w:sz w:val="20"/>
          <w:szCs w:val="20"/>
          <w:color w:val="auto"/>
        </w:rPr>
      </w:pPr>
    </w:p>
    <w:p>
      <w:pPr>
        <w:ind w:left="4"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Monthly Reporting Trigger Period</w:t>
      </w:r>
      <w:r>
        <w:rPr>
          <w:rFonts w:ascii="Arial" w:cs="Arial" w:eastAsia="Arial" w:hAnsi="Arial"/>
          <w:sz w:val="17"/>
          <w:szCs w:val="17"/>
          <w:color w:val="auto"/>
        </w:rPr>
        <w:t>” means any period (a) commencing on the day that Aggregate Credit Exposure shall have been greater than or equal to 20% of the lesser at such time of (i) the Aggregate Revolving Commitments and (ii) the Aggregate Borrowing Base for three (3) consecutive Business Days and (b) continuing until the date on which Aggregate Credit Exposure shall have been less than 20% of the lesser at such time of (i) the Aggregate Revolving Commitments and (ii) the Aggregate Borrowing Base for 365 consecutive days. For the avoidance of doubt, the parties acknowledge and agree that as of the Fourth Restatement Date, a Monthly Reporting Trigger is not in effect.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left="4" w:right="1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Income</w:t>
      </w:r>
      <w:r>
        <w:rPr>
          <w:rFonts w:ascii="Arial" w:cs="Arial" w:eastAsia="Arial" w:hAnsi="Arial"/>
          <w:sz w:val="17"/>
          <w:szCs w:val="17"/>
          <w:color w:val="auto"/>
        </w:rPr>
        <w:t xml:space="preserve">” means, for any period, the consolidated net income (or loss) of Holdings and its Restricted Subsidiaries, determined on a consolidated basis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be excluded (a) the income (or deficit) of any Person accrued prior to the date it becomes a Restricted Subsidiary or is merged into or consolidated with Holdings or any of its Restricted Subsidiaries, (b) the income (or deficit) of any Person (other than a Restricted Subsidiary) in which Holdings or any of its Subsidiaries has an ownership interest, except to the</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66" w:name="page67"/>
    <w:bookmarkEnd w:id="6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extent that any such income is actually received by Holdings or a Restricted Subsidiary in the form of dividends or similar distributions and (c) the undistributed earnings of any Restricted Subsidiary to the extent that the declaration or payment of dividends or similar distributions by such Restricted Subsidiary is prohibited by the terms of any contractual obligation (other than under any Loan Document) or Requirement of Law applicable to such Restricted Subsidiary.</w:t>
      </w:r>
    </w:p>
    <w:p>
      <w:pPr>
        <w:spacing w:after="0" w:line="18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Orderly Liquidation Value</w:t>
      </w:r>
      <w:r>
        <w:rPr>
          <w:rFonts w:ascii="Arial" w:cs="Arial" w:eastAsia="Arial" w:hAnsi="Arial"/>
          <w:sz w:val="18"/>
          <w:szCs w:val="18"/>
          <w:color w:val="auto"/>
        </w:rPr>
        <w:t>” means, with respect to Inventory of any Person, the orderly liquidation value thereof as determined in a manner acceptable to the Administrative Agent in its Permitted Discretion by an appraiser reasonably acceptable to the Administrative Agent, net of all costs of liquidation thereof.</w:t>
      </w:r>
    </w:p>
    <w:p>
      <w:pPr>
        <w:spacing w:after="0" w:line="18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net of (b) the sum of (i) all reasonable fees and out-of-pocket expenses paid to third parties (other than Affiliates) in connection with such event, (ii) in the case of a sale, transfer or other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assigned to such term in Section 9.02(d).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means a Lender that is not a U.S. Person.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individually and collectively as the context may require, the U.S. Obligations and the Canadian Obligations.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right="3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Off-Balance Sheet Liability</w:t>
      </w:r>
      <w:r>
        <w:rPr>
          <w:rFonts w:ascii="Arial" w:cs="Arial" w:eastAsia="Arial" w:hAnsi="Arial"/>
          <w:sz w:val="16"/>
          <w:szCs w:val="16"/>
          <w:color w:val="auto"/>
        </w:rPr>
        <w:t>”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sheets of such Person (other than operating leases).</w:t>
      </w:r>
    </w:p>
    <w:p>
      <w:pPr>
        <w:spacing w:after="0" w:line="15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Taxes (other than a connection arising from such Recipient having executed, delivered, enforced, become a party to, performed its obligations under, received payments under, received or perfected a security interest under, engaged in any other transaction pursuant to or enforced any Loan Document, or sold or assigned an interest in any Loan Document).</w:t>
      </w:r>
    </w:p>
    <w:p>
      <w:pPr>
        <w:spacing w:after="0" w:line="17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present or future stamp, court, documentary, intangible, recording, filing or similar excise or property Taxes that arise from any payment made under, from the execution, delivery, performance, enforcement or registration of, or from the registration, receipt or perfection of a security interest under, or otherwise with respect to, any Loan Document, except any such Taxes that are Other Connection Taxes imposed with respect to an assignment (other than an assignment under Section 2.19(b)).</w:t>
      </w:r>
    </w:p>
    <w:p>
      <w:pPr>
        <w:spacing w:after="0" w:line="187" w:lineRule="exact"/>
        <w:rPr>
          <w:sz w:val="20"/>
          <w:szCs w:val="20"/>
          <w:color w:val="auto"/>
        </w:rPr>
      </w:pPr>
    </w:p>
    <w:p>
      <w:pPr>
        <w:jc w:val="center"/>
        <w:ind w:right="18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Overadvances</w:t>
      </w:r>
      <w:r>
        <w:rPr>
          <w:rFonts w:ascii="Arial" w:cs="Arial" w:eastAsia="Arial" w:hAnsi="Arial"/>
          <w:sz w:val="18"/>
          <w:szCs w:val="18"/>
          <w:color w:val="auto"/>
        </w:rPr>
        <w:t>” means, individually and collectively as the context may require, the U.S. Overadvances and the Canadian Overadvances. 34</w:t>
      </w:r>
    </w:p>
    <w:p>
      <w:pPr>
        <w:sectPr>
          <w:pgSz w:w="11900" w:h="16838" w:orient="portrait"/>
          <w:cols w:equalWidth="0" w:num="1">
            <w:col w:w="10980"/>
          </w:cols>
          <w:pgMar w:left="440" w:top="274" w:right="479" w:bottom="1440" w:gutter="0" w:footer="0" w:header="0"/>
        </w:sectPr>
      </w:pPr>
    </w:p>
    <w:bookmarkStart w:id="67" w:name="page68"/>
    <w:bookmarkEnd w:id="6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Parent</w:t>
      </w:r>
      <w:r>
        <w:rPr>
          <w:rFonts w:ascii="Arial" w:cs="Arial" w:eastAsia="Arial" w:hAnsi="Arial"/>
          <w:sz w:val="18"/>
          <w:szCs w:val="18"/>
          <w:color w:val="auto"/>
        </w:rPr>
        <w:t>” means, with respect to any Lender, the Person as to which such Lender is, directly or indirectly, a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set forth in Section 9.04.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set forth in Section 9.04.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Conditions</w:t>
      </w:r>
      <w:r>
        <w:rPr>
          <w:rFonts w:ascii="Arial" w:cs="Arial" w:eastAsia="Arial" w:hAnsi="Arial"/>
          <w:sz w:val="18"/>
          <w:szCs w:val="18"/>
          <w:color w:val="auto"/>
        </w:rPr>
        <w:t>” shall be deemed to be satisfied with respect to a transaction if:</w:t>
      </w:r>
    </w:p>
    <w:p>
      <w:pPr>
        <w:spacing w:after="0" w:line="117" w:lineRule="exact"/>
        <w:rPr>
          <w:sz w:val="20"/>
          <w:szCs w:val="20"/>
          <w:color w:val="auto"/>
        </w:rPr>
      </w:pPr>
    </w:p>
    <w:p>
      <w:pPr>
        <w:ind w:left="680" w:hanging="244"/>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Default has occurred and is continuing or would result immediately after giving effect to such transaction;</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 the period of thirty (30) consecutive days prior to, and as of the date of, such transaction, in each case, after giving effect to such</w:t>
      </w:r>
    </w:p>
    <w:p>
      <w:pPr>
        <w:spacing w:after="0" w:line="34" w:lineRule="exact"/>
        <w:rPr>
          <w:rFonts w:ascii="Arial" w:cs="Arial" w:eastAsia="Arial" w:hAnsi="Arial"/>
          <w:sz w:val="17"/>
          <w:szCs w:val="17"/>
          <w:color w:val="auto"/>
        </w:rPr>
      </w:pPr>
    </w:p>
    <w:p>
      <w:pPr>
        <w:ind w:right="20"/>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transaction, Combined Availability exceeds the Combined Availability Trigger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in calculating Combined Availability for the thirty day period prior to such transaction for purposes of this clause (b), Combined Availability for such thirty day period shall be determined on a pro forma basis, as if such transaction had occurred (and any Revolving Loans or loans, transfers or sales made under the Receivables Securitization Agreements to fund such transaction had been made) on the first day of such period and (B), if at any time during such thirty day period, Combined Availability shall be less than the Combined Availability Trigger Amount and (x) the Borrowers shall raise additional capital through the issuance of Equity Interests by Holdings or the incurrence of Indebtedness permitted under Section 6.01 and utilize a portion of the proceeds of such additional capital raise to pay down outstanding Revolving Loans or outstanding amounts owing under the Receivables Securitization Agreements or (y) the Aggregate Revolving Commitments are increased pursuant to Section 2.09(e) hereof or the Securitization Purchase Limit is increased pursuant to the Receivables Securitization Agreements, for purposes of determining whether the Borrowers have met the foregoing test, Combined Availability shall be determined on a pro forma basis, as if such capital raise and pay down of outstanding Revolving Loans or amounts owing under the Receivables Securitization Agreements or such increase in the Aggregate Revolving Commitments or Securitization Purchase Limit, as applicable, had occurred on the first day of such thirty day period;</w:t>
      </w:r>
    </w:p>
    <w:p>
      <w:pPr>
        <w:spacing w:after="0" w:line="76" w:lineRule="exact"/>
        <w:rPr>
          <w:rFonts w:ascii="Arial" w:cs="Arial" w:eastAsia="Arial" w:hAnsi="Arial"/>
          <w:sz w:val="17"/>
          <w:szCs w:val="17"/>
          <w:color w:val="auto"/>
        </w:rPr>
      </w:pPr>
    </w:p>
    <w:p>
      <w:pPr>
        <w:ind w:right="440" w:firstLine="436"/>
        <w:spacing w:after="0" w:line="342" w:lineRule="auto"/>
        <w:tabs>
          <w:tab w:leader="none" w:pos="685"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the Fixed Charge Coverage Ratio (calculated for the period of four consecutive fiscal quarters then most recently ended as if such transaction had been made on the first day of such period) shall be not less than 1.1 to 1.0;</w:t>
      </w:r>
    </w:p>
    <w:p>
      <w:pPr>
        <w:spacing w:after="0" w:line="15" w:lineRule="exact"/>
        <w:rPr>
          <w:rFonts w:ascii="Arial" w:cs="Arial" w:eastAsia="Arial" w:hAnsi="Arial"/>
          <w:sz w:val="16"/>
          <w:szCs w:val="16"/>
          <w:color w:val="auto"/>
        </w:rPr>
      </w:pPr>
    </w:p>
    <w:p>
      <w:pPr>
        <w:ind w:right="200" w:firstLine="436"/>
        <w:spacing w:after="0" w:line="255"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connection with any incurrence of Indebtedness, any sale, transfer or other disposition (or series of related sales, transfers or other dispositions), any Investment (or series of related Investments) or any Restricted Payment (or series of related Restricted Payments) in an aggregate amount in excess of $50,000,000, the Borrower Representative shall have delivered to the Administrative Agent a written certification as to (and reasonably detailed calculations of) the Fixed Charge Coverage Ratio demonstrating compliance with the foregoing clause (c) and of Combined Availability demonstrating compliance with the foregoing clause (b), which certification and calculations shall be reasonably satisfactory in form and detail to the Administrative Agent.</w:t>
      </w:r>
    </w:p>
    <w:p>
      <w:pPr>
        <w:spacing w:after="0" w:line="192"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170"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Pension Event</w:t>
      </w:r>
      <w:r>
        <w:rPr>
          <w:rFonts w:ascii="Arial" w:cs="Arial" w:eastAsia="Arial" w:hAnsi="Arial"/>
          <w:sz w:val="16"/>
          <w:szCs w:val="16"/>
          <w:color w:val="auto"/>
        </w:rPr>
        <w:t>” means: (a) the whole or partial withdrawal of a Canadian Loan Party from a Canadian Pension Plan during a plan year; or (b) the filing of a notice of interest to terminate in whole or in part a Canadian Pension Plan or the treatment of a Canadian Pension Plan amendment as a termination or partial termination; or (c) the institution of proceedings by any Governmental Authority to terminate in whole or in part or have a trustee appointed to administer a Canadian Pension Plan; or (d) any other event or condition which might reasonably constitute grounds for the termination of, winding up or partial termination of winding up or the appointment of trustee to administer, any Canadian Pension Plan.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Periodic Term SOFR Determination Day</w:t>
      </w:r>
      <w:r>
        <w:rPr>
          <w:rFonts w:ascii="Arial" w:cs="Arial" w:eastAsia="Arial" w:hAnsi="Arial"/>
          <w:sz w:val="18"/>
          <w:szCs w:val="18"/>
          <w:color w:val="auto"/>
        </w:rPr>
        <w:t>” has the meaning assigned to such term in the definition of “Term SOFR”.</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40" w:top="274" w:right="499" w:bottom="1440" w:gutter="0" w:footer="0" w:header="0"/>
        </w:sectPr>
      </w:pPr>
    </w:p>
    <w:bookmarkStart w:id="68" w:name="page69"/>
    <w:bookmarkEnd w:id="6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means, subject to Section 1.08, any Acquisition by any Borrower or Loan Guarantor in a transaction that satisfies each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requirements: (a) such Acquisition is not a hostile acquisition or contested by the Person to be acquired; (b) both before and after giving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effect to such Acquisition, each of the representations and warranties in the Loan Documents is true and correct in all material respects (or if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representation or warranty relates to an earlier date, as of such earlier date) (except that such materiality qualifier shall not be applicable to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representations and warranties that already are qualified or modified by materiality in the context thereof); (c) at the time of, and immediately after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giving effect to the consummation of such Acquisition, the conditions set forth in clauses (a), (b) and (d) of the definition of Payment Conditions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satisfied with respect to such Acquisition; (d) in the case of any Acquisition for Total Consideration in excess of $350,000,000, (i) as soon as available,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but not less than ten (10) days (or such shorter period as may be agreed to by the Administrative Agent in its Permitted Discretion) prior to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Acquisition, the Borrowers have provided the Administrative Agent with notice of such Acquisition and a summary of the material terms of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(ii) as soon as available, but not less than five (5) days (or such shorter period as may be agreed to by the Administrative Agent in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Permitted Discretion) prior to such Acquisition, the Borrowers shall have provided the Administrative Agent with a copy of all available business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information reasonably requested by Administrative Agent (in each case, to the extent available) including pro forma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statements of cash flow, and Aggregate Availability, Canadian Availability and U.S. Availability projections; and (e) to the extent the acquirer is a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Party, a material portion of the assets being acquired are located within the United States or Canada, or the Person whose Equity Interests are being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acquired is organized in a jurisdiction located within the United States or Canada; provided that, notwithstanding anything herein to the contrary,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Borrowers may designate any Acquisition that would otherwise qualify as a Permitted Acquisition but for the foregoing clause (e) as a Permitted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Acquisition so long as the aggregate Total Consideration for all Permitted Acquisitions so designated pursuant to this proviso does not exceed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$75,000,000. Unless otherwise consented to in writing by the Administrative Agent, in no event will assets acquired pursuant to a Permitted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constitute assets eligible for inclusion in the Aggregate Borrowing Base prior to completion of a field examination and other due diligence acceptable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Administrative Agent in its Permitted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Permitted Acquisition as to which the aggregate value of the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being acquired by any U.S. Loan Party or Canadian Loan Party is less than 10% of the Aggregate Borrowing Base, respectively (each determined prior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giving effect to any inclusion of any such assets in the Aggregate Borrowing Base, as applicable), Accounts or Inventory acquired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Permitted Acquisition which would otherwise constitute Eligible Accounts and Eligible Inventory may be included in the Aggregate Borrowing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Base, as applicable, without a field examination for a period of ninety (90) days after the consummation of such Permitted Acquisition, it being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understood that, unless otherwise agreed by the Administrative Agent in its Permitted Discretion, such Accounts and Inventory will cease to be included</w:t>
      </w:r>
    </w:p>
    <w:p>
      <w:pPr>
        <w:spacing w:after="0" w:line="226" w:lineRule="auto"/>
        <w:rPr>
          <w:sz w:val="20"/>
          <w:szCs w:val="20"/>
          <w:color w:val="auto"/>
        </w:rPr>
      </w:pPr>
      <w:r>
        <w:rPr>
          <w:rFonts w:ascii="Arial" w:cs="Arial" w:eastAsia="Arial" w:hAnsi="Arial"/>
          <w:sz w:val="16"/>
          <w:szCs w:val="16"/>
          <w:color w:val="auto"/>
        </w:rPr>
        <w:t>in the Aggregate Borrowing Base from and after the 90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after the consummation of such Permitted Acquisition if the Administrative Agent has not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received a field examination and other due diligence acceptable to the Administrative Agent by such 90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Discretion</w:t>
      </w:r>
      <w:r>
        <w:rPr>
          <w:rFonts w:ascii="Arial" w:cs="Arial" w:eastAsia="Arial" w:hAnsi="Arial"/>
          <w:sz w:val="18"/>
          <w:szCs w:val="18"/>
          <w:color w:val="auto"/>
        </w:rPr>
        <w:t>” means a determination made in good faith and in the exercise of reasonable (from the perspective of a secured asset-based lender) business judgment.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117" w:lineRule="exact"/>
        <w:rPr>
          <w:sz w:val="20"/>
          <w:szCs w:val="20"/>
          <w:color w:val="auto"/>
        </w:rPr>
      </w:pPr>
    </w:p>
    <w:p>
      <w:pPr>
        <w:ind w:right="640" w:firstLine="436"/>
        <w:spacing w:after="0" w:line="308" w:lineRule="auto"/>
        <w:tabs>
          <w:tab w:leader="none" w:pos="685" w:val="left"/>
        </w:tabs>
        <w:numPr>
          <w:ilvl w:val="0"/>
          <w:numId w:val="34"/>
        </w:numPr>
        <w:rPr>
          <w:rFonts w:ascii="Arial" w:cs="Arial" w:eastAsia="Arial" w:hAnsi="Arial"/>
          <w:sz w:val="17"/>
          <w:szCs w:val="17"/>
          <w:color w:val="auto"/>
        </w:rPr>
      </w:pPr>
      <w:r>
        <w:rPr>
          <w:rFonts w:ascii="Arial" w:cs="Arial" w:eastAsia="Arial" w:hAnsi="Arial"/>
          <w:sz w:val="17"/>
          <w:szCs w:val="17"/>
          <w:color w:val="auto"/>
        </w:rPr>
        <w:t>Liens imposed by law for (i) Taxes, assessments or other governmental charges that are not yet due, or (ii) Taxes, assessments or other governmental charges in an aggregate amount not in excess of $50,000,000 that are overdue by not more than 30 days;</w:t>
      </w:r>
    </w:p>
    <w:p>
      <w:pPr>
        <w:spacing w:after="0" w:line="38" w:lineRule="exact"/>
        <w:rPr>
          <w:rFonts w:ascii="Arial" w:cs="Arial" w:eastAsia="Arial" w:hAnsi="Arial"/>
          <w:sz w:val="17"/>
          <w:szCs w:val="17"/>
          <w:color w:val="auto"/>
        </w:rPr>
      </w:pPr>
    </w:p>
    <w:p>
      <w:pPr>
        <w:ind w:right="400" w:firstLine="436"/>
        <w:spacing w:after="0" w:line="342" w:lineRule="auto"/>
        <w:tabs>
          <w:tab w:leader="none" w:pos="6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and other like Liens imposed by law, arising in the ordinary course of business and securing obligations that are not overdue by more than 60 days or are being contested in compliance with Section 5.04;</w:t>
      </w:r>
    </w:p>
    <w:p>
      <w:pPr>
        <w:spacing w:after="0" w:line="15" w:lineRule="exact"/>
        <w:rPr>
          <w:rFonts w:ascii="Arial" w:cs="Arial" w:eastAsia="Arial" w:hAnsi="Arial"/>
          <w:sz w:val="16"/>
          <w:szCs w:val="16"/>
          <w:color w:val="auto"/>
        </w:rPr>
      </w:pPr>
    </w:p>
    <w:p>
      <w:pPr>
        <w:ind w:right="140" w:firstLine="436"/>
        <w:spacing w:after="0" w:line="277" w:lineRule="auto"/>
        <w:tabs>
          <w:tab w:leader="none" w:pos="6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unemployment insurance and other social security laws or regulations;</w:t>
      </w:r>
    </w:p>
    <w:p>
      <w:pPr>
        <w:spacing w:after="0" w:line="62" w:lineRule="exact"/>
        <w:rPr>
          <w:rFonts w:ascii="Arial" w:cs="Arial" w:eastAsia="Arial" w:hAnsi="Arial"/>
          <w:sz w:val="18"/>
          <w:szCs w:val="18"/>
          <w:color w:val="auto"/>
        </w:rPr>
      </w:pPr>
    </w:p>
    <w:p>
      <w:pPr>
        <w:ind w:firstLine="436"/>
        <w:spacing w:after="0" w:line="277"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69" w:name="page70"/>
    <w:bookmarkEnd w:id="69"/>
    <w:p>
      <w:pPr>
        <w:ind w:left="680" w:hanging="244"/>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judgment Liens in respect of judgments that do not constitute an Event of Default under clause (l) of Article VII; and</w:t>
      </w:r>
    </w:p>
    <w:p>
      <w:pPr>
        <w:spacing w:after="0" w:line="117" w:lineRule="exact"/>
        <w:rPr>
          <w:rFonts w:ascii="Arial" w:cs="Arial" w:eastAsia="Arial" w:hAnsi="Arial"/>
          <w:sz w:val="18"/>
          <w:szCs w:val="18"/>
          <w:color w:val="auto"/>
        </w:rPr>
      </w:pPr>
    </w:p>
    <w:p>
      <w:pPr>
        <w:ind w:firstLine="436"/>
        <w:spacing w:after="0" w:line="263" w:lineRule="auto"/>
        <w:tabs>
          <w:tab w:leader="none" w:pos="6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any Borrower or any Subsidiary;</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“Permitted Encumbrances” shall not include any Lien securing Indebtedness except with respect to clause (e) above (to the extent that any such judgment constitutes Indebtedness).</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Forward</w:t>
      </w:r>
      <w:r>
        <w:rPr>
          <w:rFonts w:ascii="Arial" w:cs="Arial" w:eastAsia="Arial" w:hAnsi="Arial"/>
          <w:sz w:val="18"/>
          <w:szCs w:val="18"/>
          <w:color w:val="auto"/>
        </w:rPr>
        <w:t>” means any Swap Agreements relating to forward sales of the common stock of any Loan Party pursuant to an effective registration statement of such Loan Party filed with the SEC (including any prospectus related thereto).</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117" w:lineRule="exact"/>
        <w:rPr>
          <w:sz w:val="20"/>
          <w:szCs w:val="20"/>
          <w:color w:val="auto"/>
        </w:rPr>
      </w:pPr>
    </w:p>
    <w:p>
      <w:pPr>
        <w:ind w:right="200" w:firstLine="436"/>
        <w:spacing w:after="0" w:line="263" w:lineRule="auto"/>
        <w:tabs>
          <w:tab w:leader="none" w:pos="6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of America or Canada (or by any agency thereof to the extent such obligations are backed by the full faith and credit of such government), in each case maturing within one year from the date of acquisition thereof;</w:t>
      </w:r>
    </w:p>
    <w:p>
      <w:pPr>
        <w:spacing w:after="0" w:line="75" w:lineRule="exact"/>
        <w:rPr>
          <w:rFonts w:ascii="Arial" w:cs="Arial" w:eastAsia="Arial" w:hAnsi="Arial"/>
          <w:sz w:val="18"/>
          <w:szCs w:val="18"/>
          <w:color w:val="auto"/>
        </w:rPr>
      </w:pPr>
    </w:p>
    <w:p>
      <w:pPr>
        <w:ind w:right="340" w:firstLine="436"/>
        <w:spacing w:after="0" w:line="277"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obtainable from S&amp;P or from Moody’s;</w:t>
      </w:r>
    </w:p>
    <w:p>
      <w:pPr>
        <w:spacing w:after="0" w:line="62" w:lineRule="exact"/>
        <w:rPr>
          <w:rFonts w:ascii="Arial" w:cs="Arial" w:eastAsia="Arial" w:hAnsi="Arial"/>
          <w:sz w:val="18"/>
          <w:szCs w:val="18"/>
          <w:color w:val="auto"/>
        </w:rPr>
      </w:pPr>
    </w:p>
    <w:p>
      <w:pPr>
        <w:ind w:right="40" w:firstLine="436"/>
        <w:spacing w:after="0" w:line="259" w:lineRule="auto"/>
        <w:tabs>
          <w:tab w:leader="none" w:pos="6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of America or Canada or any State or province thereof which has a combined capital and surplus and undivided profits of not less than $500,000,000 or any Lender or an Affiliate of a Lender;</w:t>
      </w:r>
    </w:p>
    <w:p>
      <w:pPr>
        <w:spacing w:after="0" w:line="78" w:lineRule="exact"/>
        <w:rPr>
          <w:rFonts w:ascii="Arial" w:cs="Arial" w:eastAsia="Arial" w:hAnsi="Arial"/>
          <w:sz w:val="18"/>
          <w:szCs w:val="18"/>
          <w:color w:val="auto"/>
        </w:rPr>
      </w:pPr>
    </w:p>
    <w:p>
      <w:pPr>
        <w:ind w:right="240" w:firstLine="436"/>
        <w:spacing w:after="0" w:line="277"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62" w:lineRule="exact"/>
        <w:rPr>
          <w:rFonts w:ascii="Arial" w:cs="Arial" w:eastAsia="Arial" w:hAnsi="Arial"/>
          <w:sz w:val="18"/>
          <w:szCs w:val="18"/>
          <w:color w:val="auto"/>
        </w:rPr>
      </w:pPr>
    </w:p>
    <w:p>
      <w:pPr>
        <w:ind w:right="640" w:firstLine="436"/>
        <w:spacing w:after="0" w:line="342" w:lineRule="auto"/>
        <w:tabs>
          <w:tab w:leader="none" w:pos="685" w:val="left"/>
        </w:tabs>
        <w:numPr>
          <w:ilvl w:val="0"/>
          <w:numId w:val="36"/>
        </w:numPr>
        <w:rPr>
          <w:rFonts w:ascii="Arial" w:cs="Arial" w:eastAsia="Arial" w:hAnsi="Arial"/>
          <w:sz w:val="16"/>
          <w:szCs w:val="16"/>
          <w:color w:val="auto"/>
        </w:rPr>
      </w:pPr>
      <w:r>
        <w:rPr>
          <w:rFonts w:ascii="Arial" w:cs="Arial" w:eastAsia="Arial" w:hAnsi="Arial"/>
          <w:sz w:val="16"/>
          <w:szCs w:val="16"/>
          <w:color w:val="auto"/>
        </w:rPr>
        <w:t>money market funds that (i) comply with the criteria set forth in Securities and Exchange Commission Rule 2a-7 under the Investment Company Act of 1940, (ii) are rated AAA by S&amp;P and AAA by Moody’s, and (iii) have portfolio assets of at least $500,000,000; and</w:t>
      </w:r>
    </w:p>
    <w:p>
      <w:pPr>
        <w:spacing w:after="0" w:line="15" w:lineRule="exact"/>
        <w:rPr>
          <w:rFonts w:ascii="Arial" w:cs="Arial" w:eastAsia="Arial" w:hAnsi="Arial"/>
          <w:sz w:val="16"/>
          <w:szCs w:val="16"/>
          <w:color w:val="auto"/>
        </w:rPr>
      </w:pPr>
    </w:p>
    <w:p>
      <w:pPr>
        <w:ind w:right="40" w:firstLine="436"/>
        <w:spacing w:after="0" w:line="277" w:lineRule="auto"/>
        <w:tabs>
          <w:tab w:leader="none" w:pos="6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Investments that are similar to the foregoing, are of comparable credit quality and are customarily used by companies in such jurisdiction for cash management purposes or approved by the Administrative Agent.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w:t>
      </w:r>
      <w:r>
        <w:rPr>
          <w:rFonts w:ascii="Arial" w:cs="Arial" w:eastAsia="Arial" w:hAnsi="Arial"/>
          <w:sz w:val="18"/>
          <w:szCs w:val="18"/>
          <w:color w:val="auto"/>
        </w:rPr>
        <w:t>” means any Lien permitted under Section 6.02.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Term Debt</w:t>
      </w:r>
      <w:r>
        <w:rPr>
          <w:rFonts w:ascii="Arial" w:cs="Arial" w:eastAsia="Arial" w:hAnsi="Arial"/>
          <w:sz w:val="18"/>
          <w:szCs w:val="18"/>
          <w:color w:val="auto"/>
        </w:rPr>
        <w:t>” shall have the meaning assigned to such term in Section 6.01(x).</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Term Debt Agent</w:t>
      </w:r>
      <w:r>
        <w:rPr>
          <w:rFonts w:ascii="Arial" w:cs="Arial" w:eastAsia="Arial" w:hAnsi="Arial"/>
          <w:sz w:val="16"/>
          <w:szCs w:val="16"/>
          <w:color w:val="auto"/>
        </w:rPr>
        <w:t>” means any person acting as administrative agent or collateral agent pursuant to Permitted Term Debt Documents.</w:t>
      </w:r>
    </w:p>
    <w:p>
      <w:pPr>
        <w:spacing w:after="0" w:line="248"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Term Debt Documents</w:t>
      </w:r>
      <w:r>
        <w:rPr>
          <w:rFonts w:ascii="Arial" w:cs="Arial" w:eastAsia="Arial" w:hAnsi="Arial"/>
          <w:sz w:val="18"/>
          <w:szCs w:val="18"/>
          <w:color w:val="auto"/>
        </w:rPr>
        <w:t>” means each Permitted Term Loan Agreement, each Permitted Term Debt Security Document, and each other “loan document,” “credit document” or document included in a similar term under and as defined in any such Permitted Term Loan Agreement (other than any Permitted Term Debt Intercreditor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70" w:name="page71"/>
    <w:bookmarkEnd w:id="70"/>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Permitted Term Debt Intercreditor Agreement</w:t>
      </w:r>
      <w:r>
        <w:rPr>
          <w:rFonts w:ascii="Arial" w:cs="Arial" w:eastAsia="Arial" w:hAnsi="Arial"/>
          <w:sz w:val="18"/>
          <w:szCs w:val="18"/>
          <w:color w:val="auto"/>
        </w:rPr>
        <w:t xml:space="preserve">” means any intercreditor agreement(s) executed and delivered after the Fourth Restatement Date by the Administrative Agent, any Permitted Term Debt Agent and the Borrower Representative in connection with any Permitted Term Debt in form and substance reasonably acceptable to the Administrative Agent (including, without limitation, any intercreditor agreement in substantially the form attached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 with such changes as shall be agreed upon among the parties thereto), providing, among other things, that (i) the Liens of the Administrative Agent on the ABL Priority Collateral shall be senior to the Liens of the Permitted Term Debt Agent on the ABL Priority Collateral and (ii) the Liens of the Permitted Term Debt Agent on the Term Loan Priority Collateral shall be senior to the Liens of the Administrative Agent on the Term Loan Priority Collateral.</w:t>
      </w:r>
    </w:p>
    <w:p>
      <w:pPr>
        <w:spacing w:after="0" w:line="19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Term Debt Security Documents</w:t>
      </w:r>
      <w:r>
        <w:rPr>
          <w:rFonts w:ascii="Arial" w:cs="Arial" w:eastAsia="Arial" w:hAnsi="Arial"/>
          <w:sz w:val="18"/>
          <w:szCs w:val="18"/>
          <w:color w:val="auto"/>
        </w:rPr>
        <w:t>” means any security documents, collateral documents or other similar documents entered into by any of the Loan Parties in connection with any Permitted Term Loan Agreement to create or perfect Liens on assets of the Loan Parties as security for the Permitted Term Debt, and any other documents that are designated under any Permitted Term Loan Agreement as “</w:t>
      </w:r>
      <w:r>
        <w:rPr>
          <w:rFonts w:ascii="Arial" w:cs="Arial" w:eastAsia="Arial" w:hAnsi="Arial"/>
          <w:sz w:val="18"/>
          <w:szCs w:val="18"/>
          <w:u w:val="single" w:color="auto"/>
          <w:color w:val="auto"/>
        </w:rPr>
        <w:t>Term Loan Security Documents</w:t>
      </w:r>
      <w:r>
        <w:rPr>
          <w:rFonts w:ascii="Arial" w:cs="Arial" w:eastAsia="Arial" w:hAnsi="Arial"/>
          <w:sz w:val="18"/>
          <w:szCs w:val="18"/>
          <w:color w:val="auto"/>
        </w:rPr>
        <w:t>” for purposes of a Permitted Term Debt Intercreditor Agreement.</w:t>
      </w:r>
    </w:p>
    <w:p>
      <w:pPr>
        <w:spacing w:after="0" w:line="18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Term Loan Agreement</w:t>
      </w:r>
      <w:r>
        <w:rPr>
          <w:rFonts w:ascii="Arial" w:cs="Arial" w:eastAsia="Arial" w:hAnsi="Arial"/>
          <w:sz w:val="18"/>
          <w:szCs w:val="18"/>
          <w:color w:val="auto"/>
        </w:rPr>
        <w:t>” means any credit agreement, loan agreement or other similar definitive document entered into by any Loan Party after the Fourth Restatement Date with respect to the Permitted Term Debt.</w:t>
      </w:r>
    </w:p>
    <w:p>
      <w:pPr>
        <w:spacing w:after="0" w:line="170"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TEU Capped Call Transaction</w:t>
      </w:r>
      <w:r>
        <w:rPr>
          <w:rFonts w:ascii="Arial" w:cs="Arial" w:eastAsia="Arial" w:hAnsi="Arial"/>
          <w:sz w:val="16"/>
          <w:szCs w:val="16"/>
          <w:color w:val="auto"/>
        </w:rPr>
        <w:t xml:space="preserve">” means any Swap Agreement in the form of a capped call option pursuant to which Holdings acquires an option requiring the counterparty thereto to deliver to Holdings shares of Holdings’ common stock (or other securities or property following a merger event or other change in the common stock of Holdings) from time to time upon exercise of such option entered into by Holdings in connection with the issuance of customary tangible equity units;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terms, conditions and covenants of each such Swap Agreement shall be customary for swap agreements of such type as determined by the Borrower Representative in good faith and (ii) the purchase price for such Permitted TEU Capped Call Transaction does not exceed the net proceeds received by Borrower Representative from the issuance of the related tangible equity units.</w:t>
      </w:r>
    </w:p>
    <w:p>
      <w:pPr>
        <w:spacing w:after="0" w:line="164"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TEU Purchase Contract</w:t>
      </w:r>
      <w:r>
        <w:rPr>
          <w:rFonts w:ascii="Arial" w:cs="Arial" w:eastAsia="Arial" w:hAnsi="Arial"/>
          <w:sz w:val="17"/>
          <w:szCs w:val="17"/>
          <w:color w:val="auto"/>
        </w:rPr>
        <w:t xml:space="preserve">” means one or more purchase contracts of Holdings that obligates Holdings to deliver a variable number of shares of Holdings’ common stock (or other securities or property following a merger event or other change in the common stock of Holdings) initially issued as a component of customary tangible equity units;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terms, conditions and covenants of such purchase contracts must be customary for purchase contracts of such type (as determined by the Borrower Representative in good faith).</w:t>
      </w:r>
    </w:p>
    <w:p>
      <w:pPr>
        <w:spacing w:after="0" w:line="17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unlimited liability company, trust, joint venture, association, company, partnership, Governmental Authority or other entity.</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any Borrower or any ERISA Affiliate is (or, if such plan were terminated, would under Section 4069 of ERISA be deemed to be) an “employer” as defined in Section 3(5) of ERISA.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Asset Regulations</w:t>
      </w:r>
      <w:r>
        <w:rPr>
          <w:rFonts w:ascii="Arial" w:cs="Arial" w:eastAsia="Arial" w:hAnsi="Arial"/>
          <w:sz w:val="17"/>
          <w:szCs w:val="17"/>
          <w:color w:val="auto"/>
        </w:rPr>
        <w:t>” means 29 CFR § 2510.3-101 et seq., as modified by Section 3(42) of ERISA, as amended from time to time.</w:t>
      </w:r>
    </w:p>
    <w:p>
      <w:pPr>
        <w:spacing w:after="0" w:line="237"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Cash</w:t>
      </w:r>
      <w:r>
        <w:rPr>
          <w:rFonts w:ascii="Arial" w:cs="Arial" w:eastAsia="Arial" w:hAnsi="Arial"/>
          <w:sz w:val="17"/>
          <w:szCs w:val="17"/>
          <w:color w:val="auto"/>
        </w:rPr>
        <w:t>” means cash of the Loan Parties (a) which has been pledged to the Administrative Agent as security for the Obligations and in which the Administrative Agent has a perfected, first priority Lien (subject to Permitted Encumbrances with respect to any Pledged Cash domiciled in a bank account in Canada and statutory liens in favor of the depository bank), and (b) which is on deposit in one or more segregated Deposit Accounts (which for avoidance of doubt shall not include any operating account of any Loan Party) maintained with Barclays or another commercial bank in the name of the Administrative Agent and under the sole dominion and control of the Administrative Agent (other than in the case of a bank account in Canada), each of which segregated Deposit Accounts is subject to a Control Agreement among Barclays or such bank (as applicable), as depositary, the Administrative Agent and the applicable Loan Party, which Control Agreement provides the Administrative Agent with exclusive dominion and full control over such Deposit Account and all cash held therein and does not permit the Loan Parties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71" w:name="page72"/>
    <w:bookmarkEnd w:id="71"/>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make withdrawals from or otherwise give instructions with respect to the investment or disposition of the cash held in such Deposit Account.</w:t>
      </w:r>
    </w:p>
    <w:p>
      <w:pPr>
        <w:spacing w:after="0" w:line="237"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PPSA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Personal Property Security Act</w:t>
      </w:r>
      <w:r>
        <w:rPr>
          <w:rFonts w:ascii="Arial" w:cs="Arial" w:eastAsia="Arial" w:hAnsi="Arial"/>
          <w:sz w:val="18"/>
          <w:szCs w:val="18"/>
          <w:color w:val="auto"/>
        </w:rPr>
        <w:t xml:space="preserve"> (Ontario), including the regulations thereto and related Minister’s Orders,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perfection or the effect of perfection or non-perfection or the priority of any Lien created hereunder or under any other Loan Document on the Collateral is governed by the personal property security legislation or other applicable legislation with respect to personal property security in effect in a jurisdiction in Canada other than the Province of Ontario, “PPSA” means the Personal Property Security Act or such other applicable legislation in effect from time to time in such other jurisdiction in Canada (including the Civil Code of Quebec) for purposes of the provisions hereof relating to such perfection, effect of perfection or non-perfection or priority.</w:t>
      </w:r>
    </w:p>
    <w:p>
      <w:pPr>
        <w:spacing w:after="0" w:line="192" w:lineRule="exact"/>
        <w:rPr>
          <w:sz w:val="20"/>
          <w:szCs w:val="20"/>
          <w:color w:val="auto"/>
        </w:rPr>
      </w:pPr>
    </w:p>
    <w:p>
      <w:pPr>
        <w:ind w:left="4" w:right="8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Equity</w:t>
      </w:r>
      <w:r>
        <w:rPr>
          <w:rFonts w:ascii="Arial" w:cs="Arial" w:eastAsia="Arial" w:hAnsi="Arial"/>
          <w:sz w:val="18"/>
          <w:szCs w:val="18"/>
          <w:color w:val="auto"/>
        </w:rPr>
        <w:t>” means preferred stock issued by WESCO International, Inc. in accordance with the terms of the Anixter Acquisition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Event</w:t>
      </w:r>
      <w:r>
        <w:rPr>
          <w:rFonts w:ascii="Arial" w:cs="Arial" w:eastAsia="Arial" w:hAnsi="Arial"/>
          <w:sz w:val="18"/>
          <w:szCs w:val="18"/>
          <w:color w:val="auto"/>
        </w:rPr>
        <w:t>” means:</w:t>
      </w:r>
    </w:p>
    <w:p>
      <w:pPr>
        <w:spacing w:after="0" w:line="117" w:lineRule="exact"/>
        <w:rPr>
          <w:sz w:val="20"/>
          <w:szCs w:val="20"/>
          <w:color w:val="auto"/>
        </w:rPr>
      </w:pPr>
    </w:p>
    <w:p>
      <w:pPr>
        <w:ind w:left="4" w:right="20" w:firstLine="436"/>
        <w:spacing w:after="0" w:line="277" w:lineRule="auto"/>
        <w:tabs>
          <w:tab w:leader="none" w:pos="6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sale, transfer or other disposition (including pursuant to a sale and leaseback transaction) of any ABL Priority Collateral of any Loan Party, other than dispositions described in Section 6.05(a), (b), (c), (e), (f), (g), (h), (i), (j), (k), (l), (m), (p), (r) and (s); or</w:t>
      </w:r>
    </w:p>
    <w:p>
      <w:pPr>
        <w:spacing w:after="0" w:line="62" w:lineRule="exact"/>
        <w:rPr>
          <w:rFonts w:ascii="Arial" w:cs="Arial" w:eastAsia="Arial" w:hAnsi="Arial"/>
          <w:sz w:val="18"/>
          <w:szCs w:val="18"/>
          <w:color w:val="auto"/>
        </w:rPr>
      </w:pPr>
    </w:p>
    <w:p>
      <w:pPr>
        <w:ind w:left="4" w:right="60" w:firstLine="436"/>
        <w:spacing w:after="0" w:line="277" w:lineRule="auto"/>
        <w:tabs>
          <w:tab w:leader="none" w:pos="699"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casualty or other insured damage to, or any taking under power of eminent domain or by condemnation or similar proceeding of, any ABL Priority Collateral of any Loan Party.</w:t>
      </w:r>
    </w:p>
    <w:p>
      <w:pPr>
        <w:spacing w:after="0" w:line="170"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Notice</w:t>
      </w:r>
      <w:r>
        <w:rPr>
          <w:rFonts w:ascii="Arial" w:cs="Arial" w:eastAsia="Arial" w:hAnsi="Arial"/>
          <w:sz w:val="18"/>
          <w:szCs w:val="18"/>
          <w:color w:val="auto"/>
        </w:rPr>
        <w:t xml:space="preserve">” means a notice by the Borrower Representative regarding a prepayemt in accordance with Section 2.11 substantially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attached hereto.</w:t>
      </w:r>
    </w:p>
    <w:p>
      <w:pPr>
        <w:spacing w:after="0" w:line="170"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w:t>
      </w:r>
    </w:p>
    <w:p>
      <w:pPr>
        <w:ind w:left="4" w:hanging="4"/>
        <w:spacing w:after="0" w:line="260" w:lineRule="auto"/>
        <w:tabs>
          <w:tab w:leader="none" w:pos="4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(Selected Interest Rates) as the “bank prime loan” rate or, if such rate is no longer quoted therein, any similar rate quoted therein (as determined by the Administrative Agent) or any similar release by the Federal Reserve Board (as determined by the Administrative Agent).</w:t>
      </w:r>
    </w:p>
    <w:p>
      <w:pPr>
        <w:spacing w:after="0" w:line="185" w:lineRule="exact"/>
        <w:rPr>
          <w:sz w:val="20"/>
          <w:szCs w:val="20"/>
          <w:color w:val="auto"/>
        </w:rPr>
      </w:pPr>
    </w:p>
    <w:p>
      <w:pPr>
        <w:ind w:left="4" w:right="4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Priority Payables Reserve</w:t>
      </w:r>
      <w:r>
        <w:rPr>
          <w:rFonts w:ascii="Arial" w:cs="Arial" w:eastAsia="Arial" w:hAnsi="Arial"/>
          <w:sz w:val="17"/>
          <w:szCs w:val="17"/>
          <w:color w:val="auto"/>
        </w:rPr>
        <w:t xml:space="preserve">” means reserves for amounts secured by any Liens, choate or inchoate, which rank or are capable of ranking in priority to the Administrative Agent’s or any other Canadian Lender Parties’ Liens, including without limitation, in the Permitted Discretion of the Administrative Agent, any such amounts due and not paid for wages, vacation pay, amounts due and not paid under any legislation relating to workers’ compensation or to employment insurance, all amounts deducted or withheld and not paid and remitted when due under the ITA, amounts currently or past due and not paid for realty, municipal or similar taxes (to the extent impacting personal or moveable property) and all amounts currently or past due and not contributed, remitted or paid to or under any Canadian Pension Plan or under the Canada Pension Plan, the </w:t>
      </w:r>
      <w:r>
        <w:rPr>
          <w:rFonts w:ascii="Arial" w:cs="Arial" w:eastAsia="Arial" w:hAnsi="Arial"/>
          <w:sz w:val="17"/>
          <w:szCs w:val="17"/>
          <w:i w:val="1"/>
          <w:iCs w:val="1"/>
          <w:color w:val="auto"/>
        </w:rPr>
        <w:t>Pension Benefits Act</w:t>
      </w:r>
      <w:r>
        <w:rPr>
          <w:rFonts w:ascii="Arial" w:cs="Arial" w:eastAsia="Arial" w:hAnsi="Arial"/>
          <w:sz w:val="17"/>
          <w:szCs w:val="17"/>
          <w:color w:val="auto"/>
        </w:rPr>
        <w:t xml:space="preserve"> (Ontario) or any similar legislation, other than amounts included in the Wage Earner Protection Act Reserve.</w:t>
      </w:r>
    </w:p>
    <w:p>
      <w:pPr>
        <w:spacing w:after="0" w:line="177"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 of Crime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Proceeds of Crime (Money Laundering) and Terrorist Financing Act</w:t>
      </w:r>
      <w:r>
        <w:rPr>
          <w:rFonts w:ascii="Arial" w:cs="Arial" w:eastAsia="Arial" w:hAnsi="Arial"/>
          <w:sz w:val="18"/>
          <w:szCs w:val="18"/>
          <w:color w:val="auto"/>
        </w:rPr>
        <w:t xml:space="preserve"> (Canada), as amended from time to time, and including all regulations thereunder.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has the meaning assigned to such term in Section 5.01(e).</w:t>
      </w:r>
    </w:p>
    <w:p>
      <w:pPr>
        <w:spacing w:after="0" w:line="225"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Protective Advance</w:t>
      </w:r>
      <w:r>
        <w:rPr>
          <w:rFonts w:ascii="Arial" w:cs="Arial" w:eastAsia="Arial" w:hAnsi="Arial"/>
          <w:sz w:val="18"/>
          <w:szCs w:val="18"/>
          <w:color w:val="auto"/>
        </w:rPr>
        <w:t>” means, individually and collectively as the context may require, the U.S. Protective Advances and the Canadian Protective Advances.</w:t>
      </w:r>
    </w:p>
    <w:p>
      <w:pPr>
        <w:spacing w:after="0" w:line="170"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4"/>
          </w:cols>
          <w:pgMar w:left="436" w:top="274" w:right="439" w:bottom="1440" w:gutter="0" w:footer="0" w:header="0"/>
        </w:sectPr>
      </w:pPr>
    </w:p>
    <w:bookmarkStart w:id="72" w:name="page73"/>
    <w:bookmarkEnd w:id="72"/>
    <w:p>
      <w:pPr>
        <w:ind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88"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 Subsidiaries</w:t>
      </w:r>
      <w:r>
        <w:rPr>
          <w:rFonts w:ascii="Arial" w:cs="Arial" w:eastAsia="Arial" w:hAnsi="Arial"/>
          <w:sz w:val="18"/>
          <w:szCs w:val="18"/>
          <w:color w:val="auto"/>
        </w:rPr>
        <w:t>” means WESCO Real Estate I, LLC, WESCO Real Estate II, LLC, WESCO Real Estate III, LLC, and WESCO Real Estate IV, LLC, each of which is a Delaware limited liability company.</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Intercreditor Agreement</w:t>
      </w:r>
      <w:r>
        <w:rPr>
          <w:rFonts w:ascii="Arial" w:cs="Arial" w:eastAsia="Arial" w:hAnsi="Arial"/>
          <w:sz w:val="16"/>
          <w:szCs w:val="16"/>
          <w:color w:val="auto"/>
        </w:rPr>
        <w:t>” means (i) that certain Intercreditor Agreement, dated as of the Fourth Restatement Date, by and among the Administrative Agent, the Borrower Representative, WESCO Receivables and PNC Bank National Association as receivables agent, as the same may be amended, supplemented or otherwise modified from time to time and (ii) any other similar intercreditor agreement(s) executed and delivered after the Fourth Restatement Date by the Administrative Agent in connection with the Receivables Securitization Agreements.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Securitization</w:t>
      </w:r>
      <w:r>
        <w:rPr>
          <w:rFonts w:ascii="Arial" w:cs="Arial" w:eastAsia="Arial" w:hAnsi="Arial"/>
          <w:sz w:val="18"/>
          <w:szCs w:val="18"/>
          <w:color w:val="auto"/>
        </w:rPr>
        <w:t>” means the transactions contemplated by the Receivables Securitization Agreements.</w:t>
      </w:r>
    </w:p>
    <w:p>
      <w:pPr>
        <w:spacing w:after="0" w:line="225"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Securitization Agreements</w:t>
      </w:r>
      <w:r>
        <w:rPr>
          <w:rFonts w:ascii="Arial" w:cs="Arial" w:eastAsia="Arial" w:hAnsi="Arial"/>
          <w:sz w:val="16"/>
          <w:szCs w:val="16"/>
          <w:color w:val="auto"/>
        </w:rPr>
        <w:t>” means (a) that certain Fifth Amended and Restated Receivables Purchase Agreement, dated as of the Fourth Restatement Date, among WESCO Receivables, as seller, the Borrower Representative, as servicer, the purchasers from time to time party thereto, and PNC Bank National Association, as administrator, (b) that certain Second Amended and Restated Purchase and Sale Agreement, dated as of the Fourth Restatement Date, among WESCO Receivables, the Borrower Representative and the other parties from time to time party thereto, and (c) all other documents executed or delivered in connection therewith, in each case, as amended, restated, supplemented, modified, renewed, refinanced or replaced from time to time in accordance with Section 6.11 (including, for greater certainty, amendments, renewals, refinancings and replacements which increase the maximum amount available under such facilities which are not prohibited by Section 6.11).</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(b) any Lender and (c) any Issuing Bank, as applicable.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set forth in Section 9.04.</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and advisors of such Person and such Person’s Affiliates.</w:t>
      </w:r>
    </w:p>
    <w:p>
      <w:pPr>
        <w:spacing w:after="0" w:line="170" w:lineRule="exact"/>
        <w:rPr>
          <w:sz w:val="20"/>
          <w:szCs w:val="20"/>
          <w:color w:val="auto"/>
        </w:rPr>
      </w:pPr>
    </w:p>
    <w:p>
      <w:pPr>
        <w:ind w:right="5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Governmental Body</w:t>
      </w:r>
      <w:r>
        <w:rPr>
          <w:rFonts w:ascii="Arial" w:cs="Arial" w:eastAsia="Arial" w:hAnsi="Arial"/>
          <w:sz w:val="17"/>
          <w:szCs w:val="17"/>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46"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Rate</w:t>
      </w:r>
      <w:r>
        <w:rPr>
          <w:rFonts w:ascii="Arial" w:cs="Arial" w:eastAsia="Arial" w:hAnsi="Arial"/>
          <w:sz w:val="18"/>
          <w:szCs w:val="18"/>
          <w:color w:val="auto"/>
        </w:rPr>
        <w:t>” shall mean (</w:t>
      </w:r>
      <w:r>
        <w:rPr>
          <w:rFonts w:ascii="Arial" w:cs="Arial" w:eastAsia="Arial" w:hAnsi="Arial"/>
          <w:sz w:val="18"/>
          <w:szCs w:val="18"/>
          <w:u w:val="single" w:color="auto"/>
          <w:color w:val="auto"/>
        </w:rPr>
        <w:t>a</w:t>
      </w:r>
      <w:r>
        <w:rPr>
          <w:rFonts w:ascii="Arial" w:cs="Arial" w:eastAsia="Arial" w:hAnsi="Arial"/>
          <w:sz w:val="18"/>
          <w:szCs w:val="18"/>
          <w:color w:val="auto"/>
        </w:rPr>
        <w:t>) with respect to any Term SOFR Borrowing, Term SOFR, (</w:t>
      </w:r>
      <w:r>
        <w:rPr>
          <w:rFonts w:ascii="Arial" w:cs="Arial" w:eastAsia="Arial" w:hAnsi="Arial"/>
          <w:sz w:val="18"/>
          <w:szCs w:val="18"/>
          <w:u w:val="single" w:color="auto"/>
          <w:color w:val="auto"/>
        </w:rPr>
        <w:t>b</w:t>
      </w:r>
      <w:r>
        <w:rPr>
          <w:rFonts w:ascii="Arial" w:cs="Arial" w:eastAsia="Arial" w:hAnsi="Arial"/>
          <w:sz w:val="18"/>
          <w:szCs w:val="18"/>
          <w:color w:val="auto"/>
        </w:rPr>
        <w:t>) with respect to any Daily Simple SOFR Borrowing, Daily Simple SOFR, (</w:t>
      </w:r>
      <w:r>
        <w:rPr>
          <w:rFonts w:ascii="Arial" w:cs="Arial" w:eastAsia="Arial" w:hAnsi="Arial"/>
          <w:sz w:val="18"/>
          <w:szCs w:val="18"/>
          <w:u w:val="single" w:color="auto"/>
          <w:color w:val="auto"/>
        </w:rPr>
        <w:t>c</w:t>
      </w:r>
      <w:r>
        <w:rPr>
          <w:rFonts w:ascii="Arial" w:cs="Arial" w:eastAsia="Arial" w:hAnsi="Arial"/>
          <w:sz w:val="18"/>
          <w:szCs w:val="18"/>
          <w:color w:val="auto"/>
        </w:rPr>
        <w:t>) with respect to any CDOR Rate Borrowing, the CDOR Rate, as applicable.</w:t>
      </w:r>
    </w:p>
    <w:p>
      <w:pPr>
        <w:spacing w:after="0" w:line="170" w:lineRule="exact"/>
        <w:rPr>
          <w:sz w:val="20"/>
          <w:szCs w:val="20"/>
          <w:color w:val="auto"/>
        </w:rPr>
      </w:pPr>
    </w:p>
    <w:p>
      <w:pPr>
        <w:ind w:right="2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Rent Reserve</w:t>
      </w:r>
      <w:r>
        <w:rPr>
          <w:rFonts w:ascii="Arial" w:cs="Arial" w:eastAsia="Arial" w:hAnsi="Arial"/>
          <w:sz w:val="17"/>
          <w:szCs w:val="17"/>
          <w:color w:val="auto"/>
        </w:rPr>
        <w:t>” means with respect to any leased facility, warehouse, distribution center, depot or other place where any Inventory is located, a reserve equal to three (3) months’ rent at such leased facility, warehouse, distribution center, depot or other place.</w:t>
      </w:r>
    </w:p>
    <w:p>
      <w:pPr>
        <w:spacing w:after="0" w:line="146"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Report</w:t>
      </w:r>
      <w:r>
        <w:rPr>
          <w:rFonts w:ascii="Arial" w:cs="Arial" w:eastAsia="Arial" w:hAnsi="Arial"/>
          <w:sz w:val="17"/>
          <w:szCs w:val="17"/>
          <w:color w:val="auto"/>
        </w:rPr>
        <w:t>” means reports prepared by the Administrative Agent or another Person showing the results of appraisals, field examinations or audits pertaining to the assets of the Loan Parties from information furnished by or on behalf of the Borrowers, after the Administrative Agent has exercised its rights of inspection pursuant to this Agreement, which Reports may be distributed to the Lenders by the Administrative Agent.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73" w:name="page74"/>
    <w:bookmarkEnd w:id="73"/>
    <w:p>
      <w:pPr>
        <w:ind w:left="4" w:right="20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Required Lenders</w:t>
      </w:r>
      <w:r>
        <w:rPr>
          <w:rFonts w:ascii="Arial" w:cs="Arial" w:eastAsia="Arial" w:hAnsi="Arial"/>
          <w:sz w:val="16"/>
          <w:szCs w:val="16"/>
          <w:color w:val="auto"/>
        </w:rPr>
        <w:t>” means, at any time, Lenders (other than Defaulting Lenders) having Aggregate Credit Exposure and unused Revolving Commitments representing more than 50% of the sum of the total Aggregate Credit Exposure and total unused Revolving Commitments at such time.</w:t>
      </w:r>
    </w:p>
    <w:p>
      <w:pPr>
        <w:spacing w:after="0" w:line="124" w:lineRule="exact"/>
        <w:rPr>
          <w:sz w:val="20"/>
          <w:szCs w:val="20"/>
          <w:color w:val="auto"/>
        </w:rPr>
      </w:pPr>
    </w:p>
    <w:p>
      <w:pPr>
        <w:jc w:val="both"/>
        <w:ind w:left="4"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Requirement of Law</w:t>
      </w:r>
      <w:r>
        <w:rPr>
          <w:rFonts w:ascii="Arial" w:cs="Arial" w:eastAsia="Arial" w:hAnsi="Arial"/>
          <w:sz w:val="17"/>
          <w:szCs w:val="17"/>
          <w:color w:val="auto"/>
        </w:rPr>
        <w:t>” means,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65"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Reserves</w:t>
      </w:r>
      <w:r>
        <w:rPr>
          <w:rFonts w:ascii="Arial" w:cs="Arial" w:eastAsia="Arial" w:hAnsi="Arial"/>
          <w:sz w:val="16"/>
          <w:szCs w:val="16"/>
          <w:color w:val="auto"/>
        </w:rPr>
        <w:t xml:space="preserve">” means any and all reserves which the Administrative Agent deems necessary, in its Permitted Discretion, to maintain (including, without limitation, reserves for accrued and unpaid interest on the Secured Obligations, Priority Payables Reserves, Wage Earner Protection Act Reserve, Banking Services Reserves, Foreign Credit Reserves, Rent Reserves, Dilution Reserves, reserves for consignee’s, warehousemen’s and bailee’s charges, reserves for Inventory shrinkage, reserves for customs charges and shipping charges related to any Inventory in transit, reserves for Swap Agreement Obligations, reserves for any Unfunded Pension Liability in any Canadian Pension Plan, and reserves for taxes, fees, assessments, and other governmental charges) with respect to the Collateral or any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any reserve (including, without limitation, any Priority Payables Reserve, Wage Earner Protection Act Reserve, Banking Services Reserve, Foreign Credit Reserve, reserve for Swap Agreement Obligations or reserve for Unfunded Pension Liability in any Canadian Pension Plan) with respect to any specific item, claim, liability or potential claim or liability is deducted by the Administrative Agent in the computation of the U.S. Borrowing Base, such reserve for such specific item, claim, liability or potential claim or liability shall not be deducted in the computation of the Canadian Borrowing Base, and vice-versa, it being the intention of the parties to avoid duplication of reserves with respect to any specific item, claim, liability or potential claim or liability in the computation of the Aggregate Borrowing Base, Canadian Borrowing Base and U.S. Borrowing Base;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may reserve any amount of any Eligible Securitization Receivables in excess of $40,000,000 for which a surety bond has been issued by any Loan Party.</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xml:space="preserve">” means any dividend or other distribution (whether in cash, securities or other property) with respect to any Equity Interests in any Loan Party, or any payment (whether in cash, securities or other property), including any sinking fund or similar deposit, on account of the purchase, redemption, retirement, acquisition, cancellation or termination of any such Equity Interests in Holdings or any option, warrant or other right to acquire any such Equity Interests in Holdings; </w:t>
      </w:r>
      <w:r>
        <w:rPr>
          <w:rFonts w:ascii="Arial" w:cs="Arial" w:eastAsia="Arial" w:hAnsi="Arial"/>
          <w:sz w:val="18"/>
          <w:szCs w:val="18"/>
          <w:u w:val="single" w:color="auto"/>
          <w:color w:val="auto"/>
        </w:rPr>
        <w:t>provided</w:t>
      </w:r>
      <w:r>
        <w:rPr>
          <w:rFonts w:ascii="Arial" w:cs="Arial" w:eastAsia="Arial" w:hAnsi="Arial"/>
          <w:sz w:val="18"/>
          <w:szCs w:val="18"/>
          <w:color w:val="auto"/>
        </w:rPr>
        <w:t>, that any payment with respect to, or early unwind or settlement of, any Permitted TEU Capped Call Transaction, in each case, in accordance with the terms of the agreement governing such Permitted TEU Capped Call Transaction shall not constitute a Restricted Payment.</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Holdings other than an Unrestricted Subsidiary.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Revaluation Date</w:t>
      </w:r>
      <w:r>
        <w:rPr>
          <w:rFonts w:ascii="Arial" w:cs="Arial" w:eastAsia="Arial" w:hAnsi="Arial"/>
          <w:sz w:val="16"/>
          <w:szCs w:val="16"/>
          <w:color w:val="auto"/>
        </w:rPr>
        <w:t>” means (a) with respect to any Loan denominated in Canadian Dollars, each of the following: (i) each date of a Borrowing,</w:t>
      </w:r>
    </w:p>
    <w:p>
      <w:pPr>
        <w:spacing w:after="0" w:line="46" w:lineRule="exact"/>
        <w:rPr>
          <w:sz w:val="20"/>
          <w:szCs w:val="20"/>
          <w:color w:val="auto"/>
        </w:rPr>
      </w:pPr>
    </w:p>
    <w:p>
      <w:pPr>
        <w:ind w:left="4" w:right="40" w:hanging="4"/>
        <w:spacing w:after="0" w:line="290" w:lineRule="auto"/>
        <w:tabs>
          <w:tab w:leader="none" w:pos="269" w:val="left"/>
        </w:tabs>
        <w:numPr>
          <w:ilvl w:val="0"/>
          <w:numId w:val="39"/>
        </w:numPr>
        <w:rPr>
          <w:rFonts w:ascii="Arial" w:cs="Arial" w:eastAsia="Arial" w:hAnsi="Arial"/>
          <w:sz w:val="16"/>
          <w:szCs w:val="16"/>
          <w:color w:val="auto"/>
        </w:rPr>
      </w:pPr>
      <w:r>
        <w:rPr>
          <w:rFonts w:ascii="Arial" w:cs="Arial" w:eastAsia="Arial" w:hAnsi="Arial"/>
          <w:sz w:val="16"/>
          <w:szCs w:val="16"/>
          <w:color w:val="auto"/>
        </w:rPr>
        <w:t>each date of a continuation of such Loan pursuant to Section 2.08, (iii) the date any Borrowing Base Certificate is delivered, and (iv) such additional dates as the Administrative Agent shall determine or the Required Lenders shall require, and (b) with respect to any Letter of Credit denominated in Canadian Dollars or any LC Alternative Currency, each of the following: (i) each date of issuance of such Letter of Credit, (ii) each date of an amendment of such Letter of Credit having the effect of increasing the amount thereof (solely with respect to the increased amount), (iii) each date of any payment by the applicable Issuing Bank under such Letter of Credit, (iv) the date any Borrowing Base Certificate is delivered and (v) such additional dates as the Administrative Agent or the applicable Issuing Bank shall determine or the Required Lenders shall require.</w:t>
      </w:r>
    </w:p>
    <w:p>
      <w:pPr>
        <w:spacing w:after="0" w:line="164"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Commitment</w:t>
      </w:r>
      <w:r>
        <w:rPr>
          <w:rFonts w:ascii="Arial" w:cs="Arial" w:eastAsia="Arial" w:hAnsi="Arial"/>
          <w:sz w:val="16"/>
          <w:szCs w:val="16"/>
          <w:color w:val="auto"/>
        </w:rPr>
        <w:t xml:space="preserve">” means, with respect to each Lender, the commitment of such Lender to make Revolving Loans and to acquire participations in Letters of Credit, Overadvances and Swingline Loans hereunder, which commitment may be (a) comprised of both a U.S. Commitment and a Canadian Commitment or solely a U.S. Commitment, as set forth on the </w:t>
      </w:r>
      <w:r>
        <w:rPr>
          <w:rFonts w:ascii="Arial" w:cs="Arial" w:eastAsia="Arial" w:hAnsi="Arial"/>
          <w:sz w:val="16"/>
          <w:szCs w:val="16"/>
          <w:u w:val="single" w:color="auto"/>
          <w:color w:val="auto"/>
        </w:rPr>
        <w:t>Revolving Commitment Schedule</w:t>
      </w:r>
      <w:r>
        <w:rPr>
          <w:rFonts w:ascii="Arial" w:cs="Arial" w:eastAsia="Arial" w:hAnsi="Arial"/>
          <w:sz w:val="16"/>
          <w:szCs w:val="16"/>
          <w:color w:val="auto"/>
        </w:rPr>
        <w:t xml:space="preserve"> or in the Assignment and Assumption pursuant to which such Lender shall have assumed its Revolving Commitment, as applicable, and (b) reduced or increased from</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4"/>
          </w:cols>
          <w:pgMar w:left="436" w:top="274" w:right="479" w:bottom="1440" w:gutter="0" w:footer="0" w:header="0"/>
        </w:sectPr>
      </w:pPr>
    </w:p>
    <w:bookmarkStart w:id="74" w:name="page75"/>
    <w:bookmarkEnd w:id="74"/>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time to time pursuant to (i) Section 2.09 and (ii) assignments by or to such Lender pursuant to Section 9.04. As of the Fourth Restatement Date, the Aggregate Revolving Commitments total $1,100,000,000. As of the 2021 Additional Revolving Commitments Availability Date, the Aggregate Revolving Commitments total $1,200,000,000. As of the </w:t>
      </w:r>
      <w:r>
        <w:rPr>
          <w:rFonts w:ascii="Arial" w:cs="Arial" w:eastAsia="Arial" w:hAnsi="Arial"/>
          <w:sz w:val="18"/>
          <w:szCs w:val="18"/>
          <w:b w:val="1"/>
          <w:bCs w:val="1"/>
          <w:color w:val="FF0000"/>
          <w:strike w:val="1"/>
        </w:rPr>
        <w:t>Second</w:t>
      </w:r>
      <w:r>
        <w:rPr>
          <w:rFonts w:ascii="Arial" w:cs="Arial" w:eastAsia="Arial" w:hAnsi="Arial"/>
          <w:sz w:val="18"/>
          <w:szCs w:val="18"/>
          <w:b w:val="1"/>
          <w:bCs w:val="1"/>
          <w:u w:val="single" w:color="auto"/>
          <w:color w:val="0000FF"/>
        </w:rPr>
        <w:t>Third</w:t>
      </w:r>
      <w:r>
        <w:rPr>
          <w:rFonts w:ascii="Arial" w:cs="Arial" w:eastAsia="Arial" w:hAnsi="Arial"/>
          <w:sz w:val="18"/>
          <w:szCs w:val="18"/>
          <w:color w:val="auto"/>
        </w:rPr>
        <w:t xml:space="preserve"> Amendment Effective Date, the Aggregate Revolving Commitments total $</w:t>
      </w:r>
      <w:r>
        <w:rPr>
          <w:rFonts w:ascii="Arial" w:cs="Arial" w:eastAsia="Arial" w:hAnsi="Arial"/>
          <w:sz w:val="18"/>
          <w:szCs w:val="18"/>
          <w:b w:val="1"/>
          <w:bCs w:val="1"/>
          <w:color w:val="FF0000"/>
          <w:strike w:val="1"/>
        </w:rPr>
        <w:t>1,350,000,000</w:t>
      </w:r>
      <w:r>
        <w:rPr>
          <w:rFonts w:ascii="Arial" w:cs="Arial" w:eastAsia="Arial" w:hAnsi="Arial"/>
          <w:sz w:val="18"/>
          <w:szCs w:val="18"/>
          <w:b w:val="1"/>
          <w:bCs w:val="1"/>
          <w:u w:val="single" w:color="auto"/>
          <w:color w:val="0000FF"/>
        </w:rPr>
        <w:t>1,525,000,000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-137795</wp:posOffset>
            </wp:positionV>
            <wp:extent cx="2825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-635</wp:posOffset>
            </wp:positionV>
            <wp:extent cx="6597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Schedule</w:t>
      </w:r>
      <w:r>
        <w:rPr>
          <w:rFonts w:ascii="Arial" w:cs="Arial" w:eastAsia="Arial" w:hAnsi="Arial"/>
          <w:sz w:val="18"/>
          <w:szCs w:val="18"/>
          <w:color w:val="auto"/>
        </w:rPr>
        <w:t>” means the Schedule attached hereto identified as such.</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means, individually and collectively as the context may require, the U.S. Revolving Exposure and the Canadian Revolving Exposure.</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as of any date of determination, a Lender with a Revolving Commitment or, if the Revolving Commitments have terminated or expired, a Lender with Revolving Exposure.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made pursuant to Section 2.01.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division of The McGraw Hill Companies,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or territory which is itself the subject or target of Sanctions.</w:t>
      </w:r>
    </w:p>
    <w:p>
      <w:pPr>
        <w:spacing w:after="0" w:line="22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the Office of Foreign Assets Control of the U.S. Department of the Treasury, the U.S. Department of State, the Government of Canada, the government of any province or territory of Canada or by the United Nations Security Council, the European Union or any European Union member state, or Her Majesty’s Treasury of the United Kingdom, (b) any Person that constitutes a Canadian Blocked Person, (c) any Person operating, organized or resident in a Sanctioned Country, (d) any Person owned or controlled by any such Person or Persons described in the foregoing clauses (a) through (c), or (e) any Person otherwise the subject of any Sanctions.</w:t>
      </w:r>
    </w:p>
    <w:p>
      <w:pPr>
        <w:spacing w:after="0" w:line="192"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(b) the United Nations Security Council, the European Union, any European Union member state or Her Majesty’s Treasury of the United Kingdom, or (c) the Government of Canada.</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Maturity Date</w:t>
      </w:r>
      <w:r>
        <w:rPr>
          <w:rFonts w:ascii="Arial" w:cs="Arial" w:eastAsia="Arial" w:hAnsi="Arial"/>
          <w:sz w:val="18"/>
          <w:szCs w:val="18"/>
          <w:color w:val="auto"/>
        </w:rPr>
        <w:t>” means March 1, 2027.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of the U.S.</w:t>
      </w:r>
    </w:p>
    <w:p>
      <w:pPr>
        <w:spacing w:after="0" w:line="225"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Amendment</w:t>
      </w:r>
      <w:r>
        <w:rPr>
          <w:rFonts w:ascii="Arial" w:cs="Arial" w:eastAsia="Arial" w:hAnsi="Arial"/>
          <w:sz w:val="16"/>
          <w:szCs w:val="16"/>
          <w:color w:val="auto"/>
        </w:rPr>
        <w:t>” means that certain Second Amendment to Fourth Amended and Restated Credit Agreement, dated as of the Second Amendment Effective Date, by and among the Borrowers, the other Loan Parties party thereto, the Lenders party thereto and the Administrative Agent.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means March 1, 2022.</w:t>
      </w:r>
    </w:p>
    <w:p>
      <w:pPr>
        <w:spacing w:after="0" w:line="22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Indebtedness</w:t>
      </w:r>
      <w:r>
        <w:rPr>
          <w:rFonts w:ascii="Arial" w:cs="Arial" w:eastAsia="Arial" w:hAnsi="Arial"/>
          <w:sz w:val="18"/>
          <w:szCs w:val="18"/>
          <w:color w:val="auto"/>
        </w:rPr>
        <w:t>” means, at any date, the portion of Total Funded Indebtedness that is secured by a Lien on any property or assets of Holdings or any of its Restricted Subsidiaries at such date.</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Leverage Ratio</w:t>
      </w:r>
      <w:r>
        <w:rPr>
          <w:rFonts w:ascii="Arial" w:cs="Arial" w:eastAsia="Arial" w:hAnsi="Arial"/>
          <w:sz w:val="18"/>
          <w:szCs w:val="18"/>
          <w:color w:val="auto"/>
        </w:rPr>
        <w:t xml:space="preserve">” means, on any date, the ratio of (a)(i) Secured Indebtedness on such date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(ii) the aggregate amount not in excess of $50,000,000 of unrestricted cash held at such time in Deposit Accounts subject to Control Agreements to (b) EBITDA for the then most recently ended period of four consecutive fiscal quarters for which financial statements are available,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any Borrower or any Restricted Subsidiary makes any acquisition permitted pursuant to Section 6.04 or disposition of assets outside the ordinary course of business that is permitted by Section 6.05 during the period of four fiscal quarters of Holdings most recently ended, the Secured Leverage Ratio shall be calculated after giving pro forma effect thereto (including pro forma</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40"/>
          </w:cols>
          <w:pgMar w:left="440" w:top="274" w:right="519" w:bottom="1440" w:gutter="0" w:footer="0" w:header="0"/>
        </w:sectPr>
      </w:pPr>
    </w:p>
    <w:bookmarkStart w:id="75" w:name="page76"/>
    <w:bookmarkEnd w:id="75"/>
    <w:p>
      <w:pPr>
        <w:ind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adjustments arising out of events which are directly attributable to the acquisition or the disposition of assets, are factually supportable and are expected to have a continuing impact, in each case as determined on a basis consistent with Article 11 of Regulation S-X of the Securities Act of 1933, as amended, as interpreted by the SEC, and as certified by a Financial Officer of the Borrower Representative), as if such acquisition or such disposition (and any related incurrence, repayment or assumption of Secured Indebtedness) had occurred in the first day of such four quarter period.</w:t>
      </w:r>
    </w:p>
    <w:p>
      <w:pPr>
        <w:spacing w:after="0" w:line="15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individually and collectively as the context may require, the U.S. Secured Obligations and the Canadian Secured Obligations.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Account</w:t>
      </w:r>
      <w:r>
        <w:rPr>
          <w:rFonts w:ascii="Arial" w:cs="Arial" w:eastAsia="Arial" w:hAnsi="Arial"/>
          <w:sz w:val="17"/>
          <w:szCs w:val="17"/>
          <w:color w:val="auto"/>
        </w:rPr>
        <w:t>” has the meaning assigned to such term in Article 8 of the UCC or the Securities Transfer Act of Ontario, as applicable.</w:t>
      </w:r>
    </w:p>
    <w:p>
      <w:pPr>
        <w:spacing w:after="0" w:line="237"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Securitization Additional Availability</w:t>
      </w:r>
      <w:r>
        <w:rPr>
          <w:rFonts w:ascii="Arial" w:cs="Arial" w:eastAsia="Arial" w:hAnsi="Arial"/>
          <w:sz w:val="17"/>
          <w:szCs w:val="17"/>
          <w:color w:val="auto"/>
        </w:rPr>
        <w:t xml:space="preserve">” means (a) 85% of the book value of Eligible Securitization Receivables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(b) Reserves,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(c) the greater of (i) the amount of credit actually extended to WESCO Receivables by the Securitization Lenders, and (ii) the Securitization Maximum Potential Capital (but not in excess of the Securitization Purchase Limit);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in no event shall Securitization Additional Availability exceed the lesser of (A) $</w:t>
      </w:r>
      <w:r>
        <w:rPr>
          <w:rFonts w:ascii="Arial" w:cs="Arial" w:eastAsia="Arial" w:hAnsi="Arial"/>
          <w:sz w:val="17"/>
          <w:szCs w:val="17"/>
          <w:b w:val="1"/>
          <w:bCs w:val="1"/>
          <w:color w:val="FF0000"/>
          <w:strike w:val="1"/>
        </w:rPr>
        <w:t>236,250,000</w:t>
      </w:r>
      <w:r>
        <w:rPr>
          <w:rFonts w:ascii="Arial" w:cs="Arial" w:eastAsia="Arial" w:hAnsi="Arial"/>
          <w:sz w:val="17"/>
          <w:szCs w:val="17"/>
          <w:b w:val="1"/>
          <w:bCs w:val="1"/>
          <w:u w:val="single" w:color="auto"/>
          <w:color w:val="0000FF"/>
        </w:rPr>
        <w:t>266,875,000</w:t>
      </w:r>
      <w:r>
        <w:rPr>
          <w:rFonts w:ascii="Arial" w:cs="Arial" w:eastAsia="Arial" w:hAnsi="Arial"/>
          <w:sz w:val="17"/>
          <w:szCs w:val="17"/>
          <w:color w:val="auto"/>
        </w:rPr>
        <w:t xml:space="preserve"> and (B) seventeen and one half percent (17.5%) of the lesser at such time of (1) the Aggregate Revolving Commitments and (2) the Aggregate Borrowing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-144145</wp:posOffset>
            </wp:positionV>
            <wp:extent cx="5657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56" w:lineRule="exact"/>
        <w:rPr>
          <w:sz w:val="20"/>
          <w:szCs w:val="20"/>
          <w:color w:val="auto"/>
        </w:rPr>
      </w:pPr>
    </w:p>
    <w:p>
      <w:pPr>
        <w:jc w:val="both"/>
        <w:ind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Availability</w:t>
      </w:r>
      <w:r>
        <w:rPr>
          <w:rFonts w:ascii="Arial" w:cs="Arial" w:eastAsia="Arial" w:hAnsi="Arial"/>
          <w:sz w:val="16"/>
          <w:szCs w:val="16"/>
          <w:color w:val="auto"/>
        </w:rPr>
        <w:t xml:space="preserve">” means, at any time, the available borrowing capacity of WESCO Receivables under the Receivables Securitization Agreements, which available borrowing capacity is equal to (a) the lesser, at such time, of (i) the Securitization Maximum Potential Capital and (ii) the Securitization Purchase Limit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amount of credit extended at such time to WESCO Receivables by the Securitization Lenders.</w:t>
      </w:r>
    </w:p>
    <w:p>
      <w:pPr>
        <w:spacing w:after="0" w:line="149"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Lenders</w:t>
      </w:r>
      <w:r>
        <w:rPr>
          <w:rFonts w:ascii="Arial" w:cs="Arial" w:eastAsia="Arial" w:hAnsi="Arial"/>
          <w:sz w:val="18"/>
          <w:szCs w:val="18"/>
          <w:color w:val="auto"/>
        </w:rPr>
        <w:t>” means the purchasers (i.e., the lenders) of Eligible Accounts that have been sold to WESCO Receivables under the Receivables Securitization Agreements.</w:t>
      </w:r>
    </w:p>
    <w:p>
      <w:pPr>
        <w:spacing w:after="0" w:line="170"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Maximum Potential Capital</w:t>
      </w:r>
      <w:r>
        <w:rPr>
          <w:rFonts w:ascii="Arial" w:cs="Arial" w:eastAsia="Arial" w:hAnsi="Arial"/>
          <w:sz w:val="16"/>
          <w:szCs w:val="16"/>
          <w:color w:val="auto"/>
        </w:rPr>
        <w:t>” means, at any time, the maximum amount of credit that could be extended to WESCO Receivables at such time (based on Eligible Securitization Receivables) by the Securitization Lenders under the Receivables Securitization Agreements, which amount is set forth on the monthly reports delivered by WESCO Receivables to the Securitization Lenders as the “</w:t>
      </w:r>
      <w:r>
        <w:rPr>
          <w:rFonts w:ascii="Arial" w:cs="Arial" w:eastAsia="Arial" w:hAnsi="Arial"/>
          <w:sz w:val="16"/>
          <w:szCs w:val="16"/>
          <w:u w:val="single" w:color="auto"/>
          <w:color w:val="auto"/>
        </w:rPr>
        <w:t>Maximum Potential Capital</w:t>
      </w:r>
      <w:r>
        <w:rPr>
          <w:rFonts w:ascii="Arial" w:cs="Arial" w:eastAsia="Arial" w:hAnsi="Arial"/>
          <w:sz w:val="16"/>
          <w:szCs w:val="16"/>
          <w:color w:val="auto"/>
        </w:rPr>
        <w:t>.”</w:t>
      </w:r>
    </w:p>
    <w:p>
      <w:pPr>
        <w:spacing w:after="0" w:line="149"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Securitization Purchase Limit</w:t>
      </w:r>
      <w:r>
        <w:rPr>
          <w:rFonts w:ascii="Arial" w:cs="Arial" w:eastAsia="Arial" w:hAnsi="Arial"/>
          <w:sz w:val="17"/>
          <w:szCs w:val="17"/>
          <w:color w:val="auto"/>
        </w:rPr>
        <w:t>” means on any date the aggregate commitment of the Securitization Lenders under the Receivables Securitization Agreements, as the same may be increased or decreased from time to time under the Receivables Securitization Agreements.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w:t>
      </w:r>
      <w:r>
        <w:rPr>
          <w:rFonts w:ascii="Arial" w:cs="Arial" w:eastAsia="Arial" w:hAnsi="Arial"/>
          <w:sz w:val="18"/>
          <w:szCs w:val="18"/>
          <w:color w:val="auto"/>
        </w:rPr>
        <w:t>” means, collectively, the 2025 Senior Notes and the 2028 Senior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Indentures</w:t>
      </w:r>
      <w:r>
        <w:rPr>
          <w:rFonts w:ascii="Arial" w:cs="Arial" w:eastAsia="Arial" w:hAnsi="Arial"/>
          <w:sz w:val="18"/>
          <w:szCs w:val="18"/>
          <w:color w:val="auto"/>
        </w:rPr>
        <w:t>” means, collectively, the 2025 Senior Notes Indenture and the 2028 Senior Notes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w:t>
      </w:r>
      <w:r>
        <w:rPr>
          <w:rFonts w:ascii="Arial" w:cs="Arial" w:eastAsia="Arial" w:hAnsi="Arial"/>
          <w:sz w:val="18"/>
          <w:szCs w:val="18"/>
          <w:color w:val="auto"/>
        </w:rPr>
        <w:t>” has the meaning assigned to such term in Section 2.05(g).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Date</w:t>
      </w:r>
      <w:r>
        <w:rPr>
          <w:rFonts w:ascii="Arial" w:cs="Arial" w:eastAsia="Arial" w:hAnsi="Arial"/>
          <w:sz w:val="18"/>
          <w:szCs w:val="18"/>
          <w:color w:val="auto"/>
        </w:rPr>
        <w:t>” has the meaning assigned to such term in Section 2.05(g).</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Significant Subsidiary</w:t>
      </w:r>
      <w:r>
        <w:rPr>
          <w:rFonts w:ascii="Arial" w:cs="Arial" w:eastAsia="Arial" w:hAnsi="Arial"/>
          <w:sz w:val="17"/>
          <w:szCs w:val="17"/>
          <w:color w:val="auto"/>
        </w:rPr>
        <w:t>” shall mean, with respect to paragraphs (i), (j) and (k) of Article VII hereof, on any date of determination, (a) any Restricted Subsidiary that, together with its Subsidiaries that constitute Restricted Subsidiaries, would constitute a “significant subsidiary” as set forth in Rule 1-02(w) of Regulation S-X under the Securities Act, and (b) any Restricted Subsidiary which, when aggregated with all other Restricted Subsidiaries that are not otherwise Significant Subsidiaries and as to which any event described in paragraph (i), (j) or (k) of Article VII hereof has occurred, would collectively satisfy the criteria for the determination of a Significant Subsidiary under clause (a) of this definition.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76" w:name="page77"/>
    <w:bookmarkEnd w:id="76"/>
    <w:p>
      <w:pPr>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SOFR</w:t>
      </w:r>
      <w:r>
        <w:rPr>
          <w:rFonts w:ascii="Arial" w:cs="Arial" w:eastAsia="Arial" w:hAnsi="Arial"/>
          <w:sz w:val="18"/>
          <w:szCs w:val="18"/>
          <w:color w:val="auto"/>
        </w:rPr>
        <w:t>” means, with respect to any U.S. Government Securities Business Day, a rate per annum equal to the secured overnight financing rate for such U.S. Government Securities Business Day published by the SOFR Administrator on the SOFR Administrator’s Website on the immediately succeeding U.S. Government Securities Business Day.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w:t>
      </w:r>
      <w:r>
        <w:rPr>
          <w:rFonts w:ascii="Arial" w:cs="Arial" w:eastAsia="Arial" w:hAnsi="Arial"/>
          <w:sz w:val="17"/>
          <w:szCs w:val="17"/>
          <w:color w:val="auto"/>
        </w:rPr>
        <w:t>” means the Federal Reserve Bank of New York (or a successor administrator of the secured overnight financing rate).</w:t>
      </w:r>
    </w:p>
    <w:p>
      <w:pPr>
        <w:spacing w:after="0" w:line="237"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Administrator’s Website</w:t>
      </w:r>
      <w:r>
        <w:rPr>
          <w:rFonts w:ascii="Arial" w:cs="Arial" w:eastAsia="Arial" w:hAnsi="Arial"/>
          <w:sz w:val="17"/>
          <w:szCs w:val="17"/>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Borrowing</w:t>
      </w:r>
      <w:r>
        <w:rPr>
          <w:rFonts w:ascii="Arial" w:cs="Arial" w:eastAsia="Arial" w:hAnsi="Arial"/>
          <w:sz w:val="18"/>
          <w:szCs w:val="18"/>
          <w:color w:val="auto"/>
        </w:rPr>
        <w:t>” means, as to any Borrowing, the SOFR Loans comprising such Borrowing.</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Loan</w:t>
      </w:r>
      <w:r>
        <w:rPr>
          <w:rFonts w:ascii="Arial" w:cs="Arial" w:eastAsia="Arial" w:hAnsi="Arial"/>
          <w:sz w:val="18"/>
          <w:szCs w:val="18"/>
          <w:color w:val="auto"/>
        </w:rPr>
        <w:t>” means a Loan that bears interest at a rate based on Term SOFR or Daily Simple SOFR, other than pursuant to clause (c) of the definition of “Alternate Base Rate”.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Rate Day</w:t>
      </w:r>
      <w:r>
        <w:rPr>
          <w:rFonts w:ascii="Arial" w:cs="Arial" w:eastAsia="Arial" w:hAnsi="Arial"/>
          <w:sz w:val="18"/>
          <w:szCs w:val="18"/>
          <w:color w:val="auto"/>
        </w:rPr>
        <w:t>” has the meaning assigned to such term in the definition of “Daily Simple SOFR”.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Event of Default</w:t>
      </w:r>
      <w:r>
        <w:rPr>
          <w:rFonts w:ascii="Arial" w:cs="Arial" w:eastAsia="Arial" w:hAnsi="Arial"/>
          <w:sz w:val="18"/>
          <w:szCs w:val="18"/>
          <w:color w:val="auto"/>
        </w:rPr>
        <w:t>” any Event of Default of type specified in clauses (a), (b), (d), (e)(i), (i), (j) or (k) of Article VII.</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Foreign Credit Extensions</w:t>
      </w:r>
      <w:r>
        <w:rPr>
          <w:rFonts w:ascii="Arial" w:cs="Arial" w:eastAsia="Arial" w:hAnsi="Arial"/>
          <w:sz w:val="18"/>
          <w:szCs w:val="18"/>
          <w:color w:val="auto"/>
        </w:rPr>
        <w:t>” means Foreign Credit Extensions of which the Administrative Agent has received notice in accordance with Section 2.22.</w:t>
      </w:r>
    </w:p>
    <w:p>
      <w:pPr>
        <w:spacing w:after="0" w:line="170"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means the representations and warranties under Sections 3.01, 3.02, 3.03(d), 3.08, 3.13(c), 3.13(d), 3.16, 3.20(c) (solely with respect to the use of proceeds of any Loans made on the Fourth Restatement Date) and 3.23.</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Standby LC Exposure</w:t>
      </w:r>
      <w:r>
        <w:rPr>
          <w:rFonts w:ascii="Arial" w:cs="Arial" w:eastAsia="Arial" w:hAnsi="Arial"/>
          <w:sz w:val="18"/>
          <w:szCs w:val="18"/>
          <w:color w:val="auto"/>
        </w:rPr>
        <w:t xml:space="preserve">” means, at any time, the sum of (a) the aggregate undrawn amount of all outstanding standby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all LC Disbursements relating to standby Letters of Credit that have not yet been reimbursed by or on behalf of the Borrowers at such time. The Standby LC Exposure of any Revolving Lender at any time shall be its Applicable Percentage of the total Standby LC Exposure at such time.</w:t>
      </w:r>
    </w:p>
    <w:p>
      <w:pPr>
        <w:spacing w:after="0" w:line="18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of a Person means any Indebtedness of such Person the payment of which is subordinated to payment of the Secured Obligations to the written satisfaction of the Administrative Agent in its Permitted Discretion.</w:t>
      </w:r>
    </w:p>
    <w:p>
      <w:pPr>
        <w:spacing w:after="0" w:line="170"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u w:val="single" w:color="auto"/>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direct or indirect subsidiary of a Loan Party, as applicable.</w:t>
      </w:r>
    </w:p>
    <w:p>
      <w:pPr>
        <w:spacing w:after="0" w:line="225" w:lineRule="exact"/>
        <w:rPr>
          <w:sz w:val="20"/>
          <w:szCs w:val="20"/>
          <w:color w:val="auto"/>
        </w:rPr>
      </w:pPr>
    </w:p>
    <w:p>
      <w:pPr>
        <w:ind w:right="6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Supermajority Revolving Lenders</w:t>
      </w:r>
      <w:r>
        <w:rPr>
          <w:rFonts w:ascii="Arial" w:cs="Arial" w:eastAsia="Arial" w:hAnsi="Arial"/>
          <w:sz w:val="16"/>
          <w:szCs w:val="16"/>
          <w:color w:val="auto"/>
        </w:rPr>
        <w:t>” means, at any time, Lenders (other than Defaulting Lenders) having Revolving Exposure and unused Revolving Commitments representing at least 66 2/3% of the sum of the Aggregate Revolving Exposure and unused Revolving Commitments.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has the meaning assigned to such term in Section 9.26.</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77" w:name="page78"/>
    <w:bookmarkEnd w:id="77"/>
    <w:p>
      <w:pPr>
        <w:ind w:left="4" w:right="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Borrowers or the Subsidiaries shall be a Swap Agreement; </w:t>
      </w:r>
      <w:r>
        <w:rPr>
          <w:rFonts w:ascii="Arial" w:cs="Arial" w:eastAsia="Arial" w:hAnsi="Arial"/>
          <w:sz w:val="18"/>
          <w:szCs w:val="18"/>
          <w:u w:val="single" w:color="auto"/>
          <w:color w:val="auto"/>
        </w:rPr>
        <w:t>provided</w:t>
      </w:r>
      <w:r>
        <w:rPr>
          <w:rFonts w:ascii="Arial" w:cs="Arial" w:eastAsia="Arial" w:hAnsi="Arial"/>
          <w:sz w:val="18"/>
          <w:szCs w:val="18"/>
          <w:color w:val="auto"/>
        </w:rPr>
        <w:t>, further, that any Permitted TEU Purchase Contract shall not constitute a Swap Agreement.</w:t>
      </w:r>
    </w:p>
    <w:p>
      <w:pPr>
        <w:spacing w:after="0" w:line="192"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Agreement Obligations</w:t>
      </w:r>
      <w:r>
        <w:rPr>
          <w:rFonts w:ascii="Arial" w:cs="Arial" w:eastAsia="Arial" w:hAnsi="Arial"/>
          <w:sz w:val="16"/>
          <w:szCs w:val="16"/>
          <w:color w:val="auto"/>
        </w:rPr>
        <w:t xml:space="preserve">” means any and all obligations of the Loan Parties and their Subsidiaries,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(or any Person that was a Lender or an Affiliate of a Lender at the time the agreement was initially executed, or in the case of any agreement as in effect on the Fourth Restatement Date, was a Lender or an Affiliate of a Lender as of such date), and (b) any and all cancellations, buy backs, reversals, terminations or assignments of any such Swap Agreement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however, in no event shall Swap Agreement Obligations include Excluded Swap Obligations.</w:t>
      </w:r>
    </w:p>
    <w:p>
      <w:pPr>
        <w:spacing w:after="0" w:line="164" w:lineRule="exact"/>
        <w:rPr>
          <w:sz w:val="20"/>
          <w:szCs w:val="20"/>
          <w:color w:val="auto"/>
        </w:rPr>
      </w:pPr>
    </w:p>
    <w:p>
      <w:pPr>
        <w:ind w:left="4" w:right="4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Obligation</w:t>
      </w:r>
      <w:r>
        <w:rPr>
          <w:rFonts w:ascii="Arial" w:cs="Arial" w:eastAsia="Arial" w:hAnsi="Arial"/>
          <w:sz w:val="16"/>
          <w:szCs w:val="16"/>
          <w:color w:val="auto"/>
        </w:rPr>
        <w:t>” means, with respect to any Guarantor, any obligation to pay or perform under any agreement, contract or transaction that constitutes a “swap” within the meaning of section 1a(47) of the Commodity Exchange Act or any rules or regulations promulgated thereunder.</w:t>
      </w:r>
    </w:p>
    <w:p>
      <w:pPr>
        <w:spacing w:after="0" w:line="124" w:lineRule="exact"/>
        <w:rPr>
          <w:sz w:val="20"/>
          <w:szCs w:val="20"/>
          <w:color w:val="auto"/>
        </w:rPr>
      </w:pPr>
    </w:p>
    <w:p>
      <w:pPr>
        <w:ind w:left="4" w:right="5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Exposure</w:t>
      </w:r>
      <w:r>
        <w:rPr>
          <w:rFonts w:ascii="Arial" w:cs="Arial" w:eastAsia="Arial" w:hAnsi="Arial"/>
          <w:sz w:val="16"/>
          <w:szCs w:val="16"/>
          <w:color w:val="auto"/>
        </w:rPr>
        <w:t>” means, at any time, the sum of the aggregate undrawn amount of all outstanding Swingline Loans at such time. The Swingline Exposure of any Revolving Lender at any time shall be its Applicable Percentage of the total Swingline Exposure at such time.</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Barclays, in its capacity as the lender of Swingline Loans hereunder.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Loan</w:t>
      </w:r>
      <w:r>
        <w:rPr>
          <w:rFonts w:ascii="Arial" w:cs="Arial" w:eastAsia="Arial" w:hAnsi="Arial"/>
          <w:sz w:val="16"/>
          <w:szCs w:val="16"/>
          <w:color w:val="auto"/>
        </w:rPr>
        <w:t>” means, individually and collectively as the context may require, each U.S. Swingline Loan and each Canadian Swingline Loan.</w:t>
      </w:r>
    </w:p>
    <w:p>
      <w:pPr>
        <w:spacing w:after="0" w:line="248" w:lineRule="exact"/>
        <w:rPr>
          <w:sz w:val="20"/>
          <w:szCs w:val="20"/>
          <w:color w:val="auto"/>
        </w:rPr>
      </w:pPr>
    </w:p>
    <w:p>
      <w:pPr>
        <w:ind w:left="4"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(i) TARGET2 is open for settlement of payments in Euro and (ii) banks are open for dealings in deposits in Euro in the London interbank market.</w:t>
      </w:r>
    </w:p>
    <w:p>
      <w:pPr>
        <w:spacing w:after="0" w:line="170"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w:t>
      </w:r>
      <w:r>
        <w:rPr>
          <w:rFonts w:ascii="Arial" w:cs="Arial" w:eastAsia="Arial" w:hAnsi="Arial"/>
          <w:sz w:val="18"/>
          <w:szCs w:val="18"/>
          <w:color w:val="auto"/>
        </w:rPr>
        <w:t>” means the Trans-European Automated Real-Time Gross Settlement Express Transfer payment system which utilizes a single shared platform and which was launched on November 19, 2007.</w:t>
      </w:r>
    </w:p>
    <w:p>
      <w:pPr>
        <w:spacing w:after="0" w:line="170"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84" w:lineRule="exact"/>
        <w:rPr>
          <w:sz w:val="20"/>
          <w:szCs w:val="20"/>
          <w:color w:val="auto"/>
        </w:rPr>
      </w:pPr>
    </w:p>
    <w:p>
      <w:pPr>
        <w:jc w:val="both"/>
        <w:ind w:left="4" w:right="1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Temporary Borrowing Base Amount</w:t>
      </w:r>
      <w:r>
        <w:rPr>
          <w:rFonts w:ascii="Arial" w:cs="Arial" w:eastAsia="Arial" w:hAnsi="Arial"/>
          <w:sz w:val="17"/>
          <w:szCs w:val="17"/>
          <w:color w:val="auto"/>
        </w:rPr>
        <w:t>” means, as of any date, the greater of $1,100,000,000 and an amount equal to the sum of (i) the Aggregate Borrowing Base of Holdings and its Subsidiaries immediately prior to the Fourth Restatement Date and (ii) an amount equal to the sum of 80% of the Eligible Accounts of the Anixter Loan Parties and 50% of the Eligible Inventory of the Anixter Loan Parties.</w:t>
      </w:r>
    </w:p>
    <w:p>
      <w:pPr>
        <w:spacing w:after="0" w:line="165"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Benchmark</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Term SOFR or the CDOR Rate.</w:t>
      </w:r>
    </w:p>
    <w:p>
      <w:pPr>
        <w:spacing w:after="0" w:line="170"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Priority Collateral</w:t>
      </w:r>
      <w:r>
        <w:rPr>
          <w:rFonts w:ascii="Arial" w:cs="Arial" w:eastAsia="Arial" w:hAnsi="Arial"/>
          <w:sz w:val="16"/>
          <w:szCs w:val="16"/>
          <w:color w:val="auto"/>
        </w:rPr>
        <w:t>” means all Collateral other than the ABL Priority Collateral, including, without limitation, all Collateral consisting of (a) Equipment and Fixtures, (b) Fee Interests in Real Property, (c) Intellectual Property, (d) Equity Interests in Loan Parties and their subsidiaries;</w:t>
      </w:r>
    </w:p>
    <w:p>
      <w:pPr>
        <w:ind w:left="4" w:right="80" w:hanging="4"/>
        <w:spacing w:after="0" w:line="255" w:lineRule="auto"/>
        <w:tabs>
          <w:tab w:leader="none" w:pos="2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Intercompany Loans, Intercompany Notes and Intercompany Obligations; and (f) all Proceeds from the sale or disposition of any of the items referred to in the preceding clauses (a) through (e);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cash, cash equivalents and Securities obtained as proceeds from the sale or disposition of the items referred to in the preceding clauses (a) through (e) and that are</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4"/>
          </w:cols>
          <w:pgMar w:left="436" w:top="274" w:right="459" w:bottom="1440" w:gutter="0" w:footer="0" w:header="0"/>
        </w:sectPr>
      </w:pPr>
    </w:p>
    <w:bookmarkStart w:id="78" w:name="page79"/>
    <w:bookmarkEnd w:id="78"/>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deposited into or credited to a Deposit Account or a Securities Account shall only constitute Term Loan Priority Collateral to the extent that such cash, cash equivalents or Securities are specifically identifiable as proceeds from the sale or disposition of the items referred to in the preceding clauses (a) through (e).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w:t>
      </w:r>
    </w:p>
    <w:p>
      <w:pPr>
        <w:spacing w:after="0" w:line="117" w:lineRule="exact"/>
        <w:rPr>
          <w:sz w:val="20"/>
          <w:szCs w:val="20"/>
          <w:color w:val="auto"/>
        </w:rPr>
      </w:pPr>
    </w:p>
    <w:p>
      <w:pPr>
        <w:ind w:firstLine="436"/>
        <w:spacing w:after="0" w:line="288" w:lineRule="auto"/>
        <w:tabs>
          <w:tab w:leader="none" w:pos="685"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 any calculation with respect to a Term SOFR Loan, the Term SOFR Reference Rate for a tenor comparable to the applicable Interest Period on the day (such day, the “</w:t>
      </w:r>
      <w:r>
        <w:rPr>
          <w:rFonts w:ascii="Arial" w:cs="Arial" w:eastAsia="Arial" w:hAnsi="Arial"/>
          <w:sz w:val="16"/>
          <w:szCs w:val="16"/>
          <w:u w:val="single" w:color="auto"/>
          <w:color w:val="auto"/>
        </w:rPr>
        <w:t>Periodic Term SOFR Determination Day</w:t>
      </w:r>
      <w:r>
        <w:rPr>
          <w:rFonts w:ascii="Arial" w:cs="Arial" w:eastAsia="Arial" w:hAnsi="Arial"/>
          <w:sz w:val="16"/>
          <w:szCs w:val="16"/>
          <w:color w:val="auto"/>
        </w:rPr>
        <w:t xml:space="preserve">”) that is two (2) U.S. Government Securities Business Days prior to the first day of such Interest Period, as such rate is published by the Term SOFR Administrator,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SOFR Adjustment;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the Administrative Agent shall so notify the Borrower Representative and, at the option of the Borrower Representative, (i) the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or (ii) Term SOFR on such Periodic Term SOFR Determination Day shall be deemed to equal Daily Simple SOFR on such day, and</w:t>
      </w:r>
    </w:p>
    <w:p>
      <w:pPr>
        <w:spacing w:after="0" w:line="60" w:lineRule="exact"/>
        <w:rPr>
          <w:rFonts w:ascii="Arial" w:cs="Arial" w:eastAsia="Arial" w:hAnsi="Arial"/>
          <w:sz w:val="16"/>
          <w:szCs w:val="16"/>
          <w:color w:val="auto"/>
        </w:rPr>
      </w:pPr>
    </w:p>
    <w:p>
      <w:pPr>
        <w:ind w:right="20" w:firstLine="436"/>
        <w:spacing w:after="0" w:line="288" w:lineRule="auto"/>
        <w:tabs>
          <w:tab w:leader="none" w:pos="6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 any calculation with respect to an Alternate Base Rate Loan on any day, the Term SOFR Reference Rate for a tenor of one month on the day (such day, the “</w:t>
      </w:r>
      <w:r>
        <w:rPr>
          <w:rFonts w:ascii="Arial" w:cs="Arial" w:eastAsia="Arial" w:hAnsi="Arial"/>
          <w:sz w:val="16"/>
          <w:szCs w:val="16"/>
          <w:u w:val="single" w:color="auto"/>
          <w:color w:val="auto"/>
        </w:rPr>
        <w:t>Base Rate Term SOFR Determination Day</w:t>
      </w:r>
      <w:r>
        <w:rPr>
          <w:rFonts w:ascii="Arial" w:cs="Arial" w:eastAsia="Arial" w:hAnsi="Arial"/>
          <w:sz w:val="16"/>
          <w:szCs w:val="16"/>
          <w:color w:val="auto"/>
        </w:rPr>
        <w:t xml:space="preserve">”) that is two (2) U.S. Government Securities Business Days prior to such day, as such rate is published by the Term SOFR Administrator,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SOFR Adjustment;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the Administrative Agent shall so notify the Borrower Representative and, at the option of the Borrower Representative, (i) the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or (ii) Term SOFR on such Periodic Term SOFR Determination Day shall be deemed to equal Daily Simple SOFR on such day;</w:t>
      </w:r>
    </w:p>
    <w:p>
      <w:pPr>
        <w:spacing w:after="0" w:line="168"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Term SOFR determined as provided above (including pursuant to the proviso under clause (a) or clause (b) above) shall ever be less than zero, then Term SOFR shall be deemed to be zero.</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Administrator</w:t>
      </w:r>
      <w:r>
        <w:rPr>
          <w:rFonts w:ascii="Arial" w:cs="Arial" w:eastAsia="Arial" w:hAnsi="Arial"/>
          <w:sz w:val="18"/>
          <w:szCs w:val="18"/>
          <w:color w:val="auto"/>
        </w:rPr>
        <w:t>” means the CME Group Benchmark Administration Limited (CBA) (or a successor administrator of the Term SOFR Reference Rate selected by the Administrative Agent in its reasonable discretion).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Borrowing</w:t>
      </w:r>
      <w:r>
        <w:rPr>
          <w:rFonts w:ascii="Arial" w:cs="Arial" w:eastAsia="Arial" w:hAnsi="Arial"/>
          <w:sz w:val="18"/>
          <w:szCs w:val="18"/>
          <w:color w:val="auto"/>
        </w:rPr>
        <w:t>” means, as to any Borrowing, the Term SOFR Loans comprising such Borrowing.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Loan</w:t>
      </w:r>
      <w:r>
        <w:rPr>
          <w:rFonts w:ascii="Arial" w:cs="Arial" w:eastAsia="Arial" w:hAnsi="Arial"/>
          <w:sz w:val="18"/>
          <w:szCs w:val="18"/>
          <w:color w:val="auto"/>
        </w:rPr>
        <w:t>” means a Loan that bears interest at a rate based on Term SOFR.</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Reference Rate</w:t>
      </w:r>
      <w:r>
        <w:rPr>
          <w:rFonts w:ascii="Arial" w:cs="Arial" w:eastAsia="Arial" w:hAnsi="Arial"/>
          <w:sz w:val="18"/>
          <w:szCs w:val="18"/>
          <w:color w:val="auto"/>
        </w:rPr>
        <w:t>” means the rate per annum determined by the Administrative Agent as the forward-looking term rate based on SOFR.</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0000FF"/>
        </w:rPr>
        <w:t>“Third Amendment Effective Date” means August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28632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Restatement Date</w:t>
      </w:r>
      <w:r>
        <w:rPr>
          <w:rFonts w:ascii="Arial" w:cs="Arial" w:eastAsia="Arial" w:hAnsi="Arial"/>
          <w:sz w:val="18"/>
          <w:szCs w:val="18"/>
          <w:color w:val="auto"/>
        </w:rPr>
        <w:t>” means September 26, 2019.</w:t>
      </w:r>
    </w:p>
    <w:p>
      <w:pPr>
        <w:spacing w:after="0" w:line="225"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Consideration</w:t>
      </w:r>
      <w:r>
        <w:rPr>
          <w:rFonts w:ascii="Arial" w:cs="Arial" w:eastAsia="Arial" w:hAnsi="Arial"/>
          <w:sz w:val="18"/>
          <w:szCs w:val="18"/>
          <w:color w:val="auto"/>
        </w:rPr>
        <w:t>” means, with respect to any Acquisition, the sum (but without duplication) of (a) cash paid in connection with any Acquisition, (b) Indebtedness payable to the seller in connection with such Acquisition,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79" w:name="page80"/>
    <w:bookmarkEnd w:id="79"/>
    <w:p>
      <w:pPr>
        <w:ind w:left="4" w:right="220" w:hanging="4"/>
        <w:spacing w:after="0" w:line="277" w:lineRule="auto"/>
        <w:tabs>
          <w:tab w:leader="none" w:pos="249"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fair market value of any equity securities, including any warrants or options therefor, delivered in connection with any Acquisition, and (d) the amount of Indebtedness assumed in connection with such Acquisition.</w:t>
      </w:r>
    </w:p>
    <w:p>
      <w:pPr>
        <w:spacing w:after="0" w:line="170"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Funded Indebtedness</w:t>
      </w:r>
      <w:r>
        <w:rPr>
          <w:rFonts w:ascii="Arial" w:cs="Arial" w:eastAsia="Arial" w:hAnsi="Arial"/>
          <w:sz w:val="18"/>
          <w:szCs w:val="18"/>
          <w:color w:val="auto"/>
        </w:rPr>
        <w:t>” means, at any date, the aggregate principal amount of all Indebtedness of the types described in clauses (a), (b), (f), (h), (k) and, solely to the extent such Indebtedness being guaranteed would otherwise constitute Total Funded Indebtedness, (g), determined on a consolidated basis in accordance with GAAP.</w:t>
      </w:r>
    </w:p>
    <w:p>
      <w:pPr>
        <w:spacing w:after="0" w:line="184"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Leverage Ratio</w:t>
      </w:r>
      <w:r>
        <w:rPr>
          <w:rFonts w:ascii="Arial" w:cs="Arial" w:eastAsia="Arial" w:hAnsi="Arial"/>
          <w:sz w:val="17"/>
          <w:szCs w:val="17"/>
          <w:color w:val="auto"/>
        </w:rPr>
        <w:t xml:space="preserve">” means, on any date, the ratio of (a) (i) Total Funded Indebtedness on such date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(ii) the aggregate amount not in excess of $50,000,000 of unrestricted cash held at such time in Deposit Accounts subject to Control Agreements to (b) EBITDA for the then most recently ended period of four consecutive fiscal quarters for which financial statements are available,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any Borrower or any Restricted Subsidiary makes any acquisition permitted pursuant to Section 6.04 or disposition of assets outside the ordinary course of business that is permitted by Section 6.05 during the period of four fiscal quarters of Holdings most recently ended, the Total Leverage Ratio shall be calculated after giving pro forma effect thereto (including pro forma adjustments arising out of events which are directly attributable to the acquisition or the disposition of assets, are factually supportable and are expected to have a continuing impact, in each case as determined on a basis consistent with Article 11 of Regulation S-X of the Securities Act of 1933, as amended, as interpreted by the SEC, and as certified by a Financial Officer of the Borrower Representative), as if such acquisition or such disposition (and any related incurrence, repayment or assumption of Indebtedness) had occurred in the first day of such four quarter period.</w:t>
      </w:r>
    </w:p>
    <w:p>
      <w:pPr>
        <w:spacing w:after="0" w:line="185"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(i) the execution, delivery and performance by the Loan Parties (and any Foreign Subsidiaries which are party to the Canadian Security Agreement, the Canadian Guarantee or the U.S. Security Agreement) of this Agreement and the other Loan Documents, (ii) the borrowing of Loans and other credit extensions, (iii) the use of the proceeds thereof and the issuance of Letters of Credit hereunder, (iv) the granting of Liens under the Collateral Documents, (v) the Anixter Acquisition, (vi) the (a) satisfaction and discharge and/or repayment in full of the 5.125% Senior Notes due 2021 issued by Anixter, Inc. and (b) settlement, and payment of any fees, costs, premiums and expenses in connection therewith, of any tender offer, consent solicitation, satisfaction and discharge, repayment and/or redemption in connection with the 5.50% Senior Notes due 2023 and the 6.00% Senior Notes due 2025, in each case, issued by Anixter, Inc., (vii) the issuance of the 2025 Senior Notes and (viii) the issuance of the 2028 Senior Notes, in each case, on or around the Fourth Restatement Date.</w:t>
      </w:r>
    </w:p>
    <w:p>
      <w:pPr>
        <w:spacing w:after="0" w:line="178" w:lineRule="exact"/>
        <w:rPr>
          <w:sz w:val="20"/>
          <w:szCs w:val="20"/>
          <w:color w:val="auto"/>
        </w:rPr>
      </w:pPr>
    </w:p>
    <w:p>
      <w:pPr>
        <w:ind w:left="4" w:right="2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Type</w:t>
      </w:r>
      <w:r>
        <w:rPr>
          <w:rFonts w:ascii="Arial" w:cs="Arial" w:eastAsia="Arial" w:hAnsi="Arial"/>
          <w:sz w:val="17"/>
          <w:szCs w:val="17"/>
          <w:color w:val="auto"/>
        </w:rPr>
        <w:t>,” when used in reference to any Loan or Borrowing, refers to whether the rate of interest on such Loan, or on the Loans comprising such Borrowing, is determined by reference to the ABR, the Canadian Prime Rate, Daily Simple SOFR or a Term Benchmark.</w:t>
      </w:r>
    </w:p>
    <w:p>
      <w:pPr>
        <w:spacing w:after="0" w:line="146"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70" w:lineRule="exact"/>
        <w:rPr>
          <w:sz w:val="20"/>
          <w:szCs w:val="20"/>
          <w:color w:val="auto"/>
        </w:rPr>
      </w:pPr>
    </w:p>
    <w:p>
      <w:pPr>
        <w:ind w:left="4"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Benchmark Replacement</w:t>
      </w:r>
      <w:r>
        <w:rPr>
          <w:rFonts w:ascii="Arial" w:cs="Arial" w:eastAsia="Arial" w:hAnsi="Arial"/>
          <w:sz w:val="18"/>
          <w:szCs w:val="18"/>
          <w:color w:val="auto"/>
        </w:rPr>
        <w:t>” means the Benchmark Replacement excluding the Benchmark Replacement Adjustment.</w:t>
      </w:r>
    </w:p>
    <w:p>
      <w:pPr>
        <w:spacing w:after="0" w:line="225"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Unfunded Pension Liability</w:t>
      </w:r>
      <w:r>
        <w:rPr>
          <w:rFonts w:ascii="Arial" w:cs="Arial" w:eastAsia="Arial" w:hAnsi="Arial"/>
          <w:sz w:val="17"/>
          <w:szCs w:val="17"/>
          <w:color w:val="auto"/>
        </w:rPr>
        <w:t xml:space="preserve">” means, at a point in time, with respect to any defined benefit Canadian Pension Plan, the total unfunded liability or solvency deficiency as determined by a professional actuary for the purposes of the </w:t>
      </w:r>
      <w:r>
        <w:rPr>
          <w:rFonts w:ascii="Arial" w:cs="Arial" w:eastAsia="Arial" w:hAnsi="Arial"/>
          <w:sz w:val="17"/>
          <w:szCs w:val="17"/>
          <w:i w:val="1"/>
          <w:iCs w:val="1"/>
          <w:color w:val="auto"/>
        </w:rPr>
        <w:t>Employment Pension Plans Act</w:t>
      </w:r>
      <w:r>
        <w:rPr>
          <w:rFonts w:ascii="Arial" w:cs="Arial" w:eastAsia="Arial" w:hAnsi="Arial"/>
          <w:sz w:val="17"/>
          <w:szCs w:val="17"/>
          <w:color w:val="auto"/>
        </w:rPr>
        <w:t xml:space="preserve"> (Alberta) or such other provincial pension standards legislation that may be applicable to the funding and solvency requirements of that plan.</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4"/>
          </w:cols>
          <w:pgMar w:left="436" w:top="274" w:right="459" w:bottom="1440" w:gutter="0" w:footer="0" w:header="0"/>
        </w:sectPr>
      </w:pPr>
    </w:p>
    <w:bookmarkStart w:id="80" w:name="page81"/>
    <w:bookmarkEnd w:id="80"/>
    <w:p>
      <w:pPr>
        <w:ind w:left="4" w:right="1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Unliquidated Obligations</w:t>
      </w:r>
      <w:r>
        <w:rPr>
          <w:rFonts w:ascii="Arial" w:cs="Arial" w:eastAsia="Arial" w:hAnsi="Arial"/>
          <w:sz w:val="16"/>
          <w:szCs w:val="16"/>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w:t>
      </w:r>
    </w:p>
    <w:p>
      <w:pPr>
        <w:ind w:left="4" w:hanging="4"/>
        <w:spacing w:after="0" w:line="260" w:lineRule="auto"/>
        <w:tabs>
          <w:tab w:leader="none" w:pos="2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obligation (including any guarantee) that is contingent in nature at such time; or (iii) an obligation to provide collateral to secure any of the foregoing types of obligations.</w:t>
      </w:r>
    </w:p>
    <w:p>
      <w:pPr>
        <w:spacing w:after="0" w:line="185"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means (a) any Subsidiary of a Borrower that is formed or acquired after the Fourth Restatement Date that is designated as an Unrestricted Subsidiary in accordance with Section 6.13, (b) any Restricted Subsidiary designated or re-designated as an Unrestricted Subsidiary by the Borrower Representative in a written notice to the Administrative Agent and in accordance with Section 6.13, and (c) each Subsidiary of an Unrestricted Subsidiary.</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has the meaning assigned to such term in Section 9.14.</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jc w:val="both"/>
        <w:ind w:left="4"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Availability</w:t>
      </w:r>
      <w:r>
        <w:rPr>
          <w:rFonts w:ascii="Arial" w:cs="Arial" w:eastAsia="Arial" w:hAnsi="Arial"/>
          <w:sz w:val="18"/>
          <w:szCs w:val="18"/>
          <w:color w:val="auto"/>
        </w:rPr>
        <w:t>” means, as of any date of determination, (a) the lesser of (i) the total Revolving Commitments as of such date and (ii) the U.S. Borrowing Base as of such date, minus (b) the sum of (i) the total U.S. Revolving Exposure of all U.S. Lenders as of such date (calculated with respect to any Defaulting Lender as if such Defaulting Lender had funded its Applicable Percentage of all outstanding Borrowings) and (ii) the Canadian U.S. Borrowing Base Utilization as of such date.</w:t>
      </w:r>
    </w:p>
    <w:p>
      <w:pPr>
        <w:spacing w:after="0" w:line="187" w:lineRule="exact"/>
        <w:rPr>
          <w:sz w:val="20"/>
          <w:szCs w:val="20"/>
          <w:color w:val="auto"/>
        </w:rPr>
      </w:pPr>
    </w:p>
    <w:p>
      <w:pPr>
        <w:jc w:val="both"/>
        <w:ind w:left="4" w:right="3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Borrower</w:t>
      </w:r>
      <w:r>
        <w:rPr>
          <w:rFonts w:ascii="Arial" w:cs="Arial" w:eastAsia="Arial" w:hAnsi="Arial"/>
          <w:sz w:val="18"/>
          <w:szCs w:val="18"/>
          <w:color w:val="auto"/>
        </w:rPr>
        <w:t>” or “</w:t>
      </w:r>
      <w:r>
        <w:rPr>
          <w:rFonts w:ascii="Arial" w:cs="Arial" w:eastAsia="Arial" w:hAnsi="Arial"/>
          <w:sz w:val="18"/>
          <w:szCs w:val="18"/>
          <w:u w:val="single" w:color="auto"/>
          <w:color w:val="auto"/>
        </w:rPr>
        <w:t>U.S. Borrowers</w:t>
      </w:r>
      <w:r>
        <w:rPr>
          <w:rFonts w:ascii="Arial" w:cs="Arial" w:eastAsia="Arial" w:hAnsi="Arial"/>
          <w:sz w:val="18"/>
          <w:szCs w:val="18"/>
          <w:color w:val="auto"/>
        </w:rPr>
        <w:t xml:space="preserve">” means, individually or collectively as the context may require: (a) the entities listed on the </w:t>
      </w:r>
      <w:r>
        <w:rPr>
          <w:rFonts w:ascii="Arial" w:cs="Arial" w:eastAsia="Arial" w:hAnsi="Arial"/>
          <w:sz w:val="18"/>
          <w:szCs w:val="18"/>
          <w:u w:val="single" w:color="auto"/>
          <w:color w:val="auto"/>
        </w:rPr>
        <w:t>Loan Party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attached hereto under the heading “U.S. Borrowers,” and (b) any Domestic Subsidiary of Holdings (other than a CFC Subsidiary Holding Company) that becomes a party to this Agreement as an additional borrower after the Fourth Restatement Date pursuant to a Joinder Agreement in accordance with Section 5.13.</w:t>
      </w:r>
    </w:p>
    <w:p>
      <w:pPr>
        <w:spacing w:after="0" w:line="187" w:lineRule="exact"/>
        <w:rPr>
          <w:sz w:val="20"/>
          <w:szCs w:val="20"/>
          <w:color w:val="auto"/>
        </w:rPr>
      </w:pPr>
    </w:p>
    <w:p>
      <w:pPr>
        <w:ind w:left="4" w:right="4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Borrowing Base</w:t>
      </w:r>
      <w:r>
        <w:rPr>
          <w:rFonts w:ascii="Arial" w:cs="Arial" w:eastAsia="Arial" w:hAnsi="Arial"/>
          <w:sz w:val="17"/>
          <w:szCs w:val="17"/>
          <w:color w:val="auto"/>
        </w:rPr>
        <w:t xml:space="preserve">” means, at any time, the sum of (a) the lesser of (i) 70% of the U.S. Loan Parties (other than Intermediate Holding Companies) Eligible Inventory, valued at the lower of cost or market value, determined on a first-in-first-out basis, at such time and (ii) the product of 90% multiplied by the Net Orderly Liquidation Value percentage identified in the most recent inventory appraisal ordered by the Administrative Agent multiplied by the U.S. Loan Parties (other than Intermediate Holding Companies) Eligible Inventory (determined after taking into account adjustments made in such appraisal in the calculation of the Net Orderly Liquidation Value percentage), valued at the lower of cost or market value, determined on a first-in-first-out basis,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Securitization Additional Availability,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(c) Reserves.</w:t>
      </w:r>
    </w:p>
    <w:p>
      <w:pPr>
        <w:spacing w:after="0" w:line="178" w:lineRule="exact"/>
        <w:rPr>
          <w:sz w:val="20"/>
          <w:szCs w:val="20"/>
          <w:color w:val="auto"/>
        </w:rPr>
      </w:pPr>
    </w:p>
    <w:p>
      <w:pPr>
        <w:ind w:left="4" w:right="3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Cash Management Bank</w:t>
      </w:r>
      <w:r>
        <w:rPr>
          <w:rFonts w:ascii="Arial" w:cs="Arial" w:eastAsia="Arial" w:hAnsi="Arial"/>
          <w:sz w:val="16"/>
          <w:szCs w:val="16"/>
          <w:color w:val="auto"/>
        </w:rPr>
        <w:t>” means (a) as of the Fourth Restatement Date, PNC Bank National Association and Bank of America, N.A., in their respective capacities as the principal depositary banks for the U.S. Loan Parties (other than the Canadian Cross-Border Loan Guarantors), and</w:t>
      </w:r>
    </w:p>
    <w:p>
      <w:pPr>
        <w:ind w:left="4" w:right="60" w:hanging="4"/>
        <w:spacing w:after="0" w:line="252" w:lineRule="auto"/>
        <w:tabs>
          <w:tab w:leader="none" w:pos="259"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at any time after the Fourth Restatement Date, any one or more of the Lenders selected by the U.S. Loan Parties (other than the Canadian Cross-Border Loan Guarantors), in consultation with the Administrative Agent, to become the successor principal depository bank for the U.S. Loan Parties (other than the Canadian Cross-Border Loan Guarantors);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the Administrative Agent otherwise consents in writing, no Person shall become the successor “U.S. Cash Management Bank” unless and until such Person shall have entered into a Control Agreement with the U.S. Loan Parties (other than the Canadian Cross-Border Loan Guarantors) and the Administrative Agent in form and substance reasonably acceptable to the Administrative Agent.</w:t>
      </w:r>
    </w:p>
    <w:p>
      <w:pPr>
        <w:spacing w:after="0" w:line="194"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Collection Account</w:t>
      </w:r>
      <w:r>
        <w:rPr>
          <w:rFonts w:ascii="Arial" w:cs="Arial" w:eastAsia="Arial" w:hAnsi="Arial"/>
          <w:sz w:val="18"/>
          <w:szCs w:val="18"/>
          <w:color w:val="auto"/>
        </w:rPr>
        <w:t>” means the account at Barclays (or another commercial bank in the name of the Administrative Agent and under the sole dominion and control of the Administrative Agent, and otherwise established in a manner satisfactory to the Administrative Agent), so designated by the Administrative Agent, in a written notice delivered to the Borrower Representative, to be the “U.S. Collection Account,” to which funds on deposit in Deposit Accounts (other than Excluded Accounts) maintained by the U.S. Loan Parties (other than Canadian Cross-Border Loan Guarantors) with the U.S. Cash Management Bank and all collections and other payments received in respect of the Accounts of the U.S. Loan Parties (other than the Canadian Cross-Border Loan Guarantors) by the U.S. Cash</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4"/>
          </w:cols>
          <w:pgMar w:left="436" w:top="274" w:right="479" w:bottom="1440" w:gutter="0" w:footer="0" w:header="0"/>
        </w:sectPr>
      </w:pPr>
    </w:p>
    <w:bookmarkStart w:id="81" w:name="page82"/>
    <w:bookmarkEnd w:id="8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Management Bank shall be remitted at all times (subject to the provisions of the Receivables Intercreditor Agreement) during a Cash Dominion Period.</w:t>
      </w:r>
    </w:p>
    <w:p>
      <w:pPr>
        <w:spacing w:after="0" w:line="248"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Commitment</w:t>
      </w:r>
      <w:r>
        <w:rPr>
          <w:rFonts w:ascii="Arial" w:cs="Arial" w:eastAsia="Arial" w:hAnsi="Arial"/>
          <w:sz w:val="18"/>
          <w:szCs w:val="18"/>
          <w:color w:val="auto"/>
        </w:rPr>
        <w:t xml:space="preserve">” means, with respect to each U.S. Lender, the commitment, if any, of such U.S. Lender to make U.S. Revolving Loans and to acquire participations in U.S. Letters of Credit, U.S. Overadvances and U.S. Swingline Loans hereunder, expressed as an amount representing the maximum possible aggregate amount of such U.S. Lender’s U.S. Revolving Exposure hereunder, as such commitment may be reduced or increased from time to time pursuant to (a) Section 2.09 and (b) assignments by or to such U.S. Lender pursuant to Section 9.04. The initial amount of each U.S. Lender’s U.S. Commitment is set forth on the </w:t>
      </w:r>
      <w:r>
        <w:rPr>
          <w:rFonts w:ascii="Arial" w:cs="Arial" w:eastAsia="Arial" w:hAnsi="Arial"/>
          <w:sz w:val="18"/>
          <w:szCs w:val="18"/>
          <w:u w:val="single" w:color="auto"/>
          <w:color w:val="auto"/>
        </w:rPr>
        <w:t>Revolving Commitment Schedule</w:t>
      </w:r>
      <w:r>
        <w:rPr>
          <w:rFonts w:ascii="Arial" w:cs="Arial" w:eastAsia="Arial" w:hAnsi="Arial"/>
          <w:sz w:val="18"/>
          <w:szCs w:val="18"/>
          <w:color w:val="auto"/>
        </w:rPr>
        <w:t>, or in the Assignment and Assumption pursuant to which such U.S. Lender shall have assumed its U.S. Commitment, as applicable. The U.S. Commitment is a sub-facility of the Revolving Commitment and is not in addition to the Revolving Commitment.</w:t>
      </w:r>
    </w:p>
    <w:p>
      <w:pPr>
        <w:spacing w:after="0" w:line="19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 Business Day</w:t>
      </w:r>
      <w:r>
        <w:rPr>
          <w:rFonts w:ascii="Arial" w:cs="Arial" w:eastAsia="Arial" w:hAnsi="Arial"/>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LC Exposure</w:t>
      </w:r>
      <w:r>
        <w:rPr>
          <w:rFonts w:ascii="Arial" w:cs="Arial" w:eastAsia="Arial" w:hAnsi="Arial"/>
          <w:sz w:val="16"/>
          <w:szCs w:val="16"/>
          <w:color w:val="auto"/>
        </w:rPr>
        <w:t>” means, at any time, the sum of the Commercial LC Exposure and the Standby LC Exposure of the U.S. Borrowers.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LC Exposure of any U.S. Lender at any time shall be its Applicable Percentage of the total U.S. LC Exposure at such time.</w:t>
      </w:r>
    </w:p>
    <w:p>
      <w:pPr>
        <w:spacing w:after="0" w:line="21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Lender Parties</w:t>
      </w:r>
      <w:r>
        <w:rPr>
          <w:rFonts w:ascii="Arial" w:cs="Arial" w:eastAsia="Arial" w:hAnsi="Arial"/>
          <w:sz w:val="18"/>
          <w:szCs w:val="18"/>
          <w:color w:val="auto"/>
        </w:rPr>
        <w:t>” means, individually and collectively as the context may require, the Administrative Agent, the U.S. Lenders, and the Issuing Banks issuing U.S. Letters of Credit.</w:t>
      </w:r>
    </w:p>
    <w:p>
      <w:pPr>
        <w:spacing w:after="0" w:line="170"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Lenders</w:t>
      </w:r>
      <w:r>
        <w:rPr>
          <w:rFonts w:ascii="Arial" w:cs="Arial" w:eastAsia="Arial" w:hAnsi="Arial"/>
          <w:sz w:val="16"/>
          <w:szCs w:val="16"/>
          <w:color w:val="auto"/>
        </w:rPr>
        <w:t xml:space="preserve">” means the Persons listed on the </w:t>
      </w:r>
      <w:r>
        <w:rPr>
          <w:rFonts w:ascii="Arial" w:cs="Arial" w:eastAsia="Arial" w:hAnsi="Arial"/>
          <w:sz w:val="16"/>
          <w:szCs w:val="16"/>
          <w:u w:val="single" w:color="auto"/>
          <w:color w:val="auto"/>
        </w:rPr>
        <w:t>Revolving Commitment Schedule</w:t>
      </w:r>
      <w:r>
        <w:rPr>
          <w:rFonts w:ascii="Arial" w:cs="Arial" w:eastAsia="Arial" w:hAnsi="Arial"/>
          <w:sz w:val="16"/>
          <w:szCs w:val="16"/>
          <w:color w:val="auto"/>
        </w:rPr>
        <w:t xml:space="preserve"> as having a U.S. Commitment and any other Person that shall acquire a U.S. Commitment pursuant to an Assignment and Assumption or become a lender pursuant to an Aggregate Commitment Increase in accordance with Section 2.09, other than any such Person that ceases to be such a Person hereto pursuant to an Assignment and Assumption. Unless the context otherwise requires, the term “</w:t>
      </w:r>
      <w:r>
        <w:rPr>
          <w:rFonts w:ascii="Arial" w:cs="Arial" w:eastAsia="Arial" w:hAnsi="Arial"/>
          <w:sz w:val="16"/>
          <w:szCs w:val="16"/>
          <w:u w:val="single" w:color="auto"/>
          <w:color w:val="auto"/>
        </w:rPr>
        <w:t>U.S. Lenders</w:t>
      </w:r>
      <w:r>
        <w:rPr>
          <w:rFonts w:ascii="Arial" w:cs="Arial" w:eastAsia="Arial" w:hAnsi="Arial"/>
          <w:sz w:val="16"/>
          <w:szCs w:val="16"/>
          <w:color w:val="auto"/>
        </w:rPr>
        <w:t>” includes the Swingline Lender in its capacity as a lender of U.S. Swingline Loans.</w:t>
      </w:r>
    </w:p>
    <w:p>
      <w:pPr>
        <w:spacing w:after="0" w:line="157"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Letter of Credit</w:t>
      </w:r>
      <w:r>
        <w:rPr>
          <w:rFonts w:ascii="Arial" w:cs="Arial" w:eastAsia="Arial" w:hAnsi="Arial"/>
          <w:sz w:val="18"/>
          <w:szCs w:val="18"/>
          <w:color w:val="auto"/>
        </w:rPr>
        <w:t>” means any Letter of Credit issued hereunder for the purpose of providing credit support for any U.S. Borrower, any Domestic Subsidiary or any Foreign Subsidiary.</w:t>
      </w:r>
    </w:p>
    <w:p>
      <w:pPr>
        <w:spacing w:after="0" w:line="170"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Loan Guarantors</w:t>
      </w:r>
      <w:r>
        <w:rPr>
          <w:rFonts w:ascii="Arial" w:cs="Arial" w:eastAsia="Arial" w:hAnsi="Arial"/>
          <w:sz w:val="17"/>
          <w:szCs w:val="17"/>
          <w:color w:val="auto"/>
        </w:rPr>
        <w:t xml:space="preserve">” means, individually or collectively, as the context may require: (a) the entities listed on the </w:t>
      </w:r>
      <w:r>
        <w:rPr>
          <w:rFonts w:ascii="Arial" w:cs="Arial" w:eastAsia="Arial" w:hAnsi="Arial"/>
          <w:sz w:val="17"/>
          <w:szCs w:val="17"/>
          <w:u w:val="single" w:color="auto"/>
          <w:color w:val="auto"/>
        </w:rPr>
        <w:t>Loan Party Schedule</w:t>
      </w:r>
      <w:r>
        <w:rPr>
          <w:rFonts w:ascii="Arial" w:cs="Arial" w:eastAsia="Arial" w:hAnsi="Arial"/>
          <w:sz w:val="17"/>
          <w:szCs w:val="17"/>
          <w:color w:val="auto"/>
        </w:rPr>
        <w:t xml:space="preserve"> attached hereto under the heading “U.S. Loan Guarantors,” (b) any Canadian Cross-Border Loan Guarantor, (c) any Domestic Subsidiary (other than a CFC Subsidiary Holding Company) that after the Fourth Restatement Date guarantees payment of the U.S. Obligations and the Canadian Obligations pursuant to Section 5.13 and (d) the successors and assigns of the Persons described in clauses (a), (b) and (c) of this definition;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for the avoidance of doubt, “U.S. Loan Guarantors” shall not include (i) WESCO Receivables, (ii) any Real Estate Subsidiary, (iii) any CFC Subsidiary or CFC Subsidiary Holding Company or (iv) any Dutch Subsidiary.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Loan Parties</w:t>
      </w:r>
      <w:r>
        <w:rPr>
          <w:rFonts w:ascii="Arial" w:cs="Arial" w:eastAsia="Arial" w:hAnsi="Arial"/>
          <w:sz w:val="17"/>
          <w:szCs w:val="17"/>
          <w:color w:val="auto"/>
        </w:rPr>
        <w:t>” means, individually or collectively, as the context may require, the U.S. Borrowers and the U.S. Loan Guarantors.</w:t>
      </w:r>
    </w:p>
    <w:p>
      <w:pPr>
        <w:spacing w:after="0" w:line="237" w:lineRule="exact"/>
        <w:rPr>
          <w:sz w:val="20"/>
          <w:szCs w:val="20"/>
          <w:color w:val="auto"/>
        </w:rPr>
      </w:pPr>
    </w:p>
    <w:p>
      <w:pPr>
        <w:jc w:val="both"/>
        <w:ind w:right="8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Loan Party Guaranty</w:t>
      </w:r>
      <w:r>
        <w:rPr>
          <w:rFonts w:ascii="Arial" w:cs="Arial" w:eastAsia="Arial" w:hAnsi="Arial"/>
          <w:sz w:val="18"/>
          <w:szCs w:val="18"/>
          <w:color w:val="auto"/>
        </w:rPr>
        <w:t>” means (i) Article VIII of the U.S. Security Agreement, and (ii) each other separate Guarantee having terms substantially similar to those set forth in Article VIII of the U.S. Security Agreement delivered by any other U.S. Loan Party after the Fourth Restatement Date, in each case, as amended or modified and in effect from time to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Loans</w:t>
      </w:r>
      <w:r>
        <w:rPr>
          <w:rFonts w:ascii="Arial" w:cs="Arial" w:eastAsia="Arial" w:hAnsi="Arial"/>
          <w:sz w:val="17"/>
          <w:szCs w:val="17"/>
          <w:color w:val="auto"/>
        </w:rPr>
        <w:t>” means, individually and collectively as the context may require, the U.S. Revolving Loans, the U.S. Swingline Loans,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Overadvances, and the U.S. Protective Advances.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82" w:name="page83"/>
    <w:bookmarkEnd w:id="82"/>
    <w:p>
      <w:pPr>
        <w:ind w:right="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U.S. Obligations</w:t>
      </w:r>
      <w:r>
        <w:rPr>
          <w:rFonts w:ascii="Arial" w:cs="Arial" w:eastAsia="Arial" w:hAnsi="Arial"/>
          <w:sz w:val="18"/>
          <w:szCs w:val="18"/>
          <w:color w:val="auto"/>
        </w:rPr>
        <w:t>” means, with respect to the U.S. Loan Parties, all unpaid principal of and accrued and unpaid interest on the U.S. Loans, all U.S. LC Exposure, all accrued and unpaid fees and all expenses, reimbursements, indemnities and other obligations of the U.S. Loan Parties to the Lenders or to any Lender, the Administrative Agent, any Issuing Bank with respect to a U.S. Letter of Credit or any indemnified party arising under the Loan Documents.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Overadvances</w:t>
      </w:r>
      <w:r>
        <w:rPr>
          <w:rFonts w:ascii="Arial" w:cs="Arial" w:eastAsia="Arial" w:hAnsi="Arial"/>
          <w:sz w:val="18"/>
          <w:szCs w:val="18"/>
          <w:color w:val="auto"/>
        </w:rPr>
        <w:t>” has the meaning assigned to such term in Section 2.05(c).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Protective Advance</w:t>
      </w:r>
      <w:r>
        <w:rPr>
          <w:rFonts w:ascii="Arial" w:cs="Arial" w:eastAsia="Arial" w:hAnsi="Arial"/>
          <w:sz w:val="18"/>
          <w:szCs w:val="18"/>
          <w:color w:val="auto"/>
        </w:rPr>
        <w:t>” has the meaning assigned to such term in Section 2.04(a).</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Revolving Exposure</w:t>
      </w:r>
      <w:r>
        <w:rPr>
          <w:rFonts w:ascii="Arial" w:cs="Arial" w:eastAsia="Arial" w:hAnsi="Arial"/>
          <w:sz w:val="18"/>
          <w:szCs w:val="18"/>
          <w:color w:val="auto"/>
        </w:rPr>
        <w:t xml:space="preserve">” means, with respect to any U.S. Lender at any time, the sum of (a) the outstanding principal amount of U.S. Revolving Loans of such U.S. Lender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an amount equal to such U.S. Lender’s Applicable Percentage of the aggregate principal amount of the U.S. Swingline Loans outstanding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an amount equal to such U.S. Lender’s Applicable Percentage of the aggregate U.S. LC Exposure outstanding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an amount equal to such U.S. Lender’s Applicable Percentage of the aggregate principal amount of the U.S. Overadvances outstanding at such time.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Revolving Loan</w:t>
      </w:r>
      <w:r>
        <w:rPr>
          <w:rFonts w:ascii="Arial" w:cs="Arial" w:eastAsia="Arial" w:hAnsi="Arial"/>
          <w:sz w:val="18"/>
          <w:szCs w:val="18"/>
          <w:color w:val="auto"/>
        </w:rPr>
        <w:t>” means a Revolving Loan made to the U.S. Borrowers.</w:t>
      </w:r>
    </w:p>
    <w:p>
      <w:pPr>
        <w:spacing w:after="0" w:line="225"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Secured Obligations</w:t>
      </w:r>
      <w:r>
        <w:rPr>
          <w:rFonts w:ascii="Arial" w:cs="Arial" w:eastAsia="Arial" w:hAnsi="Arial"/>
          <w:sz w:val="17"/>
          <w:szCs w:val="17"/>
          <w:color w:val="auto"/>
        </w:rPr>
        <w:t xml:space="preserve">” means all U.S. Obligations, together with all (a) Banking Services Obligations of the U.S. Loan Parties; (b) Swap Agreement Obligations of the U.S. Loan Parties and their Subsidiaries owing to one or more U.S. Lenders or their respective Affiliates (or any Person that was a Lender or an Affiliate of a Lender at the time the agreement was initially executed, or in the case of any agreement as in effect on the Fourth Restatement Date, was a Lender or an Affiliate of a Lender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promptly after any transaction relating to such Swap Obligation is executed, the U.S. Lender or Affiliate of a U.S. Lender party thereto (other than Barclays or its Affiliates) shall have delivered written notice to the Administrative Agent that such a transaction has been entered into and that it constitutes a U.S. Secured Obligation entitled to the benefits of the Collateral Documents in favor of the U.S. Lender Parties; and (c) all obligations of the U.S. Loan Parties in respect of all Guarantees provided by such U.S. Loan Parties of Indebtedness of Foreign Subsidiaries under Foreign Credit Extensions and Foreign Banking Services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promptly after any such Guarantee by any U.S. Loan Party relating to such Foreign Credit Extensions and Foreign Banking Services Obligations is entered into, the U.S. Lender or Affiliate of a U.S. Lender party thereto (other than Barclays or its Affiliates) shall have delivered written notice to the Administrative Agent that such a Guarantee has been entered into and that it constitutes a U.S. Secured Obligation entitled to the benefits of the Collateral Documents in favor of the U.S. Lender Parties.</w:t>
      </w:r>
    </w:p>
    <w:p>
      <w:pPr>
        <w:spacing w:after="0" w:line="17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Security Agreement</w:t>
      </w:r>
      <w:r>
        <w:rPr>
          <w:rFonts w:ascii="Arial" w:cs="Arial" w:eastAsia="Arial" w:hAnsi="Arial"/>
          <w:sz w:val="18"/>
          <w:szCs w:val="18"/>
          <w:color w:val="auto"/>
        </w:rPr>
        <w:t xml:space="preserve">” means that certain Fourth Amended and Restated Pledge and Security Agreement, dated as of the Fourth Restatement Date, among the U.S. Loan Parties, WDINESCO II B.V (solely, in the case of WDINESCO II B.V., with respect to the pledge of the Equity Interests of WDCH, LP) and the Administrative Agent, for the benefit of the Lender Parties in substantially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attached hereto, which Third Amended and Restated Pledge and Security Agreement amends and restates in its entirety the Second Amended and Restated Pledge and Security Agreement among the U.S. Loan Parties and the Existing U.S. Administrative Agent, for the benefit of the Lender Parties, dated as of the Third Restatement Date, and any other pledge or security agreement entered into after the Fourth Restatement Date by any other U.S. Loan Party (as required by this Agreement or any other Loan Document), or any other Person, in each case, as the same may be amended, restated or otherwise modified from time to time.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Swingline Loan</w:t>
      </w:r>
      <w:r>
        <w:rPr>
          <w:rFonts w:ascii="Arial" w:cs="Arial" w:eastAsia="Arial" w:hAnsi="Arial"/>
          <w:sz w:val="18"/>
          <w:szCs w:val="18"/>
          <w:color w:val="auto"/>
        </w:rPr>
        <w:t>” means a Loan made by the Swingline Lender pursuant to Section 2.05(a).</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Wage Earner Protection Act Reserve</w:t>
      </w:r>
      <w:r>
        <w:rPr>
          <w:rFonts w:ascii="Arial" w:cs="Arial" w:eastAsia="Arial" w:hAnsi="Arial"/>
          <w:sz w:val="18"/>
          <w:szCs w:val="18"/>
          <w:color w:val="auto"/>
        </w:rPr>
        <w:t xml:space="preserve">” means, on any date of determination, a reserve established from time to time by the Administrative Agent in such amount as the Administrative Agent determines reflects the amounts that may become due under the </w:t>
      </w:r>
      <w:r>
        <w:rPr>
          <w:rFonts w:ascii="Arial" w:cs="Arial" w:eastAsia="Arial" w:hAnsi="Arial"/>
          <w:sz w:val="18"/>
          <w:szCs w:val="18"/>
          <w:i w:val="1"/>
          <w:iCs w:val="1"/>
          <w:color w:val="auto"/>
        </w:rPr>
        <w:t>Wage Earner Protection Program Act</w:t>
      </w:r>
      <w:r>
        <w:rPr>
          <w:rFonts w:ascii="Arial" w:cs="Arial" w:eastAsia="Arial" w:hAnsi="Arial"/>
          <w:sz w:val="18"/>
          <w:szCs w:val="18"/>
          <w:color w:val="auto"/>
        </w:rPr>
        <w:t xml:space="preserve"> (Canada) with respect to the employees of any Loan Party employed in Canada which would give rise to a Lien with priority under applicable law over the Lien of the Administrative Agent.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40"/>
          </w:cols>
          <w:pgMar w:left="440" w:top="274" w:right="519" w:bottom="1440" w:gutter="0" w:footer="0" w:header="0"/>
        </w:sectPr>
      </w:pPr>
    </w:p>
    <w:bookmarkStart w:id="83" w:name="page84"/>
    <w:bookmarkEnd w:id="8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WDC Holding</w:t>
      </w:r>
      <w:r>
        <w:rPr>
          <w:rFonts w:ascii="Arial" w:cs="Arial" w:eastAsia="Arial" w:hAnsi="Arial"/>
          <w:sz w:val="18"/>
          <w:szCs w:val="18"/>
          <w:color w:val="auto"/>
        </w:rPr>
        <w:t>” means WDC Holding, Inc., a Delaware corporation.</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Weekly Reporting Trigger Period</w:t>
      </w:r>
      <w:r>
        <w:rPr>
          <w:rFonts w:ascii="Arial" w:cs="Arial" w:eastAsia="Arial" w:hAnsi="Arial"/>
          <w:sz w:val="18"/>
          <w:szCs w:val="18"/>
          <w:color w:val="auto"/>
        </w:rPr>
        <w:t>” means the period (a) commencing on the day that (i) an Event of Default occurs, or (ii) Aggregate Availability falls below the Aggregate Availability Trigger Amount and (b) continuing until the date on which no Event of Default has existed and the Aggregate Availability has exceeded the Aggregate Availability Trigger Amount for thirty consecutive days.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WESCO Canada I</w:t>
      </w:r>
      <w:r>
        <w:rPr>
          <w:rFonts w:ascii="Arial" w:cs="Arial" w:eastAsia="Arial" w:hAnsi="Arial"/>
          <w:sz w:val="18"/>
          <w:szCs w:val="18"/>
          <w:color w:val="auto"/>
        </w:rPr>
        <w:t>” means WESCO Canada I, LP, a limited partnership organized under the laws of Alberta.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WESCO Receivables</w:t>
      </w:r>
      <w:r>
        <w:rPr>
          <w:rFonts w:ascii="Arial" w:cs="Arial" w:eastAsia="Arial" w:hAnsi="Arial"/>
          <w:sz w:val="18"/>
          <w:szCs w:val="18"/>
          <w:color w:val="auto"/>
        </w:rPr>
        <w:t>” means WESCO Receivables Corp., a Delaware corporation.</w:t>
      </w:r>
    </w:p>
    <w:p>
      <w:pPr>
        <w:spacing w:after="0" w:line="225"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WESCO Receivables Intercompany Loans</w:t>
      </w:r>
      <w:r>
        <w:rPr>
          <w:rFonts w:ascii="Arial" w:cs="Arial" w:eastAsia="Arial" w:hAnsi="Arial"/>
          <w:sz w:val="18"/>
          <w:szCs w:val="18"/>
          <w:color w:val="auto"/>
        </w:rPr>
        <w:t>” means all loans owing to any Loan Party from WESCO Receivables Corp., and all guarantees of such loans, whether or not such loans or guarantees are evidenced by the WESCO Receivables Intercompany Notes or any other Instruments or Documents.</w:t>
      </w:r>
    </w:p>
    <w:p>
      <w:pPr>
        <w:spacing w:after="0" w:line="184" w:lineRule="exact"/>
        <w:rPr>
          <w:sz w:val="20"/>
          <w:szCs w:val="20"/>
          <w:color w:val="auto"/>
        </w:rPr>
      </w:pPr>
    </w:p>
    <w:p>
      <w:pPr>
        <w:ind w:right="3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WESCO Receivables Intercompany Notes</w:t>
      </w:r>
      <w:r>
        <w:rPr>
          <w:rFonts w:ascii="Arial" w:cs="Arial" w:eastAsia="Arial" w:hAnsi="Arial"/>
          <w:sz w:val="16"/>
          <w:szCs w:val="16"/>
          <w:color w:val="auto"/>
        </w:rPr>
        <w:t>” means all promissory notes issued from time to time by WESCO Receivables Corp. in favor of certain of the Loan Parties, in each case, evidencing loans made by such Loan Parties to WESCO Receivables Corp. under the WESCO Receivables Securitization Agreements, as such notes may be amended, restated, supplemented or otherwise modified or replaced from time to time.</w:t>
      </w:r>
    </w:p>
    <w:p>
      <w:pPr>
        <w:spacing w:after="0" w:line="14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any Loan Party or the Administrative Agent, as applicable.</w:t>
      </w:r>
    </w:p>
    <w:p>
      <w:pPr>
        <w:spacing w:after="0" w:line="225"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6"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(e.g., a “Revolving Loan”) or by Type (e.g., a “SOFR Loan” or “Term Benchmark Loan”) or by Class and Type (e.g., a “SOFR Revolving Loan”). Borrowings also may be classified and referred to by Class (e.g., a “Revolving Borrowing”) or by Type (e.g., a “SOFR Borrowing” or “Term Benchmark Borrowing”) or by Class and Type (e.g., a “SOFR Revolving Borrowing”).</w:t>
      </w:r>
    </w:p>
    <w:p>
      <w:pPr>
        <w:spacing w:after="0" w:line="18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replaced, or otherwise modified (subject to any restrictions on such amendments, supplements, replacements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in any definition to the phrase “at any time” or “for any time” shall refer to the same time or period for all calculations or determination within such definition, and (f) the words “asset” and “property” shall be construed to have the same meaning and effect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84" w:name="page85"/>
    <w:bookmarkEnd w:id="84"/>
    <w:p>
      <w:pPr>
        <w:ind w:left="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refer to any and all tangible and intangible assets and properties, including cash, securities, accounts and contract rights. All certificates and other documents required to be provided by a specified officer of a Loan Party shall be deemed to be provided by such person solely in their capacity as such officer.</w:t>
      </w:r>
    </w:p>
    <w:p>
      <w:pPr>
        <w:spacing w:after="0" w:line="184" w:lineRule="exact"/>
        <w:rPr>
          <w:sz w:val="20"/>
          <w:szCs w:val="20"/>
          <w:color w:val="auto"/>
        </w:rPr>
      </w:pPr>
    </w:p>
    <w:p>
      <w:pPr>
        <w:ind w:left="4" w:right="60" w:firstLine="440"/>
        <w:spacing w:after="0" w:line="283" w:lineRule="auto"/>
        <w:rPr>
          <w:sz w:val="20"/>
          <w:szCs w:val="20"/>
          <w:color w:val="auto"/>
        </w:rPr>
      </w:pPr>
      <w:r>
        <w:rPr>
          <w:rFonts w:ascii="Arial" w:cs="Arial" w:eastAsia="Arial" w:hAnsi="Arial"/>
          <w:sz w:val="16"/>
          <w:szCs w:val="16"/>
          <w:color w:val="auto"/>
        </w:rPr>
        <w:t>For purposes of any Collateral located in the Province of Quebec or charged by any deed of hypothec (or any other Loan Document) and for all other purposes pursuant to which the interpretation or construction of a Loan Document may be subject to the laws of the Province of Quebec or a court or tribunal exercising jurisdiction in the Province of Quebec, (a) “personal property” shall be deemed to include “movable property,” (b) “real property” shall be deemed to include “immovable property,” (c) “tangible property” shall be deemed to include “corporeal property,” (d) “intangible property” shall be deemed to include “incorporeal property,” (e) “security interest” and “mortgage” shall be deemed to include a “hypothec,” (f) all references to filing, registering or recording under the UCC or the PPSA shall be deemed to include publication under the Civil Code of Québec, (g) all references to “perfection” of or “perfected” Liens shall be deemed to include a reference to the “opposability” of such Liens to third parties, (h) any “right of offset,” “right of setoff” or similar expression shall be deemed to include a “right of compensation,” (i) “goods” shall be deemed to include “corporeal movable property” other than chattel paper, documents of title, instruments, money and securities, (j) an “agent” shall be deemed to include a “mandatary,”</w:t>
      </w:r>
    </w:p>
    <w:p>
      <w:pPr>
        <w:spacing w:after="0" w:line="6" w:lineRule="exact"/>
        <w:rPr>
          <w:sz w:val="20"/>
          <w:szCs w:val="20"/>
          <w:color w:val="auto"/>
        </w:rPr>
      </w:pPr>
    </w:p>
    <w:p>
      <w:pPr>
        <w:ind w:left="4" w:right="140" w:hanging="4"/>
        <w:spacing w:after="0" w:line="281" w:lineRule="auto"/>
        <w:tabs>
          <w:tab w:leader="none" w:pos="259"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“construction liens” shall be deemed to include “legal hypothecs,” (l) “joint and several” shall be deemed to include “solidary,” (m) “gross negligence or willful misconduct” shall be deemed to be “intentional or gross fault,” (n) “beneficial ownership” shall be deemed to include “ownership on behalf of another as mandatary,” (o) “servitude” shall be deemed to include “easement,” (p) “priority” shall be deemed to include “prior claim,”</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46"/>
        </w:numPr>
        <w:rPr>
          <w:rFonts w:ascii="Arial" w:cs="Arial" w:eastAsia="Arial" w:hAnsi="Arial"/>
          <w:sz w:val="17"/>
          <w:szCs w:val="17"/>
          <w:color w:val="auto"/>
        </w:rPr>
      </w:pPr>
      <w:r>
        <w:rPr>
          <w:rFonts w:ascii="Arial" w:cs="Arial" w:eastAsia="Arial" w:hAnsi="Arial"/>
          <w:sz w:val="17"/>
          <w:szCs w:val="17"/>
          <w:color w:val="auto"/>
        </w:rPr>
        <w:t>“survey” shall be deemed to include “certificate of location and plan,” (r) “fee simple title” shall be deemed to include “absolute ownership,” and</w:t>
      </w:r>
    </w:p>
    <w:p>
      <w:pPr>
        <w:spacing w:after="0" w:line="20" w:lineRule="exact"/>
        <w:rPr>
          <w:rFonts w:ascii="Arial" w:cs="Arial" w:eastAsia="Arial" w:hAnsi="Arial"/>
          <w:sz w:val="17"/>
          <w:szCs w:val="17"/>
          <w:color w:val="auto"/>
        </w:rPr>
      </w:pPr>
    </w:p>
    <w:p>
      <w:pPr>
        <w:ind w:left="244" w:hanging="244"/>
        <w:spacing w:after="0"/>
        <w:tabs>
          <w:tab w:leader="none" w:pos="2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“foreclosure” shall be deemed to include the “exercise of a hypothecary right.”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Accounting Terms; GAAP</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87" w:lineRule="auto"/>
        <w:tabs>
          <w:tab w:leader="none" w:pos="689"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herein, all terms of an accounting or financial nature shall be construed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after the Fourth Restatement Date, the Borrowers migrate to IFRS or there occurs any change in GAAP or in the application thereof on the operation of any provision hereof and the Borrower Representative notifies the Administrative Agent that the Borrowers request an amendment to any provision hereof to eliminate the effect of such migration to IFRS or any change occurring after the Fourth Restatement Date in GAAP or in the application thereof (or if the Administrative Agent notifies the Borrower Representative that the Required Lenders request an amendment to any provision hereof for such purpose), regardless of whether any such notice is given before or after such migration to IFRS or such change in GAAP or in the application thereof, then such provision shall be interpreted on the basis of GAAP as in effect and applied immediately before such migration or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any Loan Party at “fair value,” as defined therein.</w:t>
      </w:r>
    </w:p>
    <w:p>
      <w:pPr>
        <w:spacing w:after="0" w:line="59" w:lineRule="exact"/>
        <w:rPr>
          <w:rFonts w:ascii="Arial" w:cs="Arial" w:eastAsia="Arial" w:hAnsi="Arial"/>
          <w:sz w:val="16"/>
          <w:szCs w:val="16"/>
          <w:color w:val="auto"/>
        </w:rPr>
      </w:pPr>
    </w:p>
    <w:p>
      <w:pPr>
        <w:ind w:left="4" w:right="180" w:firstLine="436"/>
        <w:spacing w:after="0" w:line="273" w:lineRule="auto"/>
        <w:tabs>
          <w:tab w:leader="none" w:pos="699"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Section 1.04(a) or in the definition of “</w:t>
      </w:r>
      <w:r>
        <w:rPr>
          <w:rFonts w:ascii="Arial" w:cs="Arial" w:eastAsia="Arial" w:hAnsi="Arial"/>
          <w:sz w:val="17"/>
          <w:szCs w:val="17"/>
          <w:u w:val="single" w:color="auto"/>
          <w:color w:val="auto"/>
        </w:rPr>
        <w:t>Capital Lease Obligations</w:t>
      </w:r>
      <w:r>
        <w:rPr>
          <w:rFonts w:ascii="Arial" w:cs="Arial" w:eastAsia="Arial" w:hAnsi="Arial"/>
          <w:sz w:val="17"/>
          <w:szCs w:val="17"/>
          <w:color w:val="auto"/>
        </w:rPr>
        <w:t>” or “</w:t>
      </w:r>
      <w:r>
        <w:rPr>
          <w:rFonts w:ascii="Arial" w:cs="Arial" w:eastAsia="Arial" w:hAnsi="Arial"/>
          <w:sz w:val="17"/>
          <w:szCs w:val="17"/>
          <w:u w:val="single" w:color="auto"/>
          <w:color w:val="auto"/>
        </w:rPr>
        <w:t>Indebtedness,</w:t>
      </w:r>
      <w:r>
        <w:rPr>
          <w:rFonts w:ascii="Arial" w:cs="Arial" w:eastAsia="Arial" w:hAnsi="Arial"/>
          <w:sz w:val="17"/>
          <w:szCs w:val="17"/>
          <w:color w:val="auto"/>
        </w:rPr>
        <w:t>” any change in accounting for leases pursuant to GAAP resulting from the adoption of Financial Accounting Standards Board Accounting Standards Update No. 2016-02, Leases (Topic 842) (“</w:t>
      </w:r>
      <w:r>
        <w:rPr>
          <w:rFonts w:ascii="Arial" w:cs="Arial" w:eastAsia="Arial" w:hAnsi="Arial"/>
          <w:sz w:val="17"/>
          <w:szCs w:val="17"/>
          <w:u w:val="single" w:color="auto"/>
          <w:color w:val="auto"/>
        </w:rPr>
        <w:t>FAS 842</w:t>
      </w:r>
      <w:r>
        <w:rPr>
          <w:rFonts w:ascii="Arial" w:cs="Arial" w:eastAsia="Arial" w:hAnsi="Arial"/>
          <w:sz w:val="17"/>
          <w:szCs w:val="17"/>
          <w:color w:val="auto"/>
        </w:rPr>
        <w:t>”),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Currency Matters</w:t>
      </w:r>
      <w:r>
        <w:rPr>
          <w:rFonts w:ascii="Arial" w:cs="Arial" w:eastAsia="Arial" w:hAnsi="Arial"/>
          <w:sz w:val="18"/>
          <w:szCs w:val="18"/>
          <w:color w:val="auto"/>
        </w:rPr>
        <w:t>.</w:t>
      </w:r>
    </w:p>
    <w:p>
      <w:pPr>
        <w:spacing w:after="0" w:line="117" w:lineRule="exact"/>
        <w:rPr>
          <w:sz w:val="20"/>
          <w:szCs w:val="20"/>
          <w:color w:val="auto"/>
        </w:rPr>
      </w:pPr>
    </w:p>
    <w:p>
      <w:pPr>
        <w:ind w:left="4" w:right="100" w:firstLine="436"/>
        <w:spacing w:after="0" w:line="277" w:lineRule="auto"/>
        <w:tabs>
          <w:tab w:leader="none" w:pos="6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Principal, interest, reimbursement obligations, fees, and all other amounts payable under this Agreement and the other Loan Documents to the Administrative Agent and the Lenders shall be payable in the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4"/>
          </w:cols>
          <w:pgMar w:left="436" w:top="274" w:right="459" w:bottom="1440" w:gutter="0" w:footer="0" w:header="0"/>
        </w:sectPr>
      </w:pPr>
    </w:p>
    <w:bookmarkStart w:id="85" w:name="page86"/>
    <w:bookmarkEnd w:id="85"/>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currency in which such Obligations are denominated,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reimbursement by a Canadian Borrower of an LC Disbursement in respect of a Canadian Letter of Credit denominated in Canadian Dollars or any payment by a Canadian Lender to the Administrative Agent or an Issuing Bank in respect of its participation with respect to any such Canadian Letter of Credit shall be payable in Canadian Dollars and (ii) any reimbursement by a U.S. Borrower of an LC Disbursement in respect of a U.S. Letter of Credit denominated in an LC Alternative Currency or any payment by a Lender to the Administrative Agent or an Issuing Bank in respect of its participation with respect to any such Letter of Credit in an LC Alternative Currency shall be payable in dollars.</w:t>
      </w:r>
    </w:p>
    <w:p>
      <w:pPr>
        <w:spacing w:after="0" w:line="84" w:lineRule="exact"/>
        <w:rPr>
          <w:sz w:val="20"/>
          <w:szCs w:val="20"/>
          <w:color w:val="auto"/>
        </w:rPr>
      </w:pPr>
    </w:p>
    <w:p>
      <w:pPr>
        <w:jc w:val="both"/>
        <w:ind w:left="4" w:right="160" w:firstLine="436"/>
        <w:spacing w:after="0" w:line="259" w:lineRule="auto"/>
        <w:tabs>
          <w:tab w:leader="none" w:pos="699"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Without limiting the other terms of this Agreement, all calculations and determinations under this Agreement of any amount in any currency other than dollars shall be deemed to refer to the Dollar Amount thereof, as the case may be, and all Borrowing Base Certificates delivered under this Agreement shall express such calculations or determinations in dollars or the Dollar Amount thereof, as the case may be. Each requisite currency translation shall be based on the Exchange Rate.</w:t>
      </w:r>
    </w:p>
    <w:p>
      <w:pPr>
        <w:spacing w:after="0" w:line="78" w:lineRule="exact"/>
        <w:rPr>
          <w:rFonts w:ascii="Arial" w:cs="Arial" w:eastAsia="Arial" w:hAnsi="Arial"/>
          <w:sz w:val="18"/>
          <w:szCs w:val="18"/>
          <w:color w:val="auto"/>
        </w:rPr>
      </w:pPr>
    </w:p>
    <w:p>
      <w:pPr>
        <w:ind w:left="4" w:right="40" w:firstLine="436"/>
        <w:spacing w:after="0" w:line="257" w:lineRule="auto"/>
        <w:tabs>
          <w:tab w:leader="none" w:pos="6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purposes of this Agreement and the other Loan Documents, the Dollar Amount of any Borrowings, Loans, Letters of Credit and other Obligations shall be determined in accordance with the terms of this Agreement in respect of the most recent Revaluation Date. Such Dollar Amount shall become effective as of such Revaluation Date for such Borrowings, Loans, Letters of Credit and other Obligations and shall be the Dollar Amount employed in converting any amounts between the applicable currencies until the next Revaluation Date to occur with respect to such Borrowings, Loans, Letters of Credit and other Obligations.</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Rates</w:t>
      </w:r>
      <w:r>
        <w:rPr>
          <w:rFonts w:ascii="Arial" w:cs="Arial" w:eastAsia="Arial" w:hAnsi="Arial"/>
          <w:sz w:val="17"/>
          <w:szCs w:val="17"/>
          <w:color w:val="auto"/>
        </w:rPr>
        <w:t>. The Administrative Agent does not warrant or accept responsibility for, and shall not have any liability with respect to</w:t>
      </w:r>
    </w:p>
    <w:p>
      <w:pPr>
        <w:spacing w:after="0" w:line="35" w:lineRule="exact"/>
        <w:rPr>
          <w:sz w:val="20"/>
          <w:szCs w:val="20"/>
          <w:color w:val="auto"/>
        </w:rPr>
      </w:pPr>
    </w:p>
    <w:p>
      <w:pPr>
        <w:ind w:left="4" w:right="60" w:hanging="4"/>
        <w:spacing w:after="0" w:line="285" w:lineRule="auto"/>
        <w:tabs>
          <w:tab w:leader="none" w:pos="2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continuation of, administration of, submission of, calculation of or any other matter related to Alternate Base Rate, Canadian Prime Rate, Term SOFR or Daily Simple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Alternate Base Rate, Canadian Prime Rate, Term SOFR, Daily Simple SOFR or any other Benchmark prior to its discontinuance or unavailability, or (b) the effect, implementation or composition of any Conforming Changes. The Administrative Agent and its affiliates or other related entities may engage in transactions that affect the calculation of Base Rate, Canadian Prime Rate, Term SOFR, Daily Simple SOFR, any alternative, successor or replacement rate (including any Benchmark Replacement) or any relevant adjustments thereto, in each case, in a manner adverse to the Borrowers. The Administrative Agent may select information sources or services in its reasonable discretion to ascertain Alternate Base Rate, Canadian Prime Rate, Term SOFR, Daily Simple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69"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Pro Forma Adjustments for Investments and Dispositions</w:t>
      </w:r>
      <w:r>
        <w:rPr>
          <w:rFonts w:ascii="Arial" w:cs="Arial" w:eastAsia="Arial" w:hAnsi="Arial"/>
          <w:sz w:val="17"/>
          <w:szCs w:val="17"/>
          <w:color w:val="auto"/>
        </w:rPr>
        <w:t>. To the extent any Loan Party or any Restricted Subsidiary makes any Investment permitted pursuant to Section 6.04 or Disposition outside the ordinary course of business permitted by Section 6.05 during the period of four fiscal quarters of the Loan Parties most recently ended, the Fixed Charge Coverage Ratio, the Secured Leverage Ratio and the Total Leverage Ratio (as applicable) shall be calculated after giving pro forma effect thereto (including pro forma adjustments arising out of events which are directly attributable to the Investment or the Disposition, are factually supportable and are reasonably expected to have a continuing impact, in each case as determined on a basis consistent with Article 11 of Regulation S-X of the Securities Act of 1933, as amended, as interpreted by the SEC, and as certified by a Financial Officer of such Loan Party or Restricted Subsidiary), as if such Investment or such Disposition (and any related incurrence, repayment or assumption of Indebtedness) had occurred in the first day of such four-quarter period.</w:t>
      </w:r>
    </w:p>
    <w:p>
      <w:pPr>
        <w:spacing w:after="0" w:line="178"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Limited Condition Transactions</w:t>
      </w:r>
      <w:r>
        <w:rPr>
          <w:rFonts w:ascii="Arial" w:cs="Arial" w:eastAsia="Arial" w:hAnsi="Arial"/>
          <w:sz w:val="18"/>
          <w:szCs w:val="18"/>
          <w:color w:val="auto"/>
        </w:rPr>
        <w:t>. Notwithstanding anything in this Agreement or any Loan Document to the contrary, solely in connection with a Limited Condition Transaction (a) when calculating any applicable ratio or financial test or determining whether any Default or Event of Default has occurred, is continuing or would result from the consummation of such Limited Condition Transaction, in each case, pursuant to Section 6.01,</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4"/>
          </w:cols>
          <w:pgMar w:left="436" w:top="274" w:right="499" w:bottom="1440" w:gutter="0" w:footer="0" w:header="0"/>
        </w:sectPr>
      </w:pPr>
    </w:p>
    <w:bookmarkStart w:id="86" w:name="page87"/>
    <w:bookmarkEnd w:id="8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6.02, Section 6.04, Section 6.05, or Section 6.08 in connection with the incurrence of Indebtedness, the creation of Liens, the making of any Disposition, the making of an Investment (including consummating a Permitted Acquisition), the making of a Restricted Payment, the designation of a Subsidiary as restricted or unrestricted or the repayment of Indebtedness in connection with such Limited Condition Transaction (each, a “</w:t>
      </w:r>
      <w:r>
        <w:rPr>
          <w:rFonts w:ascii="Arial" w:cs="Arial" w:eastAsia="Arial" w:hAnsi="Arial"/>
          <w:sz w:val="16"/>
          <w:szCs w:val="16"/>
          <w:u w:val="single" w:color="auto"/>
          <w:color w:val="auto"/>
        </w:rPr>
        <w:t>LCT</w:t>
      </w:r>
      <w:r>
        <w:rPr>
          <w:rFonts w:ascii="Arial" w:cs="Arial" w:eastAsia="Arial" w:hAnsi="Arial"/>
          <w:sz w:val="16"/>
          <w:szCs w:val="16"/>
          <w:color w:val="auto"/>
        </w:rPr>
        <w:t xml:space="preserve"> </w:t>
      </w:r>
      <w:r>
        <w:rPr>
          <w:rFonts w:ascii="Arial" w:cs="Arial" w:eastAsia="Arial" w:hAnsi="Arial"/>
          <w:sz w:val="16"/>
          <w:szCs w:val="16"/>
          <w:u w:val="single" w:color="auto"/>
          <w:color w:val="auto"/>
        </w:rPr>
        <w:t>Specified Transaction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Borrowing hereunder shall not constitute an LCT Specified Transaction except in the case of any Borrowing with respect to any “first in, last out” incremental or (b) determining the accuracy of any representation or warranty under this Agreement or any other Loan Document in connection with a Limited Condition Transaction, the date of determination of such ratio or financial test, the accuracy of such representation or warranty (but taking into account any earlier date specified therein) or whether any Default or Event of Default has occurred, is continuing or would result therefrom shall, at the option of the Borrower Representative (the Borrower Representative’s election to exercise such option in connection with any Limited Condition Transaction, an “</w:t>
      </w:r>
      <w:r>
        <w:rPr>
          <w:rFonts w:ascii="Arial" w:cs="Arial" w:eastAsia="Arial" w:hAnsi="Arial"/>
          <w:sz w:val="16"/>
          <w:szCs w:val="16"/>
          <w:u w:val="single" w:color="auto"/>
          <w:color w:val="auto"/>
        </w:rPr>
        <w:t>LCT Election</w:t>
      </w:r>
      <w:r>
        <w:rPr>
          <w:rFonts w:ascii="Arial" w:cs="Arial" w:eastAsia="Arial" w:hAnsi="Arial"/>
          <w:sz w:val="16"/>
          <w:szCs w:val="16"/>
          <w:color w:val="auto"/>
        </w:rPr>
        <w:t>”), be deemed to be the date the definitive agreements for such Limited Condition Transaction are entered into (the “</w:t>
      </w:r>
      <w:r>
        <w:rPr>
          <w:rFonts w:ascii="Arial" w:cs="Arial" w:eastAsia="Arial" w:hAnsi="Arial"/>
          <w:sz w:val="16"/>
          <w:szCs w:val="16"/>
          <w:u w:val="single" w:color="auto"/>
          <w:color w:val="auto"/>
        </w:rPr>
        <w:t>LCT Test Date</w:t>
      </w:r>
      <w:r>
        <w:rPr>
          <w:rFonts w:ascii="Arial" w:cs="Arial" w:eastAsia="Arial" w:hAnsi="Arial"/>
          <w:sz w:val="16"/>
          <w:szCs w:val="16"/>
          <w:color w:val="auto"/>
        </w:rPr>
        <w:t>”). If on a pro forma basis after giving effect to such Limited Condition Transaction and the other transactions to be entered into in connection therewith (including any incurrence of Indebtedness and the use of proceeds thereof) such ratios, financial tests, representations and warranties and absence of defaults are calculated as if such Limited Condition Transaction or other transactions had occurred at the beginning of the most recent period of four consecutive fiscal quarters ending prior to the LCT Test Date for which financial statements are available, the applicable Loan Party could have taken such action on the relevant LCT Test Date in compliance with the applicable ratios or other provisions, such provisions shall be deemed to have been complied with. For the avoidance of doubt, (i) if any of such ratios, financial tests, representations and warranties or absence of defaults are exceeded or breached as a result of fluctuations in such ratio (including due to fluctuations in EBITDA), a change in facts and circumstances or other provisions at or prior to the consummation of the relevant Limited Condition Transaction, such ratios, representations and warranties and absence of defaults will not be deemed to have been exceeded, breached, or otherwise failed as a result of such fluctuations or changed circumstances solely for purposes of determining whether the Limited Condition Transaction and any related transactions is permitted hereunder and (ii) such ratios and compliance with such conditions shall not be tested at the time of consummation of such Limited Condition Transaction or related LCT Specified Transactions. If the Borrower Representative has made an LCT Election for any Limited Condition Transaction, then in connection with any subsequent calculation of any ratio or basket availability with respect to any subsequent Acquisition or Investment that any Loan Party or Restricted Subsidiary is contractually committed to consummate on or following the relevant LCT Test Date and prior to the earlier of the date on which such Limited Condition Transaction is consummated or the date that the definitive agreement for such Limited Condition Transaction is terminated or expires without consummation of such Limited Condition Transaction, any such ratio or basket shall be calculated on a pro forma basis both (i) assuming such Limited Condition Transaction and other transactions in connection therewith (including any incurrence of Indebtedness and the use of proceeds thereof) have been consummated and (ii) assuming such Limited Condition Transaction and other transactions in connection therewith (including any incurrence of Indebtedness and the use of proceeds thereof) have not been consummated.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II. </w:t>
      </w:r>
      <w:r>
        <w:rPr>
          <w:rFonts w:ascii="Arial" w:cs="Arial" w:eastAsia="Arial" w:hAnsi="Arial"/>
          <w:sz w:val="18"/>
          <w:szCs w:val="18"/>
          <w:u w:val="single" w:color="auto"/>
          <w:color w:val="auto"/>
        </w:rPr>
        <w:t>The Credits</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Revolving Commitments</w:t>
      </w:r>
      <w:r>
        <w:rPr>
          <w:rFonts w:ascii="Arial" w:cs="Arial" w:eastAsia="Arial" w:hAnsi="Arial"/>
          <w:sz w:val="18"/>
          <w:szCs w:val="18"/>
          <w:color w:val="auto"/>
        </w:rPr>
        <w:t>. Subject to the terms and conditions set forth herein, (a) each U.S. Lender agrees to make U.S. Revolving Loans to the U.S. Borrowers denominated in dollars from time to time during the Availability Period, and (b) each Canadian Lender agrees to make Canadian Revolving Loans to the Canadian Borrowers denominated in either dollars or Canadian Dollars from time to time during the Availability Period, so long as, in each case after giving effect thereto:</w:t>
      </w:r>
    </w:p>
    <w:p>
      <w:pPr>
        <w:spacing w:after="0" w:line="79" w:lineRule="exact"/>
        <w:rPr>
          <w:sz w:val="20"/>
          <w:szCs w:val="20"/>
          <w:color w:val="auto"/>
        </w:rPr>
      </w:pPr>
    </w:p>
    <w:p>
      <w:pPr>
        <w:ind w:left="440" w:right="20" w:firstLine="419"/>
        <w:spacing w:after="0" w:line="277" w:lineRule="auto"/>
        <w:tabs>
          <w:tab w:leader="none" w:pos="107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U.S. Revolving Exposure, Canadian Revolving Exposure or Revolving Exposure of any Lender would not exceed such Lender’s U.S. Commitment, Canadian Commitment or Revolving Commitment, as the case may be;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U.S. Availability would not be less than zero;</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Canadian Availability would not be less than zero; and</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Aggregate Availability would not be less than zero,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87" w:name="page88"/>
    <w:bookmarkEnd w:id="87"/>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Administrative Agent’s authority, in its sole discretion, to make Protective Advances and Overadvances pursuant to the terms of Section 2.04 and 2.05. Within the foregoing limits and subject to the terms and conditions set forth herein, each Borrower may borrow, prepay and reborrow Revolving Loans. On the Fourth Restatement Date, the Administrative Agent shall reallocate or terminate, as applicable, the commitments and loans outstanding under the Existing Credit Agreement in accordance with the Lenders’ respective Applicable Percentages and all loans outstanding as of the Fourth Restatement Date under the Existing Credit Agreement shall automatically and without further action by the parties hereto be deemed converted into Loans under this Agreement and shall be included in the calculations as of the Fourth Restatement Date of “Aggregate Revolving Exposure” and “Revolving Exposure.” All liabilities of the Loan Parties with respect to such Loans shall constitute Obligations and it is the intention of the Loan Parties that such Obligations shall continue to be secured by Collateral Documents.</w:t>
      </w:r>
    </w:p>
    <w:p>
      <w:pPr>
        <w:spacing w:after="0" w:line="178"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Loans and Borrowings</w:t>
      </w:r>
      <w:r>
        <w:rPr>
          <w:rFonts w:ascii="Arial" w:cs="Arial" w:eastAsia="Arial" w:hAnsi="Arial"/>
          <w:sz w:val="16"/>
          <w:szCs w:val="16"/>
          <w:color w:val="auto"/>
        </w:rPr>
        <w:t xml:space="preserve">. (a) Each Loan (other than a Swingline Loan) shall be made as part of a Borrowing consisting of Loans of the same Class and Type made by the Lenders ratably in accordance with their respective Revolving Commitments of the applicable Class. The failure of any Lender to make any Loan required to be made by it shall not relieve any other Lender of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Revolving Commitments of the Lenders are several and no Lender shall be responsible for any other Lender’s failure to make Loans as required. Any Protective Advance, any Overadvance and any Swingline Loan shall be made in accordance with the procedures set forth in Sections 2.04 and 2.05.</w:t>
      </w:r>
    </w:p>
    <w:p>
      <w:pPr>
        <w:spacing w:after="0" w:line="53" w:lineRule="exact"/>
        <w:rPr>
          <w:sz w:val="20"/>
          <w:szCs w:val="20"/>
          <w:color w:val="auto"/>
        </w:rPr>
      </w:pPr>
    </w:p>
    <w:p>
      <w:pPr>
        <w:ind w:right="120" w:firstLine="436"/>
        <w:spacing w:after="0" w:line="290" w:lineRule="auto"/>
        <w:tabs>
          <w:tab w:leader="none" w:pos="695"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Subject to Section 2.14: (i) each U.S. Borrowing shall be denominated in dollars; (ii) each Canadian Borrowing shall be denominated in dollars or Canadian Dollars; (iii) each U.S. Borrowing denominated in dollars shall be comprised entirely of ABR Loans or SOFR Loans, in each case, as the Borrower Representative may request in accordance herewith; (iv) each Canadian Borrowing denominated in dollars shall be comprised entirely of ABR Loans or SOFR Loans, in each case, as the Borrower Representative may request; and (v) each Canadian Borrowing denominated in Canadian Dollars shall be comprised entirely of Canadian Prime Rate Loans or CDOR Rate Loans, in each case, as the Borrower Representative may request in accordance herewith. Each Swingline Loan shall be an ABR Loan or a Canadian Prime Rate Loan. Each Lender at its option may make any Loan by causing any domestic or foreign branch or Affiliate of such Lender to make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the Borrower to repay such Loan in accordance with the terms of this Agreement.</w:t>
      </w:r>
    </w:p>
    <w:p>
      <w:pPr>
        <w:spacing w:after="0" w:line="57" w:lineRule="exact"/>
        <w:rPr>
          <w:rFonts w:ascii="Arial" w:cs="Arial" w:eastAsia="Arial" w:hAnsi="Arial"/>
          <w:sz w:val="16"/>
          <w:szCs w:val="16"/>
          <w:color w:val="auto"/>
        </w:rPr>
      </w:pPr>
    </w:p>
    <w:p>
      <w:pPr>
        <w:ind w:right="20" w:firstLine="436"/>
        <w:spacing w:after="0" w:line="254" w:lineRule="auto"/>
        <w:tabs>
          <w:tab w:leader="none" w:pos="6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Term SOFR Revolving Borrowing, such Borrowing shall be in an aggregate amount that is an integral multiple of $1,000,000 and not less than $5,000,000. Daily Simple SOFR Revolving Borrowing shall be in an aggregate amount that is an integral multiple of $1,000,000 and not less than $5,000,000. At the commencement of each Interest Period for any CDOR Rate Revolving Borrowing, such Borrowing shall be in an aggregate amount that is an integral multiple of $1,000,000 and not less than $5,000,000. ABR Revolving Borrowings and Canadian Prime Rate Revolving Borrowings may be in any amount. Borrowings of more than one Type and Class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(i) </w:t>
      </w:r>
      <w:r>
        <w:rPr>
          <w:rFonts w:ascii="Arial" w:cs="Arial" w:eastAsia="Arial" w:hAnsi="Arial"/>
          <w:sz w:val="18"/>
          <w:szCs w:val="18"/>
          <w:b w:val="1"/>
          <w:bCs w:val="1"/>
          <w:color w:val="FF0000"/>
          <w:strike w:val="1"/>
        </w:rPr>
        <w:t>eight</w:t>
      </w:r>
      <w:r>
        <w:rPr>
          <w:rFonts w:ascii="Arial" w:cs="Arial" w:eastAsia="Arial" w:hAnsi="Arial"/>
          <w:sz w:val="18"/>
          <w:szCs w:val="18"/>
          <w:b w:val="1"/>
          <w:bCs w:val="1"/>
          <w:u w:val="single" w:color="auto"/>
          <w:color w:val="0000FF"/>
        </w:rPr>
        <w:t>ten</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8</w:t>
      </w:r>
      <w:r>
        <w:rPr>
          <w:rFonts w:ascii="Arial" w:cs="Arial" w:eastAsia="Arial" w:hAnsi="Arial"/>
          <w:sz w:val="18"/>
          <w:szCs w:val="18"/>
          <w:b w:val="1"/>
          <w:bCs w:val="1"/>
          <w:u w:val="single" w:color="auto"/>
          <w:color w:val="0000FF"/>
        </w:rPr>
        <w:t>10</w:t>
      </w:r>
      <w:r>
        <w:rPr>
          <w:rFonts w:ascii="Arial" w:cs="Arial" w:eastAsia="Arial" w:hAnsi="Arial"/>
          <w:sz w:val="18"/>
          <w:szCs w:val="18"/>
          <w:color w:val="auto"/>
        </w:rPr>
        <w:t>) SOFR Borrowings outstanding; and (ii) eight (8) CDOR Rate Borrowings outstanding.</w:t>
      </w:r>
    </w:p>
    <w:p>
      <w:pPr>
        <w:spacing w:after="0" w:line="86" w:lineRule="exact"/>
        <w:rPr>
          <w:rFonts w:ascii="Arial" w:cs="Arial" w:eastAsia="Arial" w:hAnsi="Arial"/>
          <w:sz w:val="18"/>
          <w:szCs w:val="18"/>
          <w:color w:val="auto"/>
        </w:rPr>
      </w:pPr>
    </w:p>
    <w:p>
      <w:pPr>
        <w:ind w:right="100" w:firstLine="436"/>
        <w:spacing w:after="0" w:line="308" w:lineRule="auto"/>
        <w:tabs>
          <w:tab w:leader="none" w:pos="695"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neither the Borrower Representative nor any Borrower shall be entitled to request, or to elect to convert or continue, any Borrowing if the Interest Period requested with respect thereto would end after the Maturity Date.</w:t>
      </w:r>
    </w:p>
    <w:p>
      <w:pPr>
        <w:spacing w:after="0" w:line="38" w:lineRule="exact"/>
        <w:rPr>
          <w:rFonts w:ascii="Arial" w:cs="Arial" w:eastAsia="Arial" w:hAnsi="Arial"/>
          <w:sz w:val="17"/>
          <w:szCs w:val="17"/>
          <w:color w:val="auto"/>
        </w:rPr>
      </w:pPr>
    </w:p>
    <w:p>
      <w:pPr>
        <w:ind w:right="20" w:firstLine="436"/>
        <w:spacing w:after="0" w:line="257" w:lineRule="auto"/>
        <w:tabs>
          <w:tab w:leader="none" w:pos="6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U.S. Borrower acknowledges and agrees that it is jointly and severally liable for, and absolutely, unconditionally and irrevocably promises to pay when due, whether at stated maturity, upon acceleration or otherwise, and at all times thereafter, all U.S. Loans and all other U.S. Obligations. Each Canadian Borrower acknowledges and agrees that it is jointly and severally liable for, and absolutely, unconditionally and irrevocably promises to pay when due, whether at stated maturity, upon acceleration or otherwise, and at all times thereafter, all Canadian Loans and all other Canadian Obligations.</w:t>
      </w:r>
    </w:p>
    <w:p>
      <w:pPr>
        <w:spacing w:after="0" w:line="79" w:lineRule="exact"/>
        <w:rPr>
          <w:rFonts w:ascii="Arial" w:cs="Arial" w:eastAsia="Arial" w:hAnsi="Arial"/>
          <w:sz w:val="18"/>
          <w:szCs w:val="18"/>
          <w:color w:val="auto"/>
        </w:rPr>
      </w:pPr>
    </w:p>
    <w:p>
      <w:pPr>
        <w:ind w:right="100" w:firstLine="436"/>
        <w:spacing w:after="0" w:line="277" w:lineRule="auto"/>
        <w:tabs>
          <w:tab w:leader="none" w:pos="6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“Loans” and “Letters of Credit” as defined and issued by the Existing Lenders under the Existing Credit Agreement shall be deemed to be Loans and Letters of Credit under and as defined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-1588135</wp:posOffset>
            </wp:positionV>
            <wp:extent cx="1543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-1588135</wp:posOffset>
            </wp:positionV>
            <wp:extent cx="1111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274" w:right="479" w:bottom="1440" w:gutter="0" w:footer="0" w:header="0"/>
        </w:sectPr>
      </w:pPr>
    </w:p>
    <w:bookmarkStart w:id="88" w:name="page89"/>
    <w:bookmarkEnd w:id="8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2.03 </w:t>
      </w:r>
      <w:r>
        <w:rPr>
          <w:rFonts w:ascii="Arial" w:cs="Arial" w:eastAsia="Arial" w:hAnsi="Arial"/>
          <w:sz w:val="16"/>
          <w:szCs w:val="16"/>
          <w:u w:val="single" w:color="auto"/>
          <w:color w:val="auto"/>
        </w:rPr>
        <w:t>Requests for Revolving Borrowings</w:t>
      </w:r>
      <w:r>
        <w:rPr>
          <w:rFonts w:ascii="Arial" w:cs="Arial" w:eastAsia="Arial" w:hAnsi="Arial"/>
          <w:sz w:val="16"/>
          <w:szCs w:val="16"/>
          <w:color w:val="auto"/>
        </w:rPr>
        <w:t xml:space="preserve">. To request a Revolving Borrowing, the Borrower Representative shall notify the Administrative Agent of such request either in writing (delivered by hand, facsimile or electronic mail delivery) in a form approved by the Administrative Agent and signed by the Borrower Representative (a) in the case of a SOFR Borrowing, not later than 12:00 p.m., New York City time, three Business Days before the date of the proposed Borrowing (or, in the case of any such Borrowings to be made on the Fourth Restatement Date, two Business Days), (b) in the case of a CDOR Rate Borrowing, not later than 12:00 p.m., New York City time, two Business Days before the date of the proposed Borrowing, (c) in the case of a ABR Borrowing, not later than 12:00 p.m., New York City time, on the date of the proposed Borrowing, or (d) in the case of a Canadian Prime Rate Borrowing, not later than 10:00 a.m., New York City time, on the date of the proposed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of an ABR Borrowing or a Canadian Prime Rate Borrowing to finance the reimbursement of an LC Disbursement as contemplated by Section 2.06(e) may be given not later than 3:00 p.m., New York City time, on the date of the proposed Borrowing. Such request may be conditioned on the occurrence of one or more events (including, but not limited to, any merger, acquisition, disposition, asset sale or corporate restructuring, financing or reorganization). Each such written Borrowing Request shall specify the following information in compliance with Section 2.01:</w:t>
      </w:r>
    </w:p>
    <w:p>
      <w:pPr>
        <w:spacing w:after="0" w:line="64" w:lineRule="exact"/>
        <w:rPr>
          <w:sz w:val="20"/>
          <w:szCs w:val="20"/>
          <w:color w:val="auto"/>
        </w:rPr>
      </w:pPr>
    </w:p>
    <w:p>
      <w:pPr>
        <w:ind w:left="1080" w:hanging="221"/>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name of the applicable Borrower(s);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aggregate amount of the requested Borrowing and a breakdown of the separate wires comprising such Borrowing;</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a Canadian Borrowing, the applicable currency in which the Borrowing will be funded;</w:t>
      </w:r>
    </w:p>
    <w:p>
      <w:pPr>
        <w:spacing w:after="0" w:line="117" w:lineRule="exact"/>
        <w:rPr>
          <w:rFonts w:ascii="Arial" w:cs="Arial" w:eastAsia="Arial" w:hAnsi="Arial"/>
          <w:sz w:val="18"/>
          <w:szCs w:val="18"/>
          <w:color w:val="auto"/>
        </w:rPr>
      </w:pPr>
    </w:p>
    <w:p>
      <w:pPr>
        <w:ind w:left="440" w:right="40" w:firstLine="419"/>
        <w:spacing w:after="0" w:line="277" w:lineRule="auto"/>
        <w:tabs>
          <w:tab w:leader="none" w:pos="1118"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such Borrowing is to be a ABR Borrowing, a Term SOFR Borrowing, a Daily Simple SOFR Borrowing, a Canadian Prime Rate Borrowing, or a CDOR Rate Borrowing; and</w:t>
      </w:r>
    </w:p>
    <w:p>
      <w:pPr>
        <w:spacing w:after="0" w:line="62" w:lineRule="exact"/>
        <w:rPr>
          <w:rFonts w:ascii="Arial" w:cs="Arial" w:eastAsia="Arial" w:hAnsi="Arial"/>
          <w:sz w:val="18"/>
          <w:szCs w:val="18"/>
          <w:color w:val="auto"/>
        </w:rPr>
      </w:pPr>
    </w:p>
    <w:p>
      <w:pPr>
        <w:ind w:left="440" w:right="100" w:firstLine="419"/>
        <w:spacing w:after="0" w:line="277" w:lineRule="auto"/>
        <w:tabs>
          <w:tab w:leader="none" w:pos="116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a Term SOFR Borrowing or a CDOR Rate Borrowing, the initial Interest Period to be applicable thereto, which shall be a period contemplated by the definition of the term “Interest Period.”</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no election as to the Type of Revolving Borrowing is specified, then the requested Revolving Borrowing shall be (a) an ABR Borrowing in the case of a U.S. Revolving Loan or Canadian Revolving Loan requested in dollars, or (b) a Canadian Prime Rate Borrowing in the case of a Canadian Revolving Loan requested in Canadian Dollars. If no Interest Period is specified with respect to any requested Term SOFR Revolving Borrowing or CDOR Rate Revolving Borrowing, then the applicable Borrower(s) shall be deemed to have selected an Interest Period of one month’s (or, in the case of a CDOR Rate Revolving Borrowing, 30 days’) duration. Promptly following receipt of a Borrowing Request in accordance with this Section, the Administrative Agent shall advise each applicable Lender of the details thereof and of the amount of such Lender’s Loan to be made as part of the requested Borrowing.</w:t>
      </w:r>
    </w:p>
    <w:p>
      <w:pPr>
        <w:spacing w:after="0" w:line="164" w:lineRule="exact"/>
        <w:rPr>
          <w:sz w:val="20"/>
          <w:szCs w:val="20"/>
          <w:color w:val="auto"/>
        </w:rPr>
      </w:pPr>
    </w:p>
    <w:p>
      <w:pPr>
        <w:ind w:right="140" w:firstLine="440"/>
        <w:spacing w:after="0" w:line="288"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Protective Advances</w:t>
      </w:r>
      <w:r>
        <w:rPr>
          <w:rFonts w:ascii="Arial" w:cs="Arial" w:eastAsia="Arial" w:hAnsi="Arial"/>
          <w:sz w:val="16"/>
          <w:szCs w:val="16"/>
          <w:color w:val="auto"/>
        </w:rPr>
        <w:t>. (a) Subject to the limitations set forth below, the Administrative Agent is authorized by the Borrowers and the Lenders, from time to time in the Administrative Agent’s sole discretion (but shall have absolutely no obligation to), to make Loans to the U.S. Borrowers in dollars, on behalf of the U.S. Lenders (each such Loan, a “</w:t>
      </w:r>
      <w:r>
        <w:rPr>
          <w:rFonts w:ascii="Arial" w:cs="Arial" w:eastAsia="Arial" w:hAnsi="Arial"/>
          <w:sz w:val="16"/>
          <w:szCs w:val="16"/>
          <w:u w:val="single" w:color="auto"/>
          <w:color w:val="auto"/>
        </w:rPr>
        <w:t>U.S. Protective Advance</w:t>
      </w:r>
      <w:r>
        <w:rPr>
          <w:rFonts w:ascii="Arial" w:cs="Arial" w:eastAsia="Arial" w:hAnsi="Arial"/>
          <w:sz w:val="16"/>
          <w:szCs w:val="16"/>
          <w:color w:val="auto"/>
        </w:rPr>
        <w:t>”) and Loans to the Canadian Borrowers in Canadian Dollars or dollars, on behalf of the Canadian Lenders (each such Loan, a “</w:t>
      </w:r>
      <w:r>
        <w:rPr>
          <w:rFonts w:ascii="Arial" w:cs="Arial" w:eastAsia="Arial" w:hAnsi="Arial"/>
          <w:sz w:val="16"/>
          <w:szCs w:val="16"/>
          <w:u w:val="single" w:color="auto"/>
          <w:color w:val="auto"/>
        </w:rPr>
        <w:t>Canadian Protective Advance</w:t>
      </w:r>
      <w:r>
        <w:rPr>
          <w:rFonts w:ascii="Arial" w:cs="Arial" w:eastAsia="Arial" w:hAnsi="Arial"/>
          <w:sz w:val="16"/>
          <w:szCs w:val="16"/>
          <w:color w:val="auto"/>
        </w:rPr>
        <w:t xml:space="preserve">”), which the Administrative Agent in its Permitted Discretion, deems necessary or desirable (A) to preserve or protect the Collateral, or any portion thereof, (B) to enhance the likelihood of, or maximize the amount of, repayment of the Loans and other Obligations, or (C) to pay any other amount chargeable to or required to be paid by the applicable Borrower pursuant to the terms of this Agreement, including payments of reimbursable expenses (including costs, fees, and expenses as described in Section 9.03) and other sums payable under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aggregate amount of U.S. Protective Advances outstanding at any time shall not exceed $27,500,000 and (y) the aggregate amount of Canadian Protective Advances outstanding at any time shall not exceed $27,500,000,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(1) the aggregate amount of outstanding U.S. Protective Advances in favor of the U.S. Borrowers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89" w:name="page90"/>
    <w:bookmarkEnd w:id="89"/>
    <w:p>
      <w:pPr>
        <w:ind w:left="4" w:right="60"/>
        <w:spacing w:after="0" w:line="287"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plus</w:t>
      </w:r>
      <w:r>
        <w:rPr>
          <w:rFonts w:ascii="Arial" w:cs="Arial" w:eastAsia="Arial" w:hAnsi="Arial"/>
          <w:sz w:val="16"/>
          <w:szCs w:val="16"/>
          <w:color w:val="auto"/>
        </w:rPr>
        <w:t xml:space="preserve"> the aggregate U.S. Revolving Exposure shall not exceed (I) the aggregate U.S. Commitments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(X) the Priority Payables Reserve, (Y) the Rent Reserve and (Z) the Wage Earner Protection Act Reserve, (2) the aggregate amount of outstanding Canadian Protective Advances in favor of the Canadian Borrowers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Canadian Revolving Exposure shall not exceed the (I) aggregate Canadian Commitments </w:t>
      </w:r>
      <w:r>
        <w:rPr>
          <w:rFonts w:ascii="Arial" w:cs="Arial" w:eastAsia="Arial" w:hAnsi="Arial"/>
          <w:sz w:val="16"/>
          <w:szCs w:val="16"/>
          <w:u w:val="single" w:color="auto"/>
          <w:color w:val="auto"/>
        </w:rPr>
        <w:t>minus</w:t>
      </w:r>
    </w:p>
    <w:p>
      <w:pPr>
        <w:spacing w:after="0" w:line="2" w:lineRule="exact"/>
        <w:rPr>
          <w:sz w:val="20"/>
          <w:szCs w:val="20"/>
          <w:color w:val="auto"/>
        </w:rPr>
      </w:pPr>
    </w:p>
    <w:p>
      <w:pPr>
        <w:ind w:left="4" w:hanging="4"/>
        <w:spacing w:after="0" w:line="283" w:lineRule="auto"/>
        <w:tabs>
          <w:tab w:leader="none" w:pos="289"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the sum of (X) the Priority Payables Reserve, (Y) the Rent Reserve and (Z) the Wage Earner Protection Act Reserve, (3) the aggregate amount of all outstanding Protective Advances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Revolving Exposure shall not exceed (I) the Aggregate Revolving Commitments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(X) the Priority Payables Reserve, (Y) the Rent Reserve and (Z) the Wage Earner Protection Act Reserve, (4) the sum of (I) the aggregate amount of all outstanding Protective Advances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aggregate amount of all outstanding Overadvances shall not exceed $110,000,000, and (5) a Protective Advance shall not be made if such Protective Advance would cause the sum of (I) any Lender’s Revolving Exposure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such Lender’s Applicable Percentage (determined for purposes of this clause (II) in accordance with clause (a) of the definition of Applicable Percentage set forth in Section 1.01) of all outstanding Protective Advances to exceed such Lender’s Revolving Commitment. Protective Advances may be made even if the conditions precedent set forth in Section 4.02 have not been satisfied. The (i) U.S. Protective Advances shall be secured by the Liens in favor of the Administrative Agent (for the benefit of the Lender Parties) in and to the Collateral of the U.S. Loan Parties; and (ii) Canadian Protective Advances shall be secured by the Liens in favor of the Administrative Agent (for the benefit of the Canadian Lender Parties) in and to the Collateral of the Loan Parties. All U.S. Protective Advances shall constitute U.S. Obligations and all Canadian Protective Advances shall constitute Canadian Obligations. All U.S. Protective Advances and Canadian Protective Advances denominated in dollars shall be ABR Borrowings, and all Canadian Protective Advances denominated in Canadian Dollars shall be Canadian Prime Rate Borrowings. The Administrative Agent’s authorization to make Protective Advances may be revoked at any time by the Required Lenders. Any such revocation must be in writing and shall become effective prospectively upon the Administrative Agent’s receipt thereof. At any time that there is sufficient: (I) U.S. Availability and the conditions precedent set forth in Section 4.02 have been satisfied, the Administrative Agent may request the U.S. Lenders to make a U.S. Revolving Loan to repay a U.S. Protective Advance; and (II) Canadian Availability and the conditions precedent set forth in Section 4.02 have been satisfied, the Administrative Agent may request the Canadian Lenders to make a Canadian Revolving Loan, in the currency in which the applicable Canadian Protective Advance was denominated, to repay a Canadian Protective Advance. At any other time the Administrative Agent may require the Lenders to fund, in the currency in which the applicable Protective Advance was denominated, their risk participations described in Section 2.04(b).</w:t>
      </w:r>
    </w:p>
    <w:p>
      <w:pPr>
        <w:spacing w:after="0" w:line="74" w:lineRule="exact"/>
        <w:rPr>
          <w:rFonts w:ascii="Arial" w:cs="Arial" w:eastAsia="Arial" w:hAnsi="Arial"/>
          <w:sz w:val="16"/>
          <w:szCs w:val="16"/>
          <w:color w:val="auto"/>
        </w:rPr>
      </w:pPr>
    </w:p>
    <w:p>
      <w:pPr>
        <w:ind w:left="4" w:right="20" w:firstLine="436"/>
        <w:spacing w:after="0" w:line="270" w:lineRule="auto"/>
        <w:tabs>
          <w:tab w:leader="none" w:pos="699" w:val="left"/>
        </w:tabs>
        <w:numPr>
          <w:ilvl w:val="1"/>
          <w:numId w:val="55"/>
        </w:numPr>
        <w:rPr>
          <w:rFonts w:ascii="Arial" w:cs="Arial" w:eastAsia="Arial" w:hAnsi="Arial"/>
          <w:sz w:val="17"/>
          <w:szCs w:val="17"/>
          <w:color w:val="auto"/>
        </w:rPr>
      </w:pPr>
      <w:r>
        <w:rPr>
          <w:rFonts w:ascii="Arial" w:cs="Arial" w:eastAsia="Arial" w:hAnsi="Arial"/>
          <w:sz w:val="17"/>
          <w:szCs w:val="17"/>
          <w:color w:val="auto"/>
        </w:rPr>
        <w:t>Upon the making of a U.S. Protective Advance by the Administrative Agent (whether before or after the occurrence of a Default), each U.S. Lender shall be deemed, without further action by any party hereto, to have unconditionally and irrevocably purchased from the Administrative Agent without recourse or warranty, an undivided interest and participation in such U.S. Protective Advance in proportion to its Applicable Percentage. Upon the making of a Canadian Protective Advance by the Administrative Agent (whether before or after the occurrence of a Default), each Canadian Lender shall be deemed, without further action by any party hereto, to have unconditionally and irrevocably purchased from the Administrative Agent without recourse or warranty, an undivided interest and participation in such Canadian Protective Advance in proportion to its Applicable Percentage. From and after the date, if any, on which any Lender is required to fund its participation in any 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w:t>
      </w:r>
    </w:p>
    <w:p>
      <w:pPr>
        <w:spacing w:after="0" w:line="181" w:lineRule="exact"/>
        <w:rPr>
          <w:sz w:val="20"/>
          <w:szCs w:val="20"/>
          <w:color w:val="auto"/>
        </w:rPr>
      </w:pPr>
    </w:p>
    <w:p>
      <w:pPr>
        <w:ind w:left="4" w:right="160" w:firstLine="440"/>
        <w:spacing w:after="0" w:line="270"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Swingline Loans and Overadvances</w:t>
      </w:r>
      <w:r>
        <w:rPr>
          <w:rFonts w:ascii="Arial" w:cs="Arial" w:eastAsia="Arial" w:hAnsi="Arial"/>
          <w:sz w:val="17"/>
          <w:szCs w:val="17"/>
          <w:color w:val="auto"/>
        </w:rPr>
        <w:t>. (a) The Administrative Agent, the Swingline Lender and the Lenders agree that in order to facilitate the administration of this Agreement and the other Loan Documents, promptly after the Borrower Representative requests that an ABR Borrowing be made to the U.S. Borrowers, the Swingline Lender may elect to have the terms of this Section 2.05(a) apply to such Borrowing Request by advancing, on behalf of the U.S. Lenders and in the amount requested, same day funds to the U.S. Borrowers, on the date of the applicable Borrowing to the Funding Account(s) (each such Loan made solely by the Swingline Lender pursuant to this Section 2.05(a) is referred to in this Agreement as a “</w:t>
      </w:r>
      <w:r>
        <w:rPr>
          <w:rFonts w:ascii="Arial" w:cs="Arial" w:eastAsia="Arial" w:hAnsi="Arial"/>
          <w:sz w:val="17"/>
          <w:szCs w:val="17"/>
          <w:u w:val="single" w:color="auto"/>
          <w:color w:val="auto"/>
        </w:rPr>
        <w:t>U.S. Swingline Loan</w:t>
      </w:r>
      <w:r>
        <w:rPr>
          <w:rFonts w:ascii="Arial" w:cs="Arial" w:eastAsia="Arial" w:hAnsi="Arial"/>
          <w:sz w:val="17"/>
          <w:szCs w:val="17"/>
          <w:color w:val="auto"/>
        </w:rPr>
        <w:t>”), with settlement among them as to the U.S. Swingline Loans to take place on a periodic basis as set forth in Section 2.05(g). Each U.S. Swingline Loan shall be subject to all the terms and conditions applicable to other ABR Loans funded by the U.S. Lenders, except that all payments thereon shall be payable to the Swingline Lender solely for its own account. The aggregate amount of U.S. Swingline Loans outstanding at any time shall not exceed $75,000,000. The Swingline Lender shall not make</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4"/>
          </w:cols>
          <w:pgMar w:left="436" w:top="274" w:right="459" w:bottom="1440" w:gutter="0" w:footer="0" w:header="0"/>
        </w:sectPr>
      </w:pPr>
    </w:p>
    <w:bookmarkStart w:id="90" w:name="page91"/>
    <w:bookmarkEnd w:id="90"/>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U.S. Swingline Loan if, after giving effect to such U.S. Swingline Loan (i) U.S. Availability would be less than zero or (ii) Aggregate Availability would be less than zero. All U.S. Swingline Loans shall be ABR Borrowings.</w:t>
      </w:r>
    </w:p>
    <w:p>
      <w:pPr>
        <w:spacing w:after="0" w:line="62" w:lineRule="exact"/>
        <w:rPr>
          <w:sz w:val="20"/>
          <w:szCs w:val="20"/>
          <w:color w:val="auto"/>
        </w:rPr>
      </w:pPr>
    </w:p>
    <w:p>
      <w:pPr>
        <w:ind w:firstLine="436"/>
        <w:spacing w:after="0" w:line="269" w:lineRule="auto"/>
        <w:tabs>
          <w:tab w:leader="none" w:pos="69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Administrative Agent, the Swingline Lender and the Lenders agree that in order to facilitate the administration of this Agreement and the other Loan Documents, promptly after the Borrower Representative requests that a Canadian Prime Rate Borrowing be made to the Canadian Borrowers, the Swingline Lender may elect to have the terms of this Section 2.05(b) apply to such Borrowing Request by advancing, on behalf of the Canadian Lenders and in the amount requested, same day funds to the Canadian Borrowers, on the date of the applicable Borrowing to the Funding Account(s) (each such Loan made solely by the Swingline Lender pursuant to this Section 2.05(b) is referred to in this Agreement as a “</w:t>
      </w:r>
      <w:r>
        <w:rPr>
          <w:rFonts w:ascii="Arial" w:cs="Arial" w:eastAsia="Arial" w:hAnsi="Arial"/>
          <w:sz w:val="17"/>
          <w:szCs w:val="17"/>
          <w:u w:val="single" w:color="auto"/>
          <w:color w:val="auto"/>
        </w:rPr>
        <w:t>Canadian</w:t>
      </w:r>
      <w:r>
        <w:rPr>
          <w:rFonts w:ascii="Arial" w:cs="Arial" w:eastAsia="Arial" w:hAnsi="Arial"/>
          <w:sz w:val="17"/>
          <w:szCs w:val="17"/>
          <w:color w:val="auto"/>
        </w:rPr>
        <w:t xml:space="preserve"> </w:t>
      </w:r>
      <w:r>
        <w:rPr>
          <w:rFonts w:ascii="Arial" w:cs="Arial" w:eastAsia="Arial" w:hAnsi="Arial"/>
          <w:sz w:val="17"/>
          <w:szCs w:val="17"/>
          <w:u w:val="single" w:color="auto"/>
          <w:color w:val="auto"/>
        </w:rPr>
        <w:t>Swingline Loan</w:t>
      </w:r>
      <w:r>
        <w:rPr>
          <w:rFonts w:ascii="Arial" w:cs="Arial" w:eastAsia="Arial" w:hAnsi="Arial"/>
          <w:sz w:val="17"/>
          <w:szCs w:val="17"/>
          <w:color w:val="auto"/>
        </w:rPr>
        <w:t>”), with settlement among them as to the Canadian Swingline Loans to take place on a periodic basis as set forth in Section 2.05(g). Each Canadian Swingline Loan shall be subject to all the terms and conditions applicable to other Canadian Prime Rate Loans funded by the Canadian Lenders, except that all payments thereon shall be payable to the Swingline Lender solely for its own account. The aggregate amount of Canadian Swingline Loans outstanding at any time shall not exceed $50,000,000. The Swingline Lender shall not make any Canadian Swingline Loan if, after giving effect to such Swingline Loan (i) Canadian Availability would be less than zero or (ii) Aggregate Availability would be less than zero. All Canadian Swingline Loans shall be Canadian Borrowings.</w:t>
      </w:r>
    </w:p>
    <w:p>
      <w:pPr>
        <w:spacing w:after="0" w:line="73" w:lineRule="exact"/>
        <w:rPr>
          <w:rFonts w:ascii="Arial" w:cs="Arial" w:eastAsia="Arial" w:hAnsi="Arial"/>
          <w:sz w:val="17"/>
          <w:szCs w:val="17"/>
          <w:color w:val="auto"/>
        </w:rPr>
      </w:pPr>
    </w:p>
    <w:p>
      <w:pPr>
        <w:ind w:right="20" w:firstLine="436"/>
        <w:spacing w:after="0" w:line="286" w:lineRule="auto"/>
        <w:tabs>
          <w:tab w:leader="none" w:pos="685"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provision of this Agreement to the contrary notwithstanding, at the request of the Borrower Representative, the Administrative Agent may in its sole discretion (but with absolutely no obligation), make U.S. Revolving Loans to the U.S. Borrowers, on behalf of the U.S. Lenders, in amounts that exceed U.S. Availability (any such excess U.S. Revolving Loans are herein referred to collectively as “</w:t>
      </w:r>
      <w:r>
        <w:rPr>
          <w:rFonts w:ascii="Arial" w:cs="Arial" w:eastAsia="Arial" w:hAnsi="Arial"/>
          <w:sz w:val="16"/>
          <w:szCs w:val="16"/>
          <w:u w:val="single" w:color="auto"/>
          <w:color w:val="auto"/>
        </w:rPr>
        <w:t>U.S. Overadvances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U.S. Overadvance shall result in a Default due to U.S. Borrowers’ failure to comply with Section 2.01 for so long as such U.S. Overadvance remains outstanding in accordance with the terms of this paragraph, but solely with respect to the amount of such U.S. Overadvance. In addition, U.S. Overadvances may be made even if the condition precedent set forth in Section 4.02(c) has not been satisfied, it being understood that the conditions precedent set forth in Sections 4.02(a) and (b) shall continue to apply (subject to the proviso set forth in the immediately preceding sentence). All U.S. Overadvances shall constitute ABR Borrowings. The authority of the Administrative Agent to make U.S. Overadvances is limited to an aggregate amount not to exceed $60,000,000 at any time, no U.S. Overadvance may remain outstanding for more than forty-five (45) days, no U.S. Overadvance shall cause any U.S. Lender’s U.S. Revolving Exposure or Revolving Exposure to exceed its U.S. Commitment or Revolving Commitment (as applicable), no U.S. Overadvance shall cause the Aggregate Revolving Exposure to exceed (i) the Aggregate Revolving Commitments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(A) the Priority Payables Reserve, (B) the Rent Reserve and (C) the Wage Earner Protection Act Reserve and no U.S. Overadvance shall cause the sum of (x) the aggregate amount of all outstanding Overadvances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aggregate amount of all outstanding Protective Advances to exceed $110,000,000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Supermajority Revolving Lenders may at any time revoke the Administrative Agent’s authorization to make U.S. Overadvances. Any such revocation must be in writing and shall become effective prospectively upon the Administrative Agent’s receipt thereof.</w:t>
      </w:r>
    </w:p>
    <w:p>
      <w:pPr>
        <w:spacing w:after="0" w:line="59" w:lineRule="exact"/>
        <w:rPr>
          <w:rFonts w:ascii="Arial" w:cs="Arial" w:eastAsia="Arial" w:hAnsi="Arial"/>
          <w:sz w:val="16"/>
          <w:szCs w:val="16"/>
          <w:color w:val="auto"/>
        </w:rPr>
      </w:pPr>
    </w:p>
    <w:p>
      <w:pPr>
        <w:ind w:firstLine="436"/>
        <w:spacing w:after="0" w:line="268" w:lineRule="auto"/>
        <w:tabs>
          <w:tab w:leader="none" w:pos="695"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provision of this Agreement to the contrary notwithstanding, at the request of the Borrower Representative, the Administrative Agent may in its sole discretion (but with absolutely no obligation), make Canadian Revolving Loans to the Canadian Borrowers, on behalf of the Canadian Lenders, in amounts that exceed Canadian Availability (any such excess Canadian Revolving Loans are herein referred to collectively as “</w:t>
      </w:r>
      <w:r>
        <w:rPr>
          <w:rFonts w:ascii="Arial" w:cs="Arial" w:eastAsia="Arial" w:hAnsi="Arial"/>
          <w:sz w:val="17"/>
          <w:szCs w:val="17"/>
          <w:u w:val="single" w:color="auto"/>
          <w:color w:val="auto"/>
        </w:rPr>
        <w:t>Canadian</w:t>
      </w:r>
      <w:r>
        <w:rPr>
          <w:rFonts w:ascii="Arial" w:cs="Arial" w:eastAsia="Arial" w:hAnsi="Arial"/>
          <w:sz w:val="17"/>
          <w:szCs w:val="17"/>
          <w:color w:val="auto"/>
        </w:rPr>
        <w:t xml:space="preserve"> </w:t>
      </w:r>
      <w:r>
        <w:rPr>
          <w:rFonts w:ascii="Arial" w:cs="Arial" w:eastAsia="Arial" w:hAnsi="Arial"/>
          <w:sz w:val="17"/>
          <w:szCs w:val="17"/>
          <w:u w:val="single" w:color="auto"/>
          <w:color w:val="auto"/>
        </w:rPr>
        <w:t>Overadvances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Canadian Overadvance shall result in a Default due to Canadian Borrowers’ failure to comply with Section 2.01 for so long as such Canadian Overadvance remains outstanding in accordance with the terms of this paragraph, but solely with respect to the amount of such Canadian Overadvance. In addition, Canadian Overadvances may be made even if the condition precedent set forth in Section 4.02(c) has not been satisfied, it being understood that the conditions precedent set forth in Sections 4.02(a) and (b) shall continue to apply (subject to the proviso set forth in the immediately preceding sentence). All Canadian Overadvances shall constitute ABR Borrowings or Canadian Prime Rate Borrowings. The authority of the Administrative Agent to make Canadian Overadvances is limited to an aggregate amount not to exceed $50,000,000 at any time, no Canadian Overadvance may remain outstanding for more than forty-five (45) days, no Canadian Overadvance shall cause any Canadian Lender’s Canadian Revolving Exposure or Revolving Exposure to exceed its Canadian Commitment or Revolving Commitment (as applicable), no Canadian Overadvance shall cause the Aggregate Revolving Exposure to exceed (i) the Aggregate Revolving Commitments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sum of (A) the Priority Payables Reserve, (B) the Rent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91" w:name="page92"/>
    <w:bookmarkEnd w:id="91"/>
    <w:p>
      <w:pPr>
        <w:ind w:right="6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Reserve and (C) the Wage Earners Protection Act Reserve, and no Canadian Overadvance shall cause the sum of (x) the aggregate amount of all outstanding Overadvances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aggregate amount of all outstanding Protective Advances to exceed $110,000,000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Supermajority Revolving Lenders may at any time revoke the Administrative Agent’s authorization to make Canadian Overadvances. Any such revocation must be in writing and shall become effective prospectively upon the Administrative Agent’s receipt thereof.</w:t>
      </w:r>
    </w:p>
    <w:p>
      <w:pPr>
        <w:spacing w:after="0" w:line="49" w:lineRule="exact"/>
        <w:rPr>
          <w:sz w:val="20"/>
          <w:szCs w:val="20"/>
          <w:color w:val="auto"/>
        </w:rPr>
      </w:pPr>
    </w:p>
    <w:p>
      <w:pPr>
        <w:ind w:firstLine="436"/>
        <w:spacing w:after="0" w:line="289" w:lineRule="auto"/>
        <w:tabs>
          <w:tab w:leader="none" w:pos="685" w:val="left"/>
        </w:tabs>
        <w:numPr>
          <w:ilvl w:val="0"/>
          <w:numId w:val="57"/>
        </w:numPr>
        <w:rPr>
          <w:rFonts w:ascii="Arial" w:cs="Arial" w:eastAsia="Arial" w:hAnsi="Arial"/>
          <w:sz w:val="16"/>
          <w:szCs w:val="16"/>
          <w:color w:val="auto"/>
        </w:rPr>
      </w:pPr>
      <w:r>
        <w:rPr>
          <w:rFonts w:ascii="Arial" w:cs="Arial" w:eastAsia="Arial" w:hAnsi="Arial"/>
          <w:sz w:val="16"/>
          <w:szCs w:val="16"/>
          <w:color w:val="auto"/>
        </w:rPr>
        <w:t>Upon the making of a U.S. Swingline Loan or a U.S. Overadvance (whether before or after the occurrence of a Default and regardless of whether a Settlement has been requested with respect to such U.S. Swingline Loan or U.S. Overadvance), each U.S. Lender shall be deemed, without further action by any party hereto, to have unconditionally and irrevocably purchased from the Swingline Lender or the Administrative Agent, as the case may be, without recourse or warranty, an undivided interest and participation in such U.S. Swingline Loan or U.S. Overadvance equal in amount to such U.S. Lender’s Applicable Percentage of such U.S. Swingline Loan or U.S. Overadvance. The Swingline Lender or the Administrative Agent may, at any time, require the U.S. Lenders to fund their participations in U.S. Swingline Loans or U.S. Overadvances. From and after the date, if any, on which any U.S. Lender is required to fund its participation in any U.S. Swingline Loan or U.S. Overadvance purchased hereunder, the Administrative Agent shall promptly distribute to such U.S. Lender, such U.S. Lender’s Applicable Percentage of all payments of principal and interest and all proceeds of Collateral received by the Administrative Agent in respect of such U.S. Swingline Loan or U.S. Overadvance.</w:t>
      </w:r>
    </w:p>
    <w:p>
      <w:pPr>
        <w:spacing w:after="0" w:line="58" w:lineRule="exact"/>
        <w:rPr>
          <w:rFonts w:ascii="Arial" w:cs="Arial" w:eastAsia="Arial" w:hAnsi="Arial"/>
          <w:sz w:val="16"/>
          <w:szCs w:val="16"/>
          <w:color w:val="auto"/>
        </w:rPr>
      </w:pPr>
    </w:p>
    <w:p>
      <w:pPr>
        <w:ind w:right="20" w:firstLine="436"/>
        <w:spacing w:after="0" w:line="288" w:lineRule="auto"/>
        <w:tabs>
          <w:tab w:leader="none" w:pos="665" w:val="left"/>
        </w:tabs>
        <w:numPr>
          <w:ilvl w:val="0"/>
          <w:numId w:val="57"/>
        </w:numPr>
        <w:rPr>
          <w:rFonts w:ascii="Arial" w:cs="Arial" w:eastAsia="Arial" w:hAnsi="Arial"/>
          <w:sz w:val="16"/>
          <w:szCs w:val="16"/>
          <w:color w:val="auto"/>
        </w:rPr>
      </w:pPr>
      <w:r>
        <w:rPr>
          <w:rFonts w:ascii="Arial" w:cs="Arial" w:eastAsia="Arial" w:hAnsi="Arial"/>
          <w:sz w:val="16"/>
          <w:szCs w:val="16"/>
          <w:color w:val="auto"/>
        </w:rPr>
        <w:t>Upon the making of a Canadian Swingline Loan or a Canadian Overadvance (whether before or after the occurrence of a Default and regardless of whether a Settlement has been requested with respect to such Canadian Swingline Loan or Canadian Overadvance), each Canadian Lender shall be deemed, without further action by any party hereto, to have unconditionally and irrevocably purchased from the Swingline Lender or the Administrative Agent, as the case may be, without recourse or warranty, an undivided interest and participation in such Canadian Swingline Loan or Canadian Overadvance equal in amount to such Canadian Lender’s Applicable Percentage of such Canadian Swingline Loan or Canadian Overadvance. The Swingline Lender or the Administrative Agent may, at any time, require the Canadian Lenders to fund their participations in Canadian Swingline Loans or Canadian Overadvances. From and after the date, if any, on which any Canadian Lender is required to fund its participation in any Canadian Swingline Loan or Canadian Overadvance purchased hereunder, the Administrative Agent shall promptly distribute to such Canadian Lender, such Canadian Lender’s Applicable Percentage of all payments of principal and interest and all proceeds of Collateral received by the Administrative Agent in respect of such Canadian Swingline Loan or Canadian Overadvance, as the case may be.</w:t>
      </w:r>
    </w:p>
    <w:p>
      <w:pPr>
        <w:spacing w:after="0" w:line="60" w:lineRule="exact"/>
        <w:rPr>
          <w:rFonts w:ascii="Arial" w:cs="Arial" w:eastAsia="Arial" w:hAnsi="Arial"/>
          <w:sz w:val="16"/>
          <w:szCs w:val="16"/>
          <w:color w:val="auto"/>
        </w:rPr>
      </w:pPr>
    </w:p>
    <w:p>
      <w:pPr>
        <w:ind w:right="20" w:firstLine="436"/>
        <w:spacing w:after="0" w:line="267" w:lineRule="auto"/>
        <w:tabs>
          <w:tab w:leader="none" w:pos="69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Administrative Agent, on behalf of the Swingline Lender shall request settlement (a “</w:t>
      </w:r>
      <w:r>
        <w:rPr>
          <w:rFonts w:ascii="Arial" w:cs="Arial" w:eastAsia="Arial" w:hAnsi="Arial"/>
          <w:sz w:val="17"/>
          <w:szCs w:val="17"/>
          <w:u w:val="single" w:color="auto"/>
          <w:color w:val="auto"/>
        </w:rPr>
        <w:t>Settlement</w:t>
      </w:r>
      <w:r>
        <w:rPr>
          <w:rFonts w:ascii="Arial" w:cs="Arial" w:eastAsia="Arial" w:hAnsi="Arial"/>
          <w:sz w:val="17"/>
          <w:szCs w:val="17"/>
          <w:color w:val="auto"/>
        </w:rPr>
        <w:t>”) with the U.S. Lenders or Canadian Lenders, as applicable, on at least a weekly basis or on any more frequent date that the Administrative Agent elects, by notifying the applicable Revolving Lenders of such requested Settlement by facsimile, telephone, or electronic mail no later than 12:00 p.m., New York City time, on the date of such requested Settlement (the “</w:t>
      </w:r>
      <w:r>
        <w:rPr>
          <w:rFonts w:ascii="Arial" w:cs="Arial" w:eastAsia="Arial" w:hAnsi="Arial"/>
          <w:sz w:val="17"/>
          <w:szCs w:val="17"/>
          <w:u w:val="single" w:color="auto"/>
          <w:color w:val="auto"/>
        </w:rPr>
        <w:t>Settlement Date</w:t>
      </w:r>
      <w:r>
        <w:rPr>
          <w:rFonts w:ascii="Arial" w:cs="Arial" w:eastAsia="Arial" w:hAnsi="Arial"/>
          <w:sz w:val="17"/>
          <w:szCs w:val="17"/>
          <w:color w:val="auto"/>
        </w:rPr>
        <w:t>”). With respect to Settlements involving U.S. Loans, each U.S. Lender (other than the Swingline Lender, in the case of the U.S. Swingline Loans) shall transfer in dollars the amount of such U.S. Lender’s Applicable Percentage of the outstanding principal amount of the applicable Loan with respect to which Settlement is requested to the Administrative Agent, to an account of the Administrative Agent as the Administrative Agent may designate, not later than 1:00 p.m., New York City time, on such Settlement Date. With respect to Settlements involving Canadian Loans, each Canadian Lender (other than the Swingline Lender, in the case of the Canadian Swingline Loans) shall transfer, in the currency in which the applicable Loan was denominated, the amount of such Canadian Lender’s Applicable Percentage of the outstanding principal amount of the applicable Loan with respect to which Settlement is requested to the Administrative Agent, to an account of the Administrative Agent as the Administrative Agent may designate, not later than 1:00 p.m., New York City time, on such Settlement Date. Settlements may occur during the existence of a Default and whether or not the applicable conditions precedent set forth in Section 4.02 have then been satisfied. Such amounts transferred to the Administrative Agent shall be applied against, as applicable, (i) the amounts of the Swingline Lender’s U.S. Swingline Loans (and, together with Swingline Lender’s Applicable Percentage of such U.S. Swingline Loan, shall constitute U.S. Revolving Loans of such U.S. Lenders, respectively) and (ii) the amounts of the Swingline Lender’s Canadian Swingline Loans (and, together with Swingline Lender’s Applicable Percentage of such Canadian Swingline Loan, shall constitute Canadian Revolving Loans of such Canadian Lenders, respectively). If any such amount is not transferred to the Administrative Agent by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0"/>
          </w:cols>
          <w:pgMar w:left="440" w:top="274" w:right="479" w:bottom="1440" w:gutter="0" w:footer="0" w:header="0"/>
        </w:sectPr>
      </w:pPr>
    </w:p>
    <w:bookmarkStart w:id="92" w:name="page93"/>
    <w:bookmarkEnd w:id="92"/>
    <w:p>
      <w:pPr>
        <w:ind w:left="4"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Revolving Lender on such Settlement Date, the applicable Swingline Lender shall be entitled to recover such amount on demand from such Lender together with interest thereon as specified in Section 2.07.</w:t>
      </w:r>
    </w:p>
    <w:p>
      <w:pPr>
        <w:spacing w:after="0" w:line="170"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Letters of Credit</w:t>
      </w:r>
      <w:r>
        <w:rPr>
          <w:rFonts w:ascii="Arial" w:cs="Arial" w:eastAsia="Arial" w:hAnsi="Arial"/>
          <w:sz w:val="16"/>
          <w:szCs w:val="16"/>
          <w:color w:val="auto"/>
        </w:rPr>
        <w:t xml:space="preserve">. (a) </w:t>
      </w:r>
      <w:r>
        <w:rPr>
          <w:rFonts w:ascii="Arial" w:cs="Arial" w:eastAsia="Arial" w:hAnsi="Arial"/>
          <w:sz w:val="16"/>
          <w:szCs w:val="16"/>
          <w:u w:val="single" w:color="auto"/>
          <w:color w:val="auto"/>
        </w:rPr>
        <w:t>General Terms; Issuing Bank Commitments; Requests for Letters of Credit</w:t>
      </w:r>
      <w:r>
        <w:rPr>
          <w:rFonts w:ascii="Arial" w:cs="Arial" w:eastAsia="Arial" w:hAnsi="Arial"/>
          <w:sz w:val="16"/>
          <w:szCs w:val="16"/>
          <w:color w:val="auto"/>
        </w:rPr>
        <w:t xml:space="preserve">. Subject to the terms and conditions set forth herein, the Borrower Representative may request the issuance of, and each Issuing Bank agrees, subject to its LC Individual Sublimit and in reliance upon the agreements of the Borrowers and the Lenders set forth in this Section 2.06 and elsewhere in the Agreement, to issue, Letters of Credit (denominated in dollars or in an LC Alternative Currency in the case of U.S. Letters of Credit and denominated in dollars or Canadian Dollars in the case of Canadian Letters of Credit) for the account of a Borrower or for the account of a Restricted Subsidiary, in a form reasonably acceptable to the applicable Issuing Bank and the Administrative Agent, at any time and from time to time during the Availability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 w:lineRule="exact"/>
        <w:rPr>
          <w:sz w:val="20"/>
          <w:szCs w:val="20"/>
          <w:color w:val="auto"/>
        </w:rPr>
      </w:pPr>
    </w:p>
    <w:p>
      <w:pPr>
        <w:ind w:left="4" w:hanging="4"/>
        <w:spacing w:after="0" w:line="283" w:lineRule="auto"/>
        <w:tabs>
          <w:tab w:leader="none" w:pos="219"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unless expressly agreed by Barclays in writing, Barclays, in its capacity as an Issuing Bank shall only be required to issue standby Letters of Credit and (ii) unless expressly agreed in writing by Goldman Sachs Bank USA, Goldman Sachs Bank USA shall only be required to issue standby Letters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 with respect to any Letter of Credit issued for the account of (x) a Domestic Subsidiary that is not a Borrower or (y) a Foreign Subsidiary, one or more of the U.S. Borrowers shall be the applicant or co-applicant with respect to such Letter of Credit, (ii) with regard to any Letter of Credit issued for the account of a Canadian Subsidiary that is not a Borrower, one or more of the Canadian Borrowers shall be the applicant or co-applicant with respect to such Letter of Credit, (iii) each U.S. Borrower and each other U.S. Loan Party irrevocably agrees that is shall be jointly and severally liable and fully responsible for any and all LC Disbursements and other obligations with respect to any Letter of Credit issued for the account of any Borrower or Restricted Subsidiary hereunder as if such Letter of Credit had been issued for the sole account of such U.S. Borrower or other U.S. Loan Party, (iv) each Canadian Borrower and each other Canadian Loan Party irrevocably agrees that is shall be jointly and severally liable and fully responsible for any and all LC Disbursements and other obligations with respect to any Canadian Letter of Credit issued for the account of any Canadian Borrower or Canadian Subsidiary hereunder as if such Letter of Credit had been issued for the sole account of such Canadian Borrower or other Canadian Loan Party, (v) each U.S. Lender severally agrees to participate in all U.S. Letters of Credit issued hereunder to the extent of its Applicable Percentage, and (vi) each Canadian Lender severally agrees to participate in all Canadian Letters of Credit issued hereunder to the extent of its Applicable Percentage. In the event of any inconsistency between the terms and conditions of this Agreement and the terms and conditions of any form of letter of credit application or other agreement submitted by the Borrowers to, or entered into by the Borrowers with, an Issuing Bank relating to any Letter of Credit, the terms and conditions of this Agreement shall control. Notwithstanding anything herein to the contrary, no Issuing Bank shall have any obligation hereunder to issue, and shall not issue, any Letter of Credit (i) the proceeds of which would be made available to any Person (A) to fund any activity or business of or with any Sanctioned Person, or in any country or territory that, at the time of such funding, is the subject of any Sanctions or (B) in any manner that would result in a violation of any Sanctions by any party to this Agreement, (ii) if any order, judgment or decree of any Governmental Authority or arbitrator shall by its terms enjoin or restrain such Issuing Bank from issuing such Letter of Credit, or any Change in Law relating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Fourth Restatement Date, or shall impose upon such Issuing Bank any unreimbursed loss, cost or expense which was not applicable on the Fourth Restatement Date and which such Issuing Bank in good faith deems material to it, or (iii) if the issuance of such Letter of Credit would violate one or more policies of the Issuing Bank applicable to letters of credit generally;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Fourth Restatement Date for purposes of clause (ii) above, regardless of the date enacted, adopted, issued or implemented. If any Borrower requests that the Issuing Bank issue a Letter of Credit for the account of an affiliated or unaffiliated third party (an “</w:t>
      </w:r>
      <w:r>
        <w:rPr>
          <w:rFonts w:ascii="Arial" w:cs="Arial" w:eastAsia="Arial" w:hAnsi="Arial"/>
          <w:sz w:val="16"/>
          <w:szCs w:val="16"/>
          <w:u w:val="single" w:color="auto"/>
          <w:color w:val="auto"/>
        </w:rPr>
        <w:t>Account Party</w:t>
      </w:r>
      <w:r>
        <w:rPr>
          <w:rFonts w:ascii="Arial" w:cs="Arial" w:eastAsia="Arial" w:hAnsi="Arial"/>
          <w:sz w:val="16"/>
          <w:szCs w:val="16"/>
          <w:color w:val="auto"/>
        </w:rPr>
        <w:t>”), (i) such Account Party shall have no rights against the Issuing Bank, (ii) the Borrowers shall be responsible for the application and the obligations under this Agreement and (iii) communications (including notices) related to such Letter of Credit shall be between the Issuing Bank and the Borrower Representative.</w:t>
      </w:r>
    </w:p>
    <w:p>
      <w:pPr>
        <w:spacing w:after="0" w:line="3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4"/>
          </w:cols>
          <w:pgMar w:left="436" w:top="274" w:right="459" w:bottom="1440" w:gutter="0" w:footer="0" w:header="0"/>
        </w:sectPr>
      </w:pPr>
    </w:p>
    <w:bookmarkStart w:id="93" w:name="page94"/>
    <w:bookmarkEnd w:id="93"/>
    <w:p>
      <w:pPr>
        <w:ind w:left="4" w:firstLine="436"/>
        <w:spacing w:after="0" w:line="282" w:lineRule="auto"/>
        <w:tabs>
          <w:tab w:leader="none" w:pos="699"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Issuance, Amendment, Renewal, Extension; Certain Conditions</w:t>
      </w:r>
      <w:r>
        <w:rPr>
          <w:rFonts w:ascii="Arial" w:cs="Arial" w:eastAsia="Arial" w:hAnsi="Arial"/>
          <w:sz w:val="16"/>
          <w:szCs w:val="16"/>
          <w:color w:val="auto"/>
        </w:rPr>
        <w:t>. To request the issuance of a Letter of Credit (or the amendment, renewal or extension of an outstanding Letter of Credit), the Borrower Representative shall deliver by hand or facsimile (or transmit by electronic communication, if arrangements for doing so have been approved by the applicable Issuing Bank) to the applicable Issuing Bank and the Administrative Agent ((i) in the case of Letters of Credit to be issued in dollars, prior to 1:00 p.m., New York City time, at least three Business Days and (ii) in the case of Letters of Credit to be issued in an LC Alternative Currency, prior to 1:00 p.m., New York City time, at least five Business Days prior to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Loan Party or Restricted Subsidiary for whose account such Letter of Credit is to be issued, the currency in which such Letter of Credit will be denominated (which may be in: (x) dollars or an LC Alternative Currency in the case of U.S. Letters of Credit and (y) dollars or Canadian Dollars in the case of Canadian Letters of Credit), the name and address of the beneficiary thereof and such other information as shall be necessary to prepare, amend, renew or extend such Letter of Credit. If requested by the applicable Issuing Bank, the applicable Borrower also shall submit a letter of credit application on the applicable Issuing Bank’s standard form in connection with any request for a Letter of Credit. A Letter of Credit shall be issued, amended, renewed or extended only if (and upon issuance, amendment, renewal or extension of each Letter of Credit the Borrowers shall be deemed to represent and warrant that), after giving effect to such issuance, amendment, renewal or extension (i) the aggregate LC Exposure shall not exceed the LC Aggregate Maximum Amount, (ii) U.S. Availability shall not be less than zero, (iii) Canadian Availability shall not be less than zero, (iv) Aggregate Availability shall not be less than zero, (v) the aggregate LC Exposure with respect to all Letters of Credit issued in an LC Alternative Currency shall not exceed the LC Alternative Currency Sublimit, (vi) the LC Exposure of the applicable Issuing Bank shall not exceed such Issuing Bank’s LC Individual Sublimit, and</w:t>
      </w:r>
    </w:p>
    <w:p>
      <w:pPr>
        <w:spacing w:after="0" w:line="11" w:lineRule="exact"/>
        <w:rPr>
          <w:rFonts w:ascii="Arial" w:cs="Arial" w:eastAsia="Arial" w:hAnsi="Arial"/>
          <w:sz w:val="16"/>
          <w:szCs w:val="16"/>
          <w:color w:val="auto"/>
        </w:rPr>
      </w:pPr>
    </w:p>
    <w:p>
      <w:pPr>
        <w:ind w:left="4" w:right="1020" w:hanging="4"/>
        <w:spacing w:after="0" w:line="260" w:lineRule="auto"/>
        <w:tabs>
          <w:tab w:leader="none" w:pos="359"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Lender’s U.S. Revolving Exposure, Canadian Revolving Exposure and Revolving Exposure shall not exceed such Lender’s U.S. Commitment, Canadian Commitment and Revolving Commitment, respectively.</w:t>
      </w:r>
    </w:p>
    <w:p>
      <w:pPr>
        <w:spacing w:after="0" w:line="77" w:lineRule="exact"/>
        <w:rPr>
          <w:rFonts w:ascii="Arial" w:cs="Arial" w:eastAsia="Arial" w:hAnsi="Arial"/>
          <w:sz w:val="18"/>
          <w:szCs w:val="18"/>
          <w:color w:val="auto"/>
        </w:rPr>
      </w:pPr>
    </w:p>
    <w:p>
      <w:pPr>
        <w:ind w:left="4" w:right="40" w:firstLine="436"/>
        <w:spacing w:after="0" w:line="254" w:lineRule="auto"/>
        <w:tabs>
          <w:tab w:leader="none" w:pos="689"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Each Letter of Credit shall expire at or prior to the close of business on the earlier of (i) the date that is two years (or, at the discretion of the applicable Issuing Bank, with the consent of the Administrative Agent and the Required Lenders, an agreed to longer period of time) after the date of the issuance of such Letter of Credit (or, in the case of any renewal or extension thereof, including, without limitation, any “evergreen” or automatic renewal provisions, one year after the then-current expiration date at the time of such renewal or extension) and (ii) the date that is five Business Days prior to the Maturity Date (unless such Letter of Credit has been cash collateralized in accordance with the provisions of Section 2.06(k)) or otherwise in a manner reasonably satisfactory to the applicable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Letter of Credit providing for annual automatic renewal, such Letter of Credit may, at the discretion of the applicable Issuing Bank, be automatically extended for a period of up to one year after the Maturity Date.</w:t>
      </w:r>
    </w:p>
    <w:p>
      <w:pPr>
        <w:spacing w:after="0" w:line="83" w:lineRule="exact"/>
        <w:rPr>
          <w:rFonts w:ascii="Arial" w:cs="Arial" w:eastAsia="Arial" w:hAnsi="Arial"/>
          <w:sz w:val="18"/>
          <w:szCs w:val="18"/>
          <w:color w:val="auto"/>
        </w:rPr>
      </w:pPr>
    </w:p>
    <w:p>
      <w:pPr>
        <w:ind w:left="4" w:firstLine="436"/>
        <w:spacing w:after="0" w:line="268" w:lineRule="auto"/>
        <w:tabs>
          <w:tab w:leader="none" w:pos="699"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By the issuance of a Letter of Credit (or an amendment to a Letter of Credit increasing the amount thereof) and without any further action on the part of any Issuing Bank or the Revolving Lenders, the applicable Issuing Bank hereby grants to each U.S. Lender, with respect to a U.S. Letter of Credit, and each Canadian Lender, with respect to a Canadian Letter of Credit, and each U.S. Lender and Canadian Lender, as applicable, hereby acquires from the applicable Issuing Bank, a participation in each such Letter of Credit equal to such Lender’s Applicable Percentage of the aggregate amount available to be drawn under such Letter of Credit. In consideration and in furtherance of the foregoing, (i) with respect to each U.S. Letter of Credit, each U.S. Lender hereby absolutely and unconditionally agrees to pay in dollars to the Administrative Agent, and (ii) with respect to any Canadian Letters of Credit, each Canadian Lender hereby absolutely and unconditionally promises to pay, in the same currency in which such Canadian Letter of Credit is issued, the Administrative Agent, in each case for the account of the applicable Issuing Bank, such Lender’s Applicable Percentage of each LC Disbursement, made by such Issuing Bank and not reimbursed by the applicable Borrower on the date due as provided in paragraph (e) of this Section, or of any reimbursement payment required to be refunded to such Borrowers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4"/>
          </w:cols>
          <w:pgMar w:left="436" w:top="274" w:right="459" w:bottom="1440" w:gutter="0" w:footer="0" w:header="0"/>
        </w:sectPr>
      </w:pPr>
    </w:p>
    <w:bookmarkStart w:id="94" w:name="page95"/>
    <w:bookmarkEnd w:id="94"/>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reduction or termination of the Revolving Commitments, U.S. Commitments or Canadian Commitments, and that each such payment shall be made without any offset, abatement, withholding or reduction whatsoever.</w:t>
      </w:r>
    </w:p>
    <w:p>
      <w:pPr>
        <w:spacing w:after="0" w:line="62" w:lineRule="exact"/>
        <w:rPr>
          <w:sz w:val="20"/>
          <w:szCs w:val="20"/>
          <w:color w:val="auto"/>
        </w:rPr>
      </w:pPr>
    </w:p>
    <w:p>
      <w:pPr>
        <w:ind w:right="20" w:firstLine="436"/>
        <w:spacing w:after="0" w:line="284" w:lineRule="auto"/>
        <w:tabs>
          <w:tab w:leader="none" w:pos="685"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If any Issuing Bank shall make any LC Disbursement in respect of a Letter of Credit, the applicable Borrower shall reimburse such LC Disbursement by paying to the Administrative Agent (i) in the case of any U.S. Letter of Credit, in dollars and (ii) in the case of any Canadian Letter of Credit, in the same currency as the applicable LC Disbursement, an amount equal to such LC Disbursement not later than 1:00 p.m., New York City time, on the date that such LC Disbursement is made, if the Borrower Representative shall have received notice of such LC Disbursement prior to 11:00 a.m., New York City time, on such date, or, if such notice has not been received by the Borrower Representative prior to such time on such date, then not later than 2:00 p.m., New York City time, on (x) the Business Day that the Borrower Representative receives such notice, if such notice is received prior to 11:00 a.m., New York City time, on the date of receipt, or (y) the Business Day immediately following the day that the Borrower Representative receives such notice, if such notice is not received prior to such time on the date of receipt;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Borrowers may, subject to the conditions to borrowing set forth herein, request in accordance with Section 2.03 or 2.05 that such payment be financed with an ABR Revolving Borrowing or U.S. Swingline Loan (in the case of U.S. Letters of Credit), or a Canadian Prime Rate Revolving Borrowing or Canadian Swingline Loan (in the case of Canadian Letters of Credit), in an equivalent amount and, to the extent so financed (in the event that such LC Disbursement with respect to a U.S. Letter of Credit was made in an LC Alternative Currency, such Borrowing Request shall be for an amount in dollars equal to the Dollar Amount of such LC Disbursement), the Borrowers’ obligation to make such payment shall be discharged and replaced by the resulting ABR Revolving Borrowing, Canadian Prime Rate Revolving Borrowing or Swingline Loan. If the Borrowers fail to make such payment when due, the Administrative Agent shall notify each U.S. Lender of the applicable LC Disbursement with respect to U.S. Letters of Credit and each Canadian Lender of the applicable LC Disbursement with respect of Canadian Letters of Credit, the payment then due from the applicable Borrower in respect thereof and such Lender’s Applicable Percentage thereof. Promptly following receipt of such notice with respect to any Letter of Credit, each U.S. Lender (in the case of any U.S. Letter of Credit) and each Canadian Lender (in the case of any Canadian Letter of Credit) shall pay to the Administrative Agent its Applicable Percentage of the payment then due from the applicable Borrower, in the same manner as provided in Section 2.07 with respect to Loans made by such Lender (and Section 2.07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to the payment obligations of the applicable Lenders), and the Administrative Agent shall promptly pay to the applicable Issuing Bank the amounts so received by it from such Lenders. Promptly following receipt by the Administrative Agent of any payment from the Borrowers pursuant to this paragraph, the Administrative Agent shall distribute such payment to the applicable Issuing Bank or, to the extent that Revolving Lenders have made payments pursuant to this paragraph to reimburse the applicable Issuing Bank, then to such Lenders and the applicable Issuing Bank as their interests may appear. Any payment made by a Revolving Lender pursuant to this paragraph to reimburse any Issuing Bank for any LC Disbursement (other than the funding of ABR Revolving Loans, Canadian Prime Rate Revolving Loans, or a Swingline Loan as contemplated above) shall not constitute a Loan (but shall be a Secured Obligation) and shall not relieve the Borrowers of their obligation to reimburse such LC Disbursement.</w:t>
      </w:r>
    </w:p>
    <w:p>
      <w:pPr>
        <w:spacing w:after="0" w:line="279" w:lineRule="exact"/>
        <w:rPr>
          <w:rFonts w:ascii="Arial" w:cs="Arial" w:eastAsia="Arial" w:hAnsi="Arial"/>
          <w:sz w:val="16"/>
          <w:szCs w:val="16"/>
          <w:color w:val="auto"/>
        </w:rPr>
      </w:pPr>
    </w:p>
    <w:p>
      <w:pPr>
        <w:ind w:firstLine="436"/>
        <w:spacing w:after="0" w:line="271" w:lineRule="auto"/>
        <w:tabs>
          <w:tab w:leader="none" w:pos="665"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Exchange Indemnification and Increased Costs</w:t>
      </w:r>
      <w:r>
        <w:rPr>
          <w:rFonts w:ascii="Arial" w:cs="Arial" w:eastAsia="Arial" w:hAnsi="Arial"/>
          <w:sz w:val="17"/>
          <w:szCs w:val="17"/>
          <w:color w:val="auto"/>
        </w:rPr>
        <w:t>. The U.S. Borrowers shall, upon demand from any Issuing Bank or any U.S. Lender, pay to such Issuing Bank or such U.S. Lender, the amount of (i) any loss or cost or increased cost incurred by such Issuing Bank or such U.S. Lender, (ii) any reduction in any amount payable to or in the effective return on the capital to such Issuing Bank or such U.S. Lender, (iii) any currency exchange loss, in each case with respect to clauses (i), (ii) and (iii), that such Issuing Bank or such U.S. Lender sustains as a result of the U.S. Borrowers’ repayment in dollars of any U.S. Letter of Credit that was denominated in an LC Alternative Currency or (iv) any interest or any other return, including principal, foregone by such Issuing Bank as a result of the introduction of, changeover to or operation of the Euro in any member state participating in the Euro. A certificate of the applicable Issuing Bank setting forth in reasonable detail the basis for determining such additional amount or amounts necessary to compensate such Issuing Bank shall be conclusively presumed to be correct save for manifest error.</w:t>
      </w:r>
    </w:p>
    <w:p>
      <w:pPr>
        <w:spacing w:after="0" w:line="70" w:lineRule="exact"/>
        <w:rPr>
          <w:rFonts w:ascii="Arial" w:cs="Arial" w:eastAsia="Arial" w:hAnsi="Arial"/>
          <w:sz w:val="17"/>
          <w:szCs w:val="17"/>
          <w:color w:val="auto"/>
        </w:rPr>
      </w:pPr>
    </w:p>
    <w:p>
      <w:pPr>
        <w:ind w:right="80" w:firstLine="436"/>
        <w:spacing w:after="0" w:line="279" w:lineRule="auto"/>
        <w:tabs>
          <w:tab w:leader="none" w:pos="695"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Obligations Absolute</w:t>
      </w:r>
      <w:r>
        <w:rPr>
          <w:rFonts w:ascii="Arial" w:cs="Arial" w:eastAsia="Arial" w:hAnsi="Arial"/>
          <w:sz w:val="17"/>
          <w:szCs w:val="17"/>
          <w:color w:val="auto"/>
        </w:rPr>
        <w:t>. The joint and several obligations of U.S. Borrowers to reimburse LC Disbursements and the obligation of the Canadian Borrowers to reimburse LC Disbursements on account of Canadian Letters of Credit, in each case, as provided in paragraph (e) of this Section shall be (subject to Section 12.01) absolute, unconditional and irrevocable, and shall be performed strictly in accordance with the terms of this Agreement under any and all circumstances whatsoever and irrespective of (i) any lack of validity or enforceability of any Letter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95" w:name="page96"/>
    <w:bookmarkEnd w:id="95"/>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Credit or this Agreement, or any term or provision therein or 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None of the Administrative Agent, the Revolving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the applicable Issuing Bank from liability to the Borrowers to the extent of any direct damages (as opposed to consequential damages, claims in respect of which are hereby waived by the Borrowers to the extent permitted by applicable law) suffered by any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61" w:lineRule="exact"/>
        <w:rPr>
          <w:sz w:val="20"/>
          <w:szCs w:val="20"/>
          <w:color w:val="auto"/>
        </w:rPr>
      </w:pPr>
    </w:p>
    <w:p>
      <w:pPr>
        <w:ind w:firstLine="436"/>
        <w:spacing w:after="0" w:line="275" w:lineRule="auto"/>
        <w:tabs>
          <w:tab w:leader="none" w:pos="695"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Disbursement Procedures</w:t>
      </w:r>
      <w:r>
        <w:rPr>
          <w:rFonts w:ascii="Arial" w:cs="Arial" w:eastAsia="Arial" w:hAnsi="Arial"/>
          <w:sz w:val="17"/>
          <w:szCs w:val="17"/>
          <w:color w:val="auto"/>
        </w:rPr>
        <w:t xml:space="preserve">. The applicable Issuing Bank shall, promptly following its receipt thereof, examine all documents purporting to represent a demand for payment under a Letter of Credit. The applicable Issuing Bank shall promptly notify the Administrative Agent and the applicable Borrower by telephone (confirmed by facsimile or electronic mail) of such demand for payment and whether such Issuing Bank has made or will make an LC Disbursement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delay in giving such notice shall not relieve the Borrowers of their obligation to reimburse the applicable Issuing Bank and the applicable Revolving Lenders with respect to any such LC Disbursement.</w:t>
      </w:r>
    </w:p>
    <w:p>
      <w:pPr>
        <w:spacing w:after="0" w:line="68" w:lineRule="exact"/>
        <w:rPr>
          <w:rFonts w:ascii="Arial" w:cs="Arial" w:eastAsia="Arial" w:hAnsi="Arial"/>
          <w:sz w:val="17"/>
          <w:szCs w:val="17"/>
          <w:color w:val="auto"/>
        </w:rPr>
      </w:pPr>
    </w:p>
    <w:p>
      <w:pPr>
        <w:ind w:right="180" w:firstLine="436"/>
        <w:spacing w:after="0" w:line="290" w:lineRule="auto"/>
        <w:tabs>
          <w:tab w:leader="none" w:pos="655"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If any Issuing Bank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(i) then applicable to ABR Revolving Loans in the case of LC Disbursements made in dollars or in a LC Alternative Currency; and (ii) then applicable to Canadian Prime Rate Revolving Loans in the case of LC Disbursements made in Canadian Dollars; provided that, if the applicable Borrowers fail to reimburse such LC Disbursement when due pursuant to paragraph (e) of this Section, then Section 2.13(f) shall apply. Interest accrued pursuant to this paragraph shall be for the account of the applicable Issuing Bank, except that interest accrued on and after the date of payment by any Revolving Lender pursuant to paragraph (e) of this Section to reimburse the Issuing Bank shall be for the account of such Revolving Lender to the extent of such payment.</w:t>
      </w:r>
    </w:p>
    <w:p>
      <w:pPr>
        <w:spacing w:after="0" w:line="57" w:lineRule="exact"/>
        <w:rPr>
          <w:rFonts w:ascii="Arial" w:cs="Arial" w:eastAsia="Arial" w:hAnsi="Arial"/>
          <w:sz w:val="16"/>
          <w:szCs w:val="16"/>
          <w:color w:val="auto"/>
        </w:rPr>
      </w:pPr>
    </w:p>
    <w:p>
      <w:pPr>
        <w:ind w:right="80" w:firstLine="436"/>
        <w:spacing w:after="0" w:line="291" w:lineRule="auto"/>
        <w:tabs>
          <w:tab w:leader="none" w:pos="655"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Replacement or Resignation of the Issuing Bank</w:t>
      </w:r>
      <w:r>
        <w:rPr>
          <w:rFonts w:ascii="Arial" w:cs="Arial" w:eastAsia="Arial" w:hAnsi="Arial"/>
          <w:sz w:val="16"/>
          <w:szCs w:val="16"/>
          <w:color w:val="auto"/>
        </w:rPr>
        <w:t>. Any Issuing Bank may be replaced at any time by written agreement among the Borrower Representative, the Administrative Agent, the Issuing Bank to be replaced and the successor Issuing Bank. Any Issuing Bank may resign by giving 30 days’ written notice to the Borrower Representative and the Administrative Agent. The Administrative Agent shall notify the Revolving Lenders of any such replacement or resignation of an Issuing Bank. At the time any such replacement or resignation shall become effective, the Borrowers shall pay all unpaid fees accrued for the account of the replaced or retiring Issuing Bank pursuant to Section 2.12(b). From and after the effective date of any such replacement, (i) the successor Issuing Bank shall have all the rights and obligations of an Issuing Bank under this Agreement with respect to Letters of Credit to be issued thereafter and (ii) references herein to the term “</w:t>
      </w:r>
      <w:r>
        <w:rPr>
          <w:rFonts w:ascii="Arial" w:cs="Arial" w:eastAsia="Arial" w:hAnsi="Arial"/>
          <w:sz w:val="16"/>
          <w:szCs w:val="16"/>
          <w:u w:val="single" w:color="auto"/>
          <w:color w:val="auto"/>
        </w:rPr>
        <w:t>Issuing Bank</w:t>
      </w:r>
      <w:r>
        <w:rPr>
          <w:rFonts w:ascii="Arial" w:cs="Arial" w:eastAsia="Arial" w:hAnsi="Arial"/>
          <w:sz w:val="16"/>
          <w:szCs w:val="16"/>
          <w:color w:val="auto"/>
        </w:rPr>
        <w:t>” shall be deemed to refer to such successor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96" w:name="page97"/>
    <w:bookmarkEnd w:id="96"/>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any previous Issuing Bank, or to such successor and all previous Issuing Banks, as the context shall require. After the replacement or resignation of an Issuing Bank hereunder, the replaced or retiring Issuing Bank shall remain a party hereto and shall continue to have all the rights and obligations of an Issuing Bank under this Agreement with respect to Letters of Credit issued by it prior to such replacement or resignation, but shall not be required to issue additional Letters of Credit.</w:t>
      </w:r>
    </w:p>
    <w:p>
      <w:pPr>
        <w:spacing w:after="0" w:line="79" w:lineRule="exact"/>
        <w:rPr>
          <w:sz w:val="20"/>
          <w:szCs w:val="20"/>
          <w:color w:val="auto"/>
        </w:rPr>
      </w:pPr>
    </w:p>
    <w:p>
      <w:pPr>
        <w:ind w:left="4" w:right="100" w:firstLine="436"/>
        <w:spacing w:after="0" w:line="286" w:lineRule="auto"/>
        <w:tabs>
          <w:tab w:leader="none" w:pos="699"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If any Event of Default shall occur and be continuing, on the Business Day that the Borrower Representative receives notice from the Administrative Agent or the Required Lenders demanding the deposit of cash collateral pursuant to this paragraph, (i) the U.S. Borrowers shall deposit in an account with the Administrative Agent, in the name of the Administrative Agent and for the benefit of the Lender Parties (the “</w:t>
      </w:r>
      <w:r>
        <w:rPr>
          <w:rFonts w:ascii="Arial" w:cs="Arial" w:eastAsia="Arial" w:hAnsi="Arial"/>
          <w:sz w:val="16"/>
          <w:szCs w:val="16"/>
          <w:u w:val="single" w:color="auto"/>
          <w:color w:val="auto"/>
        </w:rPr>
        <w:t>LC Collateral Account</w:t>
      </w:r>
      <w:r>
        <w:rPr>
          <w:rFonts w:ascii="Arial" w:cs="Arial" w:eastAsia="Arial" w:hAnsi="Arial"/>
          <w:sz w:val="16"/>
          <w:szCs w:val="16"/>
          <w:color w:val="auto"/>
        </w:rPr>
        <w:t>”), an amount in cash equal to 103% of the U.S. LC Exposure as of such date plus accrued and unpaid interest thereon; and</w:t>
      </w:r>
    </w:p>
    <w:p>
      <w:pPr>
        <w:spacing w:after="0" w:line="1" w:lineRule="exact"/>
        <w:rPr>
          <w:rFonts w:ascii="Arial" w:cs="Arial" w:eastAsia="Arial" w:hAnsi="Arial"/>
          <w:sz w:val="16"/>
          <w:szCs w:val="16"/>
          <w:color w:val="auto"/>
        </w:rPr>
      </w:pPr>
    </w:p>
    <w:p>
      <w:pPr>
        <w:ind w:left="4" w:hanging="4"/>
        <w:spacing w:after="0" w:line="284" w:lineRule="auto"/>
        <w:tabs>
          <w:tab w:leader="none" w:pos="269"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Canadian Borrowers shall deposit in an account with the Administrative Agent, in the name of the Administrative Agent and for the benefit of the Canadian Lender Parties (the “</w:t>
      </w:r>
      <w:r>
        <w:rPr>
          <w:rFonts w:ascii="Arial" w:cs="Arial" w:eastAsia="Arial" w:hAnsi="Arial"/>
          <w:sz w:val="16"/>
          <w:szCs w:val="16"/>
          <w:u w:val="single" w:color="auto"/>
          <w:color w:val="auto"/>
        </w:rPr>
        <w:t>Canadian LC Collateral Account</w:t>
      </w:r>
      <w:r>
        <w:rPr>
          <w:rFonts w:ascii="Arial" w:cs="Arial" w:eastAsia="Arial" w:hAnsi="Arial"/>
          <w:sz w:val="16"/>
          <w:szCs w:val="16"/>
          <w:color w:val="auto"/>
        </w:rPr>
        <w:t xml:space="preserve">”), an amount in cash equal to 103% of the Canadian LC Exposure as of such date plus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clauses (i) or (j) of Article VII. Such deposits shall be held by the Administrative Agent as collateral for the payment and performance of the Secured Obligations in the case of deposits in the LC Collateral Account, and the Canadian Secured Obligations in the case of deposits in the Canadian LC Collateral Account. The Administrative Agent shall have exclusive dominion and control, including the exclusive right of withdrawal, over such accounts; and (x) the U.S. Borrowers hereby grant the Administrative Agent (for the benefit of the Lender Parties) a security interest in the LC Collateral Account and (y) the Canadian Borrowers hereby grant the Administrative Agent (for the benefit of the Canadian Lender Parties) a security interest in the Canadian LC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Subject to Section 12.01, moneys in such account shall be applied by the Administrative Agent to reimburse the applicable Issuing Bank for LC Disbursements for which it has not been reimbursed and, to the extent not so applied, shall be held for the satisfaction of the reimbursement obligations of the U.S. Borrowers or the Canadian Borrowers, as applicable, for the LC Exposure at such time or, if the maturity of the Loans has been accelerated (but subject to the consent of Required Lenders), be applied, in the case of moneys in the LC Collateral Account, to satisfy other Secured Obligations or, in the case of moneys in the Canadian LC Collateral Account, to satisfy other Canadian Secured Obligations. If the Borrowers are required to provide an amount of cash collateral hereunder as a result of the occurrence of an Event of Default, such amount (to the extent not applied as aforesaid) shall be returned to the Borrowers within three Business Days after all such Events of Default have been cured or waived.</w:t>
      </w:r>
    </w:p>
    <w:p>
      <w:pPr>
        <w:spacing w:after="0" w:line="278" w:lineRule="exact"/>
        <w:rPr>
          <w:rFonts w:ascii="Arial" w:cs="Arial" w:eastAsia="Arial" w:hAnsi="Arial"/>
          <w:sz w:val="16"/>
          <w:szCs w:val="16"/>
          <w:color w:val="auto"/>
        </w:rPr>
      </w:pPr>
    </w:p>
    <w:p>
      <w:pPr>
        <w:ind w:left="4" w:right="20" w:firstLine="436"/>
        <w:spacing w:after="0" w:line="271" w:lineRule="auto"/>
        <w:tabs>
          <w:tab w:leader="none" w:pos="659"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Treatment of Existing Letters of Credit</w:t>
      </w:r>
      <w:r>
        <w:rPr>
          <w:rFonts w:ascii="Arial" w:cs="Arial" w:eastAsia="Arial" w:hAnsi="Arial"/>
          <w:sz w:val="17"/>
          <w:szCs w:val="17"/>
          <w:color w:val="auto"/>
        </w:rPr>
        <w:t xml:space="preserve">. On the Fourth Restatement Date, (i) each Existing U.S. Letter of Credit, to the extent outstanding, shall automatically and without further action by the parties thereto be deemed converted into a U.S. Letter of Credit under this Agreement (as reflected on </w:t>
      </w:r>
      <w:r>
        <w:rPr>
          <w:rFonts w:ascii="Arial" w:cs="Arial" w:eastAsia="Arial" w:hAnsi="Arial"/>
          <w:sz w:val="17"/>
          <w:szCs w:val="17"/>
          <w:u w:val="single" w:color="auto"/>
          <w:color w:val="auto"/>
        </w:rPr>
        <w:t>Schedule 2.06</w:t>
      </w:r>
      <w:r>
        <w:rPr>
          <w:rFonts w:ascii="Arial" w:cs="Arial" w:eastAsia="Arial" w:hAnsi="Arial"/>
          <w:sz w:val="17"/>
          <w:szCs w:val="17"/>
          <w:color w:val="auto"/>
        </w:rPr>
        <w:t xml:space="preserve">) and each Existing Canadian Letter of Credit, to the extent outstanding, shall automatically and without further action by the parties thereto be deemed converted into a Canadian Letter of Credit under this Agreement (as reflected on </w:t>
      </w:r>
      <w:r>
        <w:rPr>
          <w:rFonts w:ascii="Arial" w:cs="Arial" w:eastAsia="Arial" w:hAnsi="Arial"/>
          <w:sz w:val="17"/>
          <w:szCs w:val="17"/>
          <w:u w:val="single" w:color="auto"/>
          <w:color w:val="auto"/>
        </w:rPr>
        <w:t>Schedule 2.06</w:t>
      </w:r>
      <w:r>
        <w:rPr>
          <w:rFonts w:ascii="Arial" w:cs="Arial" w:eastAsia="Arial" w:hAnsi="Arial"/>
          <w:sz w:val="17"/>
          <w:szCs w:val="17"/>
          <w:color w:val="auto"/>
        </w:rPr>
        <w:t>), in each case, pursuant to this Section 2.06 and subject to the provisions hereof as if each such Existing U.S. Letter of Credit and each Existing Canadian Letter of Credit had been issued on the Fourth Restatement Date, (ii) each Existing U.S. Letter of Credit shall be included in the calculation of U.S. LC Exposure and each Existing Canadian Letter of Credit shall be included in the calculation of Canadian LC Exposure, and (iii) all liabilities of the Borrowers and the other Loan Parties with respect to such Existing Letters of Credit shall constitute Obligations.</w:t>
      </w:r>
    </w:p>
    <w:p>
      <w:pPr>
        <w:spacing w:after="0" w:line="70" w:lineRule="exact"/>
        <w:rPr>
          <w:rFonts w:ascii="Arial" w:cs="Arial" w:eastAsia="Arial" w:hAnsi="Arial"/>
          <w:sz w:val="17"/>
          <w:szCs w:val="17"/>
          <w:color w:val="auto"/>
        </w:rPr>
      </w:pPr>
    </w:p>
    <w:p>
      <w:pPr>
        <w:ind w:left="4" w:right="40" w:firstLine="436"/>
        <w:spacing w:after="0" w:line="255" w:lineRule="auto"/>
        <w:tabs>
          <w:tab w:leader="none" w:pos="749"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Issuing Bank Reports to the Administrative Agent</w:t>
      </w:r>
      <w:r>
        <w:rPr>
          <w:rFonts w:ascii="Arial" w:cs="Arial" w:eastAsia="Arial" w:hAnsi="Arial"/>
          <w:sz w:val="18"/>
          <w:szCs w:val="18"/>
          <w:color w:val="auto"/>
        </w:rPr>
        <w:t>. Unless otherwise agreed by the Administrative Agent, such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4"/>
          </w:cols>
          <w:pgMar w:left="436" w:top="274" w:right="459" w:bottom="1440" w:gutter="0" w:footer="0" w:header="0"/>
        </w:sectPr>
      </w:pPr>
    </w:p>
    <w:bookmarkStart w:id="97" w:name="page98"/>
    <w:bookmarkEnd w:id="97"/>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any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68" w:lineRule="exact"/>
        <w:rPr>
          <w:sz w:val="20"/>
          <w:szCs w:val="20"/>
          <w:color w:val="auto"/>
        </w:rPr>
      </w:pPr>
    </w:p>
    <w:p>
      <w:pPr>
        <w:ind w:firstLine="436"/>
        <w:spacing w:after="0" w:line="269" w:lineRule="auto"/>
        <w:tabs>
          <w:tab w:leader="none" w:pos="695"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Limitation of Liability; Direct Damages</w:t>
      </w:r>
      <w:r>
        <w:rPr>
          <w:rFonts w:ascii="Arial" w:cs="Arial" w:eastAsia="Arial" w:hAnsi="Arial"/>
          <w:sz w:val="17"/>
          <w:szCs w:val="17"/>
          <w:color w:val="auto"/>
        </w:rPr>
        <w:t xml:space="preserve">. The liability of the Issuing Bank (or any other Indemnitee) under, in connection with and/or arising out of this Agreement, any letter of credit application or any Letter of Credit (or pre-advice), regardless of the form or legal grounds of the action or proceeding, shall be limited to direct damages suffered by the applicant with respect to such letter of credit application or Letter of Credit that are caused directly by the Issuing Bank’s bad faith, gross negligence or willful misconduct in (i) failing to issue a Letter of Credit requested by the Borrowers when such Letter of Credit and the Borrowers are in strict compliance with the terms of this Agreement, (ii) honoring a presentation under a Letter of Credit that on its face does not at least substantially comply with the terms and conditions of such Letter of Credit, (iii) failing to honor a presentation under a Letter of Credit that strictly complies with the terms and conditions of such Letter of Credit or (iv) retaining drawing documents presented under a Letter of Credit. Such applicant’s aggregate remedies against the Issuing Bank and any Indemnitee for wrongfully honoring a presentation under any Letter of Credit or wrongfully retaining honored drawing documents shall in no event exceed the aggregate amount paid by such applicant to the Issuing Bank in respect of the honored presentation in connection with such Letter of Credit under Section 2.06(e),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at the rate then applicable to ABR Loans or Canadian Prime Rate Loans, as applicable.</w:t>
      </w:r>
    </w:p>
    <w:p>
      <w:pPr>
        <w:spacing w:after="0" w:line="18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Funding of Borrowings</w:t>
      </w:r>
      <w:r>
        <w:rPr>
          <w:rFonts w:ascii="Arial" w:cs="Arial" w:eastAsia="Arial" w:hAnsi="Arial"/>
          <w:sz w:val="17"/>
          <w:szCs w:val="17"/>
          <w:color w:val="auto"/>
        </w:rPr>
        <w:t xml:space="preserve">. (a) Each Lender shall make each Loan to be made by it hereunder on the proposed date thereof by wire transfer of immediately available funds by 2:00 p.m., New York City time, to the account of the Administrative Agent most recently designated by it for such purpose by notice to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Swingline Loans shall be made as provided in Section 2.05. The Administrative Agent will make such Loans available to the Borrower Representative by promptly crediting the amounts so received, in like funds, to the Funding Account(s);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ABR Revolving Loans made to finance the reimbursement of (i) an LC Disbursement as provided in Section 2.06(e) shall be remitted by the Administrative Agent to the applicable Issuing Bank, (ii) a U.S. Protective Advance or a U.S. Overadvance shall be retained by the Administrative Agent, and (iii) a Canadian Protective Advance or a Canadian Overadvance shall be retained by the Administrative Agent. U.S. Loans and participations in U.S. Swingline Loans and U.S. Letters of Credit will be funded by each U.S. Lender pro rata in accordance with its Applicable Percentage of the U.S. Commitments. Canadian Loans and participations in Canadian Swingline Loans and Canadian Letters of Credit will be funded by each Canadian Lender pro rata in accordance with its Applicable Percentage of the Canadian Commitments.</w:t>
      </w:r>
    </w:p>
    <w:p>
      <w:pPr>
        <w:spacing w:after="0" w:line="77" w:lineRule="exact"/>
        <w:rPr>
          <w:sz w:val="20"/>
          <w:szCs w:val="20"/>
          <w:color w:val="auto"/>
        </w:rPr>
      </w:pPr>
    </w:p>
    <w:p>
      <w:pPr>
        <w:ind w:right="40" w:firstLine="436"/>
        <w:spacing w:after="0" w:line="269" w:lineRule="auto"/>
        <w:tabs>
          <w:tab w:leader="none" w:pos="695" w:val="left"/>
        </w:tabs>
        <w:numPr>
          <w:ilvl w:val="0"/>
          <w:numId w:val="66"/>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Borrowers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either the Federal Funds Effective Rate (in the case of dollar denominated amounts) or the Canadian Overnight Rate (in the case of Canadian Dollar denominated amounts) and a rate determined by the Administrative Agent in accordance with banking industry rules on interbank compensation or (ii) in the case of the Borrowers, the interest rate applicable to ABR Loans (in the case of dollar denominated amounts), or Canadian Prime Rate Loans (in the case of Canadian Dollar denominated amounts). If such Lender pays such amount to the Administrative Agent then such amount shall constitute such Lender’s Loan included in such Borrowing.</w:t>
      </w:r>
    </w:p>
    <w:p>
      <w:pPr>
        <w:spacing w:after="0" w:line="179"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Interest Elections</w:t>
      </w:r>
      <w:r>
        <w:rPr>
          <w:rFonts w:ascii="Arial" w:cs="Arial" w:eastAsia="Arial" w:hAnsi="Arial"/>
          <w:sz w:val="18"/>
          <w:szCs w:val="18"/>
          <w:color w:val="auto"/>
        </w:rPr>
        <w:t>. (a) Each Revolving Borrowing initially shall be of the Type specified in the applicable Borrowing Request and, in the case of a Term SOFR Revolving Borrowing or a CDOR Rate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98" w:name="page99"/>
    <w:bookmarkEnd w:id="98"/>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Revolving Borrowing, shall have an initial Interest Period as specified in such Borrowing Request. Thereafter, the Borrower Representative may elect to convert such Borrowing to a different Type or to continue such Borrowing and, in the case of a Term SOFR Revolving Borrowing or a CDOR Rate Revolving Borrowing, may elect Interest Periods therefor, all as provided in this Section. The Borrower Representative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Borrowing in one currency may only be converted to another Type of Borrowing denominated in the same currency as the Borrowing to be so converted. This Section shall not apply to Swingline Borrowings, Overadvances or Protective Advances, which may not be converted or continued.</w:t>
      </w:r>
    </w:p>
    <w:p>
      <w:pPr>
        <w:spacing w:after="0" w:line="58" w:lineRule="exact"/>
        <w:rPr>
          <w:sz w:val="20"/>
          <w:szCs w:val="20"/>
          <w:color w:val="auto"/>
        </w:rPr>
      </w:pPr>
    </w:p>
    <w:p>
      <w:pPr>
        <w:ind w:right="60" w:firstLine="436"/>
        <w:spacing w:after="0" w:line="257" w:lineRule="auto"/>
        <w:tabs>
          <w:tab w:leader="none" w:pos="6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make an election pursuant to this Section, the Borrower Representative shall notify the Administrative Agent of such election in writing by the time that a Borrowing Request would be required under Section 2.03 if the Borrowers were requesting a Revolving Borrowing of the Type resulting from such election to be made on the effective date of such election. Each such Interest Election Request shall be irrevocable and shall be confirmed promptly by hand delivery, facsimile or electronic mail delivery to the Administrative Agent of a written Interest Election Request in a form approved by the Administrative Agent and signed by the Borrower Representative.</w:t>
      </w:r>
    </w:p>
    <w:p>
      <w:pPr>
        <w:spacing w:after="0" w:line="79" w:lineRule="exact"/>
        <w:rPr>
          <w:rFonts w:ascii="Arial" w:cs="Arial" w:eastAsia="Arial" w:hAnsi="Arial"/>
          <w:sz w:val="18"/>
          <w:szCs w:val="18"/>
          <w:color w:val="auto"/>
        </w:rPr>
      </w:pPr>
    </w:p>
    <w:p>
      <w:pPr>
        <w:ind w:left="680" w:hanging="244"/>
        <w:spacing w:after="0"/>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Interest Election Request shall specify the following information in compliance with Section 2.02:</w:t>
      </w:r>
    </w:p>
    <w:p>
      <w:pPr>
        <w:spacing w:after="0" w:line="117" w:lineRule="exact"/>
        <w:rPr>
          <w:rFonts w:ascii="Arial" w:cs="Arial" w:eastAsia="Arial" w:hAnsi="Arial"/>
          <w:sz w:val="18"/>
          <w:szCs w:val="18"/>
          <w:color w:val="auto"/>
        </w:rPr>
      </w:pPr>
    </w:p>
    <w:p>
      <w:pPr>
        <w:jc w:val="both"/>
        <w:ind w:left="440" w:firstLine="419"/>
        <w:spacing w:after="0" w:line="263" w:lineRule="auto"/>
        <w:tabs>
          <w:tab w:leader="none" w:pos="1078"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currency in which such Borrowing is to be funded;</w:t>
      </w:r>
    </w:p>
    <w:p>
      <w:pPr>
        <w:spacing w:after="0" w:line="117" w:lineRule="exact"/>
        <w:rPr>
          <w:rFonts w:ascii="Arial" w:cs="Arial" w:eastAsia="Arial" w:hAnsi="Arial"/>
          <w:sz w:val="18"/>
          <w:szCs w:val="18"/>
          <w:color w:val="auto"/>
        </w:rPr>
      </w:pPr>
    </w:p>
    <w:p>
      <w:pPr>
        <w:ind w:left="440" w:right="380" w:firstLine="419"/>
        <w:spacing w:after="0" w:line="277" w:lineRule="auto"/>
        <w:tabs>
          <w:tab w:leader="none" w:pos="116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a Canadian Prime Rate Borrowing, a CDOR Rate Borrowing, a Daily Simple SOFR Borrowing or a Term SOFR Borrowing; and</w:t>
      </w:r>
    </w:p>
    <w:p>
      <w:pPr>
        <w:spacing w:after="0" w:line="62" w:lineRule="exact"/>
        <w:rPr>
          <w:rFonts w:ascii="Arial" w:cs="Arial" w:eastAsia="Arial" w:hAnsi="Arial"/>
          <w:sz w:val="18"/>
          <w:szCs w:val="18"/>
          <w:color w:val="auto"/>
        </w:rPr>
      </w:pPr>
    </w:p>
    <w:p>
      <w:pPr>
        <w:ind w:left="440" w:right="400" w:firstLine="419"/>
        <w:spacing w:after="0" w:line="277" w:lineRule="auto"/>
        <w:tabs>
          <w:tab w:leader="none" w:pos="1118" w:val="left"/>
        </w:tabs>
        <w:numPr>
          <w:ilvl w:val="1"/>
          <w:numId w:val="67"/>
        </w:numPr>
        <w:rPr>
          <w:rFonts w:ascii="Arial" w:cs="Arial" w:eastAsia="Arial" w:hAnsi="Arial"/>
          <w:sz w:val="18"/>
          <w:szCs w:val="18"/>
          <w:color w:val="auto"/>
        </w:rPr>
      </w:pPr>
      <w:r>
        <w:rPr>
          <w:rFonts w:ascii="Arial" w:cs="Arial" w:eastAsia="Arial" w:hAnsi="Arial"/>
          <w:sz w:val="18"/>
          <w:szCs w:val="18"/>
          <w:color w:val="auto"/>
        </w:rPr>
        <w:t>if the resulting Borrowing is a Term SOFR Borrowing or a CDOR Rate Borrowing, the Interest Period to be applicable thereto after giving effect to such election, which shall be a period contemplated by the definition of the term “Interest Period.”</w:t>
      </w:r>
    </w:p>
    <w:p>
      <w:pPr>
        <w:spacing w:after="0" w:line="17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If any such Interest Election Request requests a Term SOFR Borrowing or a CDOR Rate Borrowing but does not specify an Interest Period, then the Borrowers shall be deemed to have selected an Interest Period of one month’s (or, in the case of a CDOR Rate Borrowing, 30 days’) duration.</w:t>
      </w:r>
    </w:p>
    <w:p>
      <w:pPr>
        <w:spacing w:after="0" w:line="16" w:lineRule="exact"/>
        <w:rPr>
          <w:sz w:val="20"/>
          <w:szCs w:val="20"/>
          <w:color w:val="auto"/>
        </w:rPr>
      </w:pPr>
    </w:p>
    <w:p>
      <w:pPr>
        <w:ind w:right="60" w:firstLine="436"/>
        <w:spacing w:after="0" w:line="277" w:lineRule="auto"/>
        <w:tabs>
          <w:tab w:leader="none" w:pos="6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by the Administrative Agent, the Administrative Agent shall advise each Lender of the details thereof and of such Lender’s portion of each resulting Borrowing.</w:t>
      </w:r>
    </w:p>
    <w:p>
      <w:pPr>
        <w:spacing w:after="0" w:line="62" w:lineRule="exact"/>
        <w:rPr>
          <w:rFonts w:ascii="Arial" w:cs="Arial" w:eastAsia="Arial" w:hAnsi="Arial"/>
          <w:sz w:val="18"/>
          <w:szCs w:val="18"/>
          <w:color w:val="auto"/>
        </w:rPr>
      </w:pPr>
    </w:p>
    <w:p>
      <w:pPr>
        <w:ind w:right="60" w:firstLine="436"/>
        <w:spacing w:after="0" w:line="291" w:lineRule="auto"/>
        <w:tabs>
          <w:tab w:leader="none" w:pos="685"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the Borrower Representative fails to deliver a timely Interest Election Request with respect to a Term SOFR Borrowing prior to the end of the Interest Period applicable thereto, then, unless such Borrowing is repaid as provided herein, at the end of such Interest Period such Borrowing shall be converted to an ABR Borrowing, in the case of a Term SOFR Borrowing of either U.S. Revolving Loans or Canadian Revolving Loans denominated in dollars. Notwithstanding any contrary provision hereof, if an Event of Default has occurred and is continuing and the Administrative Agent, at the request of the Required Lenders, so notifies the Borrower Representative, then, so long as an Event of Default is continuing (i) no outstanding Borrowing may be converted to or continued as a SOFR Borrowing and (ii) unless repaid, each SOFR Borrowing of U.S. Revolving Loans or Canadian Revolving Loans denominated in dollars shall be converted to an ABR Borrowing at the end of the Interest Period applicable thereto.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99" w:name="page100"/>
    <w:bookmarkEnd w:id="99"/>
    <w:p>
      <w:pPr>
        <w:ind w:left="4" w:firstLine="436"/>
        <w:spacing w:after="0" w:line="293" w:lineRule="auto"/>
        <w:tabs>
          <w:tab w:leader="none" w:pos="669" w:val="left"/>
        </w:tabs>
        <w:numPr>
          <w:ilvl w:val="0"/>
          <w:numId w:val="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Borrower Representative fails to deliver a timely Interest Election Request with respect to a CDOR Rate Borrowing prior to the end of the Interest Period applicable thereto, then, unless such Borrowing is repaid as provided herein, at the end of such Interest Period such Borrowing shall be converted to a Canadian Prime Rate Borrowing. Notwithstanding any contrary provision hereof, if an Event of Default has occurred and is continuing and the Administrative Agent, at the request of the Required Lenders, so notifies the Borrower Representative, then, so long as an Event of Default is continuing (i) no outstanding Borrowing may be converted to or continued as a CDOR Rate Borrowing and (ii) unless repaid, each CDOR Rate Borrowing shall be converted to a Canadian Prime Rate Borrowing of the same class at the end of the Interest Period applicable thereto.</w:t>
      </w:r>
    </w:p>
    <w:p>
      <w:pPr>
        <w:spacing w:after="0" w:line="164"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Termination and Reduction of Commitments; Increase in Revolving Commitments</w:t>
      </w:r>
      <w:r>
        <w:rPr>
          <w:rFonts w:ascii="Arial" w:cs="Arial" w:eastAsia="Arial" w:hAnsi="Arial"/>
          <w:sz w:val="18"/>
          <w:szCs w:val="18"/>
          <w:color w:val="auto"/>
        </w:rPr>
        <w:t>. (a) Unless previously terminated, all Revolving Commitments shall terminate on the Maturity Date. For clarification, all U.S. Commitments and Canadian Commitments, as sub-facilities of the Revolving Commitments, shall terminate upon the termination of the Revolving Commitments.</w:t>
      </w:r>
    </w:p>
    <w:p>
      <w:pPr>
        <w:spacing w:after="0" w:line="76" w:lineRule="exact"/>
        <w:rPr>
          <w:sz w:val="20"/>
          <w:szCs w:val="20"/>
          <w:color w:val="auto"/>
        </w:rPr>
      </w:pPr>
    </w:p>
    <w:p>
      <w:pPr>
        <w:ind w:left="4" w:right="100" w:firstLine="436"/>
        <w:spacing w:after="0" w:line="284" w:lineRule="auto"/>
        <w:tabs>
          <w:tab w:leader="none" w:pos="699" w:val="left"/>
        </w:tabs>
        <w:numPr>
          <w:ilvl w:val="1"/>
          <w:numId w:val="70"/>
        </w:numPr>
        <w:rPr>
          <w:rFonts w:ascii="Arial" w:cs="Arial" w:eastAsia="Arial" w:hAnsi="Arial"/>
          <w:sz w:val="16"/>
          <w:szCs w:val="16"/>
          <w:color w:val="auto"/>
        </w:rPr>
      </w:pPr>
      <w:r>
        <w:rPr>
          <w:rFonts w:ascii="Arial" w:cs="Arial" w:eastAsia="Arial" w:hAnsi="Arial"/>
          <w:sz w:val="16"/>
          <w:szCs w:val="16"/>
          <w:color w:val="auto"/>
        </w:rPr>
        <w:t>Subject to Section 12.01, the Borrowers may at any time terminate the Revolving Commitments upon (i) the payment in full in cash of all outstanding U.S. Loans, in the case of the U.S. Commitment, and Canadian Loans, in the case of the Canadian Commitment, together with accrued and unpaid interest thereon and on any U.S. Letters of Credit, in the case of the U.S. Commitment, and Canadian Letters of Credit, in the case of the Canadian Commitment, as applicable, (ii) the cancellation and return of all outstanding U.S. Letters of Credit, in the case of the U.S. Commitment, and Canadian Letters of Credit, in the case of the Canadian Commitment (or alternatively, (A) with respect to each such U.S. Letter of Credit, the deposit in the LC Collateral Account of cash equal to 103% of the U.S. LC Exposure or with respect to each such Canadian Letter of Credit, the deposit in the Canadian LC Collateral Account of cash equal to 103% Canadian LC Exposure, as applicable, as of such date in accordance with Section 2.06(k), or</w:t>
      </w:r>
    </w:p>
    <w:p>
      <w:pPr>
        <w:spacing w:after="0" w:line="2" w:lineRule="exact"/>
        <w:rPr>
          <w:rFonts w:ascii="Arial" w:cs="Arial" w:eastAsia="Arial" w:hAnsi="Arial"/>
          <w:sz w:val="16"/>
          <w:szCs w:val="16"/>
          <w:color w:val="auto"/>
        </w:rPr>
      </w:pPr>
    </w:p>
    <w:p>
      <w:pPr>
        <w:ind w:left="4" w:right="20" w:hanging="4"/>
        <w:spacing w:after="0" w:line="253" w:lineRule="auto"/>
        <w:tabs>
          <w:tab w:leader="none" w:pos="2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with the consent of the Administrative Agent and each applicable Issuing Bank, a back-up standby letter of credit equal to 103% of the U.S. LC Exposure or Canadian LC Exposure, as applicable, as of such date), (iii) the payment in full in cash of the accrued and unpaid fees, and (iv) the payment in full in cash of all reimbursable expenses and other U.S. Obligations or Canadian Obligations, as applicable, together with accrued and unpaid interest thereon. For clarification, all U.S. Commitments and Canadian Commitments, as sub-facilities of the Revolving Commitments, shall terminate upon the termination of the Revolving Commitments.</w:t>
      </w:r>
    </w:p>
    <w:p>
      <w:pPr>
        <w:spacing w:after="0" w:line="82" w:lineRule="exact"/>
        <w:rPr>
          <w:rFonts w:ascii="Arial" w:cs="Arial" w:eastAsia="Arial" w:hAnsi="Arial"/>
          <w:sz w:val="18"/>
          <w:szCs w:val="18"/>
          <w:color w:val="auto"/>
        </w:rPr>
      </w:pPr>
    </w:p>
    <w:p>
      <w:pPr>
        <w:ind w:left="4" w:right="60" w:firstLine="436"/>
        <w:spacing w:after="0" w:line="269" w:lineRule="auto"/>
        <w:tabs>
          <w:tab w:leader="none" w:pos="689"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Subject to Section 12.01, the Borrowers may from time to time reduce the Aggregate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each reduction of the Aggregate Revolving Commitments shall be in an amount that is an integral multiple of $5,000,000 and not less than $5,000,000 and (ii) the Borrowers shall not reduce the Aggregate Revolving Commitments if, after giving effect to any concurrent prepayment of the Revolving Loans in accordance with Section 2.11, Aggregate Availability would be less than zero. Each reduction of the Aggregate Revolving Commitments shall be made ratably among the Lenders in accordance with their Applicable Percentages. In connection with any reduction of the Aggregate Revolving Commitments, the aggregate U.S. Commitments shall be automatically reduced on a dollar-for-dollar basis by the amount of the reduction in the Aggregate Revolving Commitments, and, to the extent that the reduction in the Aggregate Revolving Commitments would cause the Canadian Sublimit to exceed the aggregate amount of the Canadian Commitments of the Canadian Lenders, the Canadian Sublimit shall be automatically reduced so that after giving effect to the reduction in the Aggregate Revolving Commitments, the Canadian Sublimit does not exceed the aggregate amount of the Canadian Commitments of the Canadian Lenders.</w:t>
      </w:r>
    </w:p>
    <w:p>
      <w:pPr>
        <w:spacing w:after="0" w:line="77" w:lineRule="exact"/>
        <w:rPr>
          <w:rFonts w:ascii="Arial" w:cs="Arial" w:eastAsia="Arial" w:hAnsi="Arial"/>
          <w:sz w:val="17"/>
          <w:szCs w:val="17"/>
          <w:color w:val="auto"/>
        </w:rPr>
      </w:pPr>
    </w:p>
    <w:p>
      <w:pPr>
        <w:ind w:left="4" w:right="20" w:firstLine="436"/>
        <w:spacing w:after="0" w:line="254" w:lineRule="auto"/>
        <w:tabs>
          <w:tab w:leader="none" w:pos="696"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The Borrower Representative shall notify the Administrative Agent of any election to terminate or reduce the Revolving Commitments under paragraphs (b) or (c) of this Section at least three Business Days prior to the effective date of such termination or reduction, specifying such election and the effective date thereof. Promptly following receipt of any notice, the Administrative Agent shall advise the U.S. Lenders or the Canadian Lenders, as applicable, of the contents thereof. Each notice delivered by the Borrower Representative pursuant to this Section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Revolving Commitments delivered by the Borrower Representative may state that such notice is conditioned upon the effectiveness of another transaction, in which case such notice may be revoked by the Borrower Representative (by notice to the Administrative Agent on or prior to the specified effective date) if such condition is not satisfied. Any termination or reduction of the Revolving Commitments shall be permanent.</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4"/>
          </w:cols>
          <w:pgMar w:left="436" w:top="274" w:right="459" w:bottom="1440" w:gutter="0" w:footer="0" w:header="0"/>
        </w:sectPr>
      </w:pPr>
    </w:p>
    <w:bookmarkStart w:id="100" w:name="page101"/>
    <w:bookmarkEnd w:id="100"/>
    <w:p>
      <w:pPr>
        <w:ind w:left="-20" w:right="80" w:firstLine="436"/>
        <w:spacing w:after="0" w:line="270" w:lineRule="auto"/>
        <w:tabs>
          <w:tab w:leader="none" w:pos="665" w:val="left"/>
        </w:tabs>
        <w:numPr>
          <w:ilvl w:val="0"/>
          <w:numId w:val="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Borrowers shall have the right to increase the Aggregate Revolving Commitments (an “</w:t>
      </w:r>
      <w:r>
        <w:rPr>
          <w:rFonts w:ascii="Arial" w:cs="Arial" w:eastAsia="Arial" w:hAnsi="Arial"/>
          <w:sz w:val="17"/>
          <w:szCs w:val="17"/>
          <w:u w:val="single" w:color="auto"/>
          <w:color w:val="auto"/>
        </w:rPr>
        <w:t>Aggregate Commitment Increase</w:t>
      </w:r>
      <w:r>
        <w:rPr>
          <w:rFonts w:ascii="Arial" w:cs="Arial" w:eastAsia="Arial" w:hAnsi="Arial"/>
          <w:sz w:val="17"/>
          <w:szCs w:val="17"/>
          <w:color w:val="auto"/>
        </w:rPr>
        <w:t xml:space="preserve">”) by obtaining additional Revolving Commitments, either from one or more of the Lenders or another lending institution,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request for an Aggregate Commitment Increase shall be in a minimum amount of $25,000,000, (ii) the Administrative Agent has approved the identity of any such new Lender, such approval not to be unreasonably withheld, delayed or conditioned, (iii) any such new Lender assumes all of the rights and obligations of a “</w:t>
      </w:r>
      <w:r>
        <w:rPr>
          <w:rFonts w:ascii="Arial" w:cs="Arial" w:eastAsia="Arial" w:hAnsi="Arial"/>
          <w:sz w:val="17"/>
          <w:szCs w:val="17"/>
          <w:u w:val="single" w:color="auto"/>
          <w:color w:val="auto"/>
        </w:rPr>
        <w:t>Lender</w:t>
      </w:r>
      <w:r>
        <w:rPr>
          <w:rFonts w:ascii="Arial" w:cs="Arial" w:eastAsia="Arial" w:hAnsi="Arial"/>
          <w:sz w:val="17"/>
          <w:szCs w:val="17"/>
          <w:color w:val="auto"/>
        </w:rPr>
        <w:t>” hereunder, (iv) the aggregate amount of all such Aggregate Commitment Increases shall not exceed $650,000,000 (for the avoidance of doubt, after giving effect to the Second Amendment), (v) the conditions described in Section 2.09(f) shall be satisfied and (vi) no Lender shall have any obligation to increase its Revolving Commitment in connection with any such Aggregate Commitment Increase requested by the Borrowers hereunder. The Administrative Agent may, in consultation with the Borrower Representative, allocate the additional Revolving Commitments between U.S. Commitments and Canadian Commitments.</w:t>
      </w:r>
    </w:p>
    <w:p>
      <w:pPr>
        <w:spacing w:after="0" w:line="72" w:lineRule="exact"/>
        <w:rPr>
          <w:rFonts w:ascii="Arial" w:cs="Arial" w:eastAsia="Arial" w:hAnsi="Arial"/>
          <w:sz w:val="17"/>
          <w:szCs w:val="17"/>
          <w:color w:val="auto"/>
        </w:rPr>
      </w:pPr>
    </w:p>
    <w:p>
      <w:pPr>
        <w:ind w:left="-20" w:firstLine="436"/>
        <w:spacing w:after="0" w:line="289" w:lineRule="auto"/>
        <w:tabs>
          <w:tab w:leader="none" w:pos="645"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amendment hereto for such an Aggregate Commitment Increase shall be in form and substance reasonably satisfactory to the Administrative Agent and shall only require the written signatures of the Administrative Agent, the Borrowers and the Lender(s) being added or increasing their Revolving Commitment(s). As conditions precedent to such an increase, the Borrower Representative shall deliver to the Administrative Agent a certificate of each Loan Party signed by an authorized officer of such Loan Party (A) certifying and attaching the authorizations adopted by such Loan Party approving or consenting to such increase, and (B) in the case of the Borrowers, certifying that, before and after giving effect to such increase, subject to Section 1.08, (1) the representations and warranties contained in Article III and the other Loan Documents are true and correct in all material respects (except that such materiality qualifier shall not be applicable to any representations or warranties that are already qualified or modified by materiality in the text thereof or except to the extent such representation or warranty relates to an earlier date, in which case such representation and warranty shall be true and correct in all material respects as of such earlier date), and (2) no Default exists.</w:t>
      </w:r>
    </w:p>
    <w:p>
      <w:pPr>
        <w:spacing w:after="0" w:line="58" w:lineRule="exact"/>
        <w:rPr>
          <w:rFonts w:ascii="Arial" w:cs="Arial" w:eastAsia="Arial" w:hAnsi="Arial"/>
          <w:sz w:val="16"/>
          <w:szCs w:val="16"/>
          <w:color w:val="auto"/>
        </w:rPr>
      </w:pPr>
    </w:p>
    <w:p>
      <w:pPr>
        <w:ind w:left="-20" w:firstLine="436"/>
        <w:spacing w:after="0" w:line="285" w:lineRule="auto"/>
        <w:tabs>
          <w:tab w:leader="none" w:pos="675"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addition, the Borrowers shall have the right to request in connection with an Aggregate Commitment Increase that the Canadian Sublimit be increased (a “</w:t>
      </w:r>
      <w:r>
        <w:rPr>
          <w:rFonts w:ascii="Arial" w:cs="Arial" w:eastAsia="Arial" w:hAnsi="Arial"/>
          <w:sz w:val="16"/>
          <w:szCs w:val="16"/>
          <w:u w:val="single" w:color="auto"/>
          <w:color w:val="auto"/>
        </w:rPr>
        <w:t>Canadian Sublimit Increase</w:t>
      </w:r>
      <w:r>
        <w:rPr>
          <w:rFonts w:ascii="Arial" w:cs="Arial" w:eastAsia="Arial" w:hAnsi="Arial"/>
          <w:sz w:val="16"/>
          <w:szCs w:val="16"/>
          <w:color w:val="auto"/>
        </w:rPr>
        <w:t xml:space="preserve">”) through the increase by one or more Canadian Lenders of their Canadian Commitments or the addition of one or more new lending institutions as additional Canadian Lenders hereunder. Any request for a Canadian Sublimit Increase shall be subject to the following conditions (which conditions shall be in addition to the conditions set forth in Sections 2.09(e) and (f) above): (i) such request shall be submitted by the Borrower Representative to the Administrative Agent in writing not less than 15 days prior to the proposed dates of such Canadian Sublimit Increase, (ii) the aggregate amount of the Canadian Sublimit Increase </w:t>
      </w:r>
      <w:r>
        <w:rPr>
          <w:rFonts w:ascii="Arial" w:cs="Arial" w:eastAsia="Arial" w:hAnsi="Arial"/>
          <w:sz w:val="16"/>
          <w:szCs w:val="16"/>
          <w:b w:val="1"/>
          <w:bCs w:val="1"/>
          <w:u w:val="single" w:color="auto"/>
          <w:color w:val="0000FF"/>
        </w:rPr>
        <w:t>after the Third Amendment Effective Date</w:t>
      </w:r>
      <w:r>
        <w:rPr>
          <w:rFonts w:ascii="Arial" w:cs="Arial" w:eastAsia="Arial" w:hAnsi="Arial"/>
          <w:sz w:val="16"/>
          <w:szCs w:val="16"/>
          <w:color w:val="auto"/>
        </w:rPr>
        <w:t xml:space="preserve"> shall not exceed $25,000,000, (iii) the Borrowers shall have executed and delivered to the Administrative Agent an amendment hereto in form and substance reasonably satisfactory to the Administrative Agent effecting such increase, which amendment shall require only the signature of the Borrowers, the Administrative Agent and the Lender(s) increasing their Canadian Commitments, (iv) the Borrowers shall have delivered to the Administrative Agent a certificate of each Loan Party signed by an authorized officer of such Loan Party (A) certifying and attaching the authorizations adopted by such Loan Party approving or consenting to such increase, and (B) in the case of the Borrowers, certifying that, before and after giving effect to such increase, subject to Section 1.08, (1) the representations and warranties contained in Article III and the other Loan Documents are true and correct in all material respects (except that such materiality qualifier shall not be applicable to any representations or warranties that are already qualified or modified by materiality in the text thereof or except to the extent such representation or warranty relates to an earlier date, in which case such representation or warranty shall be true and correct in all material respects as of such earlier date), and (2) no Default exists, and (v) no Lender shall have any obligation to increase its Canadian Commitment in connection with any such Canadian Sublimit Increase requested by the Borrowers hereunder.</w:t>
      </w:r>
    </w:p>
    <w:p>
      <w:pPr>
        <w:spacing w:after="0" w:line="68" w:lineRule="exact"/>
        <w:rPr>
          <w:rFonts w:ascii="Arial" w:cs="Arial" w:eastAsia="Arial" w:hAnsi="Arial"/>
          <w:sz w:val="16"/>
          <w:szCs w:val="16"/>
          <w:color w:val="auto"/>
        </w:rPr>
      </w:pPr>
    </w:p>
    <w:p>
      <w:pPr>
        <w:ind w:left="-20" w:right="40" w:firstLine="436"/>
        <w:spacing w:after="0" w:line="255" w:lineRule="auto"/>
        <w:tabs>
          <w:tab w:leader="none" w:pos="6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Within a reasonable time after the effective date of any Aggregate Commitment Increase or Canadian Sublimit Increase, the Administrative Agent shall, and is hereby authorized and directed to, revise the </w:t>
      </w:r>
      <w:r>
        <w:rPr>
          <w:rFonts w:ascii="Arial" w:cs="Arial" w:eastAsia="Arial" w:hAnsi="Arial"/>
          <w:sz w:val="18"/>
          <w:szCs w:val="18"/>
          <w:u w:val="single" w:color="auto"/>
          <w:color w:val="auto"/>
        </w:rPr>
        <w:t>Revolving Commitment Schedule</w:t>
      </w:r>
      <w:r>
        <w:rPr>
          <w:rFonts w:ascii="Arial" w:cs="Arial" w:eastAsia="Arial" w:hAnsi="Arial"/>
          <w:sz w:val="18"/>
          <w:szCs w:val="18"/>
          <w:color w:val="auto"/>
        </w:rPr>
        <w:t xml:space="preserve"> to reflect such increase and shall distribute such revised </w:t>
      </w:r>
      <w:r>
        <w:rPr>
          <w:rFonts w:ascii="Arial" w:cs="Arial" w:eastAsia="Arial" w:hAnsi="Arial"/>
          <w:sz w:val="18"/>
          <w:szCs w:val="18"/>
          <w:u w:val="single" w:color="auto"/>
          <w:color w:val="auto"/>
        </w:rPr>
        <w:t>Revolving Commitment Schedule</w:t>
      </w:r>
      <w:r>
        <w:rPr>
          <w:rFonts w:ascii="Arial" w:cs="Arial" w:eastAsia="Arial" w:hAnsi="Arial"/>
          <w:sz w:val="18"/>
          <w:szCs w:val="18"/>
          <w:color w:val="auto"/>
        </w:rPr>
        <w:t xml:space="preserve"> to each of the Lenders and the Borrowers, whereupon such revised </w:t>
      </w:r>
      <w:r>
        <w:rPr>
          <w:rFonts w:ascii="Arial" w:cs="Arial" w:eastAsia="Arial" w:hAnsi="Arial"/>
          <w:sz w:val="18"/>
          <w:szCs w:val="18"/>
          <w:u w:val="single" w:color="auto"/>
          <w:color w:val="auto"/>
        </w:rPr>
        <w:t>Revolving Commitment Schedule</w:t>
      </w:r>
      <w:r>
        <w:rPr>
          <w:rFonts w:ascii="Arial" w:cs="Arial" w:eastAsia="Arial" w:hAnsi="Arial"/>
          <w:sz w:val="18"/>
          <w:szCs w:val="18"/>
          <w:color w:val="auto"/>
        </w:rPr>
        <w:t xml:space="preserve"> shall replace the old </w:t>
      </w:r>
      <w:r>
        <w:rPr>
          <w:rFonts w:ascii="Arial" w:cs="Arial" w:eastAsia="Arial" w:hAnsi="Arial"/>
          <w:sz w:val="18"/>
          <w:szCs w:val="18"/>
          <w:u w:val="single" w:color="auto"/>
          <w:color w:val="auto"/>
        </w:rPr>
        <w:t>Revolving Commitment Schedule</w:t>
      </w:r>
      <w:r>
        <w:rPr>
          <w:rFonts w:ascii="Arial" w:cs="Arial" w:eastAsia="Arial" w:hAnsi="Arial"/>
          <w:sz w:val="18"/>
          <w:szCs w:val="18"/>
          <w:color w:val="auto"/>
        </w:rPr>
        <w:t xml:space="preserve"> and become part of this Agreement. On the Business Day following any such Aggregate Commitment Increase, all outstanding ABR Loans and Canadian Prime Rate Loans shall be reallocated among the Lenders (including any newly added Lenders) in accordance with the Lenders’ respective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3610610</wp:posOffset>
            </wp:positionH>
            <wp:positionV relativeFrom="paragraph">
              <wp:posOffset>-2259965</wp:posOffset>
            </wp:positionV>
            <wp:extent cx="2100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60"/>
          </w:cols>
          <w:pgMar w:left="460" w:top="274" w:right="479" w:bottom="1440" w:gutter="0" w:footer="0" w:header="0"/>
        </w:sectPr>
      </w:pPr>
    </w:p>
    <w:bookmarkStart w:id="101" w:name="page102"/>
    <w:bookmarkEnd w:id="101"/>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revised Applicable Percentages. SOFR Loans and CDOR Rate Loans shall not be reallocated among the Lenders prior to the expiration of the applicable Interest Period in effect at the time of any such increase.</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Repayment and Amortization of Loans; Evidence of Debt</w:t>
      </w:r>
      <w:r>
        <w:rPr>
          <w:rFonts w:ascii="Arial" w:cs="Arial" w:eastAsia="Arial" w:hAnsi="Arial"/>
          <w:sz w:val="18"/>
          <w:szCs w:val="18"/>
          <w:color w:val="auto"/>
        </w:rPr>
        <w:t>. (a)(i) The U.S. Borrowers hereby unconditionally promise to pay</w:t>
      </w:r>
    </w:p>
    <w:p>
      <w:pPr>
        <w:spacing w:after="0" w:line="23" w:lineRule="exact"/>
        <w:rPr>
          <w:sz w:val="20"/>
          <w:szCs w:val="20"/>
          <w:color w:val="auto"/>
        </w:rPr>
      </w:pPr>
    </w:p>
    <w:p>
      <w:pPr>
        <w:ind w:left="4" w:hanging="4"/>
        <w:spacing w:after="0" w:line="227" w:lineRule="auto"/>
        <w:tabs>
          <w:tab w:leader="none" w:pos="29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Administrative Agent for the account of each U.S. Lender the then unpaid principal amount of each U.S. Revolving Loan on the Maturity Date, (B) to the Administrative Agent the then unpaid principal amount of each U.S. Protective Advance on the earlier of the Maturity Date and demand by the Administrative Agent and (C) to the Administrative Agent the then unpaid principal amount of each U.S. Overadvance on the earliest of the Maturity Date, the forty-fifth (45</w:t>
      </w:r>
      <w:r>
        <w:rPr>
          <w:rFonts w:ascii="Arial" w:cs="Arial" w:eastAsia="Arial" w:hAnsi="Arial"/>
          <w:sz w:val="26"/>
          <w:szCs w:val="26"/>
          <w:color w:val="auto"/>
          <w:vertAlign w:val="superscript"/>
        </w:rPr>
        <w:t>th</w:t>
      </w:r>
      <w:r>
        <w:rPr>
          <w:rFonts w:ascii="Arial" w:cs="Arial" w:eastAsia="Arial" w:hAnsi="Arial"/>
          <w:sz w:val="18"/>
          <w:szCs w:val="18"/>
          <w:color w:val="auto"/>
        </w:rPr>
        <w:t>) day after such U.S. Overadvance is made, and demand by the Administrative Agent; and (ii) the Canadian Borrowers hereby unconditionally promise to pay (A) to the Administrative Agent for the account of each Canadian Lender the then unpaid principal amount of each Canadian Revolving Loan on the Maturity Date, (B) to the Administrative Agent the then unpaid amount of each Canadian Protective Advance on the earlier of the Maturity Date and demand by the Administrative Agent and (C) to the Administrative Agent the then unpaid principal amount of each Canadian Overadvance on the earliest of the Maturity Date, the forty-fifth (45</w:t>
      </w:r>
      <w:r>
        <w:rPr>
          <w:rFonts w:ascii="Arial" w:cs="Arial" w:eastAsia="Arial" w:hAnsi="Arial"/>
          <w:sz w:val="26"/>
          <w:szCs w:val="26"/>
          <w:color w:val="auto"/>
          <w:vertAlign w:val="superscript"/>
        </w:rPr>
        <w:t>th</w:t>
      </w:r>
      <w:r>
        <w:rPr>
          <w:rFonts w:ascii="Arial" w:cs="Arial" w:eastAsia="Arial" w:hAnsi="Arial"/>
          <w:sz w:val="18"/>
          <w:szCs w:val="18"/>
          <w:color w:val="auto"/>
        </w:rPr>
        <w:t>) day after such Canadian Overadvance is made, and demand by the Administrative Agent.</w:t>
      </w:r>
    </w:p>
    <w:p>
      <w:pPr>
        <w:spacing w:after="0" w:line="101" w:lineRule="exact"/>
        <w:rPr>
          <w:rFonts w:ascii="Arial" w:cs="Arial" w:eastAsia="Arial" w:hAnsi="Arial"/>
          <w:sz w:val="18"/>
          <w:szCs w:val="18"/>
          <w:color w:val="auto"/>
        </w:rPr>
      </w:pPr>
    </w:p>
    <w:p>
      <w:pPr>
        <w:jc w:val="both"/>
        <w:ind w:left="4" w:right="160" w:firstLine="436"/>
        <w:spacing w:after="0" w:line="287" w:lineRule="auto"/>
        <w:tabs>
          <w:tab w:leader="none" w:pos="699"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On each Business Day during any Cash Dominion Period, (i) the Administrative Agent shall apply all funds credited to each U.S. Collection Account on such Business Day or the immediately preceding Business Day (at the discretion of the Administrative Agent, whether or not immediately available)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prepay any U.S. Protective Advances and U.S. Overadvances that may be outstanding, pro rata, and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prepay the U.S.</w:t>
      </w:r>
    </w:p>
    <w:p>
      <w:pPr>
        <w:spacing w:after="0" w:line="2" w:lineRule="exact"/>
        <w:rPr>
          <w:rFonts w:ascii="Arial" w:cs="Arial" w:eastAsia="Arial" w:hAnsi="Arial"/>
          <w:sz w:val="16"/>
          <w:szCs w:val="16"/>
          <w:color w:val="auto"/>
        </w:rPr>
      </w:pPr>
    </w:p>
    <w:p>
      <w:pPr>
        <w:ind w:left="4"/>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Revolving Loans (including U.S. Swingline Loans) and to cash collateralize outstanding U.S. LC Exposure; and (ii) the Administrative Agent shall apply all funds credited to each Canadian Collection Account on such Business Day or the immediately preceding Business Day (at the discretion of the Administrative Agent, whether or not immediately available)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prepay any Canadian Protective Advances and Canadian Overadvances that may be outstanding, pro rata, and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prepay the Canadian Revolving Loans (including Canadian Swingline Loans) and to cash collateralize outstanding Canadian LC Exposure.</w:t>
      </w:r>
    </w:p>
    <w:p>
      <w:pPr>
        <w:spacing w:after="0" w:line="82" w:lineRule="exact"/>
        <w:rPr>
          <w:rFonts w:ascii="Arial" w:cs="Arial" w:eastAsia="Arial" w:hAnsi="Arial"/>
          <w:sz w:val="16"/>
          <w:szCs w:val="16"/>
          <w:color w:val="auto"/>
        </w:rPr>
      </w:pPr>
    </w:p>
    <w:p>
      <w:pPr>
        <w:ind w:left="4" w:right="80" w:firstLine="436"/>
        <w:spacing w:after="0" w:line="263" w:lineRule="auto"/>
        <w:tabs>
          <w:tab w:leader="none" w:pos="689" w:val="left"/>
        </w:tabs>
        <w:numPr>
          <w:ilvl w:val="1"/>
          <w:numId w:val="73"/>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75" w:lineRule="exact"/>
        <w:rPr>
          <w:rFonts w:ascii="Arial" w:cs="Arial" w:eastAsia="Arial" w:hAnsi="Arial"/>
          <w:sz w:val="18"/>
          <w:szCs w:val="18"/>
          <w:color w:val="auto"/>
        </w:rPr>
      </w:pPr>
    </w:p>
    <w:p>
      <w:pPr>
        <w:ind w:left="4" w:right="200" w:firstLine="436"/>
        <w:spacing w:after="0" w:line="291" w:lineRule="auto"/>
        <w:tabs>
          <w:tab w:leader="none" w:pos="699"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 Administrative Agent shall maintain accounts in which it shall record (A) the amount of each Loan made hereunder, the Class and Type thereof and the Interest Period applicable thereto, (B) the amount of any principal and interest due and payable or to become due and payable from</w:t>
      </w:r>
    </w:p>
    <w:p>
      <w:pPr>
        <w:ind w:left="4" w:right="40"/>
        <w:spacing w:after="0" w:line="255" w:lineRule="auto"/>
        <w:rPr>
          <w:rFonts w:ascii="Arial" w:cs="Arial" w:eastAsia="Arial" w:hAnsi="Arial"/>
          <w:sz w:val="16"/>
          <w:szCs w:val="16"/>
          <w:color w:val="auto"/>
        </w:rPr>
      </w:pPr>
      <w:r>
        <w:rPr>
          <w:rFonts w:ascii="Arial" w:cs="Arial" w:eastAsia="Arial" w:hAnsi="Arial"/>
          <w:sz w:val="18"/>
          <w:szCs w:val="18"/>
          <w:color w:val="auto"/>
        </w:rPr>
        <w:t>(i) the U.S. Borrowers to each U.S. Lender or (ii) the Canadian Borrowers to each Canadian Lender, as applicable, hereunder and (C) the amount of any sum received by the Administrative Agent hereunder for the account of (i) the U.S. Lenders and each U.S. Lender’s share or (ii) the Canadian Lenders and each Canadian Lender’s share, as applicable, thereof.</w:t>
      </w:r>
    </w:p>
    <w:p>
      <w:pPr>
        <w:spacing w:after="0" w:line="81" w:lineRule="exact"/>
        <w:rPr>
          <w:rFonts w:ascii="Arial" w:cs="Arial" w:eastAsia="Arial" w:hAnsi="Arial"/>
          <w:sz w:val="16"/>
          <w:szCs w:val="16"/>
          <w:color w:val="auto"/>
        </w:rPr>
      </w:pPr>
    </w:p>
    <w:p>
      <w:pPr>
        <w:jc w:val="both"/>
        <w:ind w:left="4" w:right="40" w:firstLine="436"/>
        <w:spacing w:after="0" w:line="275" w:lineRule="auto"/>
        <w:tabs>
          <w:tab w:leader="none" w:pos="689" w:val="left"/>
        </w:tabs>
        <w:numPr>
          <w:ilvl w:val="1"/>
          <w:numId w:val="73"/>
        </w:numPr>
        <w:rPr>
          <w:rFonts w:ascii="Arial" w:cs="Arial" w:eastAsia="Arial" w:hAnsi="Arial"/>
          <w:sz w:val="17"/>
          <w:szCs w:val="17"/>
          <w:color w:val="auto"/>
        </w:rPr>
      </w:pPr>
      <w:r>
        <w:rPr>
          <w:rFonts w:ascii="Arial" w:cs="Arial" w:eastAsia="Arial" w:hAnsi="Arial"/>
          <w:sz w:val="17"/>
          <w:szCs w:val="17"/>
          <w:color w:val="auto"/>
        </w:rPr>
        <w:t xml:space="preserve">The entries made in the accounts maintained pursuant to paragraph (c) or (d) of this Section shall be </w:t>
      </w:r>
      <w:r>
        <w:rPr>
          <w:rFonts w:ascii="Arial" w:cs="Arial" w:eastAsia="Arial" w:hAnsi="Arial"/>
          <w:sz w:val="17"/>
          <w:szCs w:val="17"/>
          <w:u w:val="single" w:color="auto"/>
          <w:color w:val="auto"/>
        </w:rPr>
        <w:t>prima facie</w:t>
      </w:r>
      <w:r>
        <w:rPr>
          <w:rFonts w:ascii="Arial" w:cs="Arial" w:eastAsia="Arial" w:hAnsi="Arial"/>
          <w:sz w:val="17"/>
          <w:szCs w:val="17"/>
          <w:color w:val="auto"/>
        </w:rPr>
        <w:t xml:space="preserve"> evidence of the existence and amounts of the obligations recorded therein subject to manifest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of a conflict between an account maintained pursuant to clause (c) and an account maintained pursuant to clause (d) of this Section, the account maintained under clause (d) shall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the failure of any Lender or the Administrative Agent to maintain such accounts or any error therein shall not in any manner affect the obligation of the Borrowers to repay the Loans in accordance with the terms of this Agreement.</w:t>
      </w:r>
    </w:p>
    <w:p>
      <w:pPr>
        <w:spacing w:after="0" w:line="68" w:lineRule="exact"/>
        <w:rPr>
          <w:rFonts w:ascii="Arial" w:cs="Arial" w:eastAsia="Arial" w:hAnsi="Arial"/>
          <w:sz w:val="17"/>
          <w:szCs w:val="17"/>
          <w:color w:val="auto"/>
        </w:rPr>
      </w:pPr>
    </w:p>
    <w:p>
      <w:pPr>
        <w:ind w:left="4" w:right="180" w:firstLine="436"/>
        <w:spacing w:after="0" w:line="275" w:lineRule="auto"/>
        <w:tabs>
          <w:tab w:leader="none" w:pos="669" w:val="left"/>
        </w:tabs>
        <w:numPr>
          <w:ilvl w:val="1"/>
          <w:numId w:val="73"/>
        </w:numPr>
        <w:rPr>
          <w:rFonts w:ascii="Arial" w:cs="Arial" w:eastAsia="Arial" w:hAnsi="Arial"/>
          <w:sz w:val="17"/>
          <w:szCs w:val="17"/>
          <w:color w:val="auto"/>
        </w:rPr>
      </w:pPr>
      <w:r>
        <w:rPr>
          <w:rFonts w:ascii="Arial" w:cs="Arial" w:eastAsia="Arial" w:hAnsi="Arial"/>
          <w:sz w:val="17"/>
          <w:szCs w:val="17"/>
          <w:color w:val="auto"/>
        </w:rPr>
        <w:t xml:space="preserve">Any Lender may request that Loans made by it be evidenced by a promissory note. In such event, the applicable Borrowers shall prepare, execute and deliver to such Lender a promissory note payable to such Lender and its registered assigns and in a form approved by the Administrative Agent (it being agreed that the form attached hereto as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is approved by the Administrative Agent). Thereafter, the Loans evidenced by such promissory note and interest thereon shall at all times (including after assignment pursuant to Section 9.04) be represented by one or more promissory notes in such form payable to the applicable Lender and its registered assigns.</w:t>
      </w:r>
    </w:p>
    <w:p>
      <w:pPr>
        <w:spacing w:after="0" w:line="176"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 of Loans</w:t>
      </w:r>
      <w:r>
        <w:rPr>
          <w:rFonts w:ascii="Arial" w:cs="Arial" w:eastAsia="Arial" w:hAnsi="Arial"/>
          <w:sz w:val="18"/>
          <w:szCs w:val="18"/>
          <w:color w:val="auto"/>
        </w:rPr>
        <w:t>. (a) The Borrowers shall have the right at any time and from time to time, without premium or penalty other than any break funding payments required in accordance with Section 2.16,</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84"/>
          </w:cols>
          <w:pgMar w:left="436" w:top="274" w:right="479" w:bottom="1440" w:gutter="0" w:footer="0" w:header="0"/>
        </w:sectPr>
      </w:pPr>
    </w:p>
    <w:bookmarkStart w:id="102" w:name="page103"/>
    <w:bookmarkEnd w:id="102"/>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prepay any Borrowing in whole or in part, subject to prior notice in accordance with paragraph (c) of this Section and subject to Section 12.01.</w:t>
      </w:r>
    </w:p>
    <w:p>
      <w:pPr>
        <w:spacing w:after="0" w:line="129" w:lineRule="exact"/>
        <w:rPr>
          <w:sz w:val="20"/>
          <w:szCs w:val="20"/>
          <w:color w:val="auto"/>
        </w:rPr>
      </w:pPr>
    </w:p>
    <w:p>
      <w:pPr>
        <w:ind w:left="4" w:right="400" w:firstLine="436"/>
        <w:spacing w:after="0" w:line="291" w:lineRule="auto"/>
        <w:tabs>
          <w:tab w:leader="none" w:pos="699" w:val="left"/>
        </w:tabs>
        <w:numPr>
          <w:ilvl w:val="1"/>
          <w:numId w:val="74"/>
        </w:numPr>
        <w:rPr>
          <w:rFonts w:ascii="Arial" w:cs="Arial" w:eastAsia="Arial" w:hAnsi="Arial"/>
          <w:sz w:val="16"/>
          <w:szCs w:val="16"/>
          <w:color w:val="auto"/>
        </w:rPr>
      </w:pPr>
      <w:r>
        <w:rPr>
          <w:rFonts w:ascii="Arial" w:cs="Arial" w:eastAsia="Arial" w:hAnsi="Arial"/>
          <w:sz w:val="16"/>
          <w:szCs w:val="16"/>
          <w:color w:val="auto"/>
        </w:rPr>
        <w:t>Except for Overadvances permitted under Section 2.05 and subject to Section 2.23, in the event and on such occasion (including after any Revaluation Date) that (i) Aggregate Availability shall be less than zero, subject to Section 12.01, (ii) U.S. Availability shall be less than zero, or</w:t>
      </w:r>
    </w:p>
    <w:p>
      <w:pPr>
        <w:ind w:left="4" w:right="340" w:hanging="4"/>
        <w:spacing w:after="0" w:line="255" w:lineRule="auto"/>
        <w:tabs>
          <w:tab w:leader="none" w:pos="319"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Canadian Availability shall be less than zero, the Borrowers shall immediately prepay (or in the case of the LC Exposure, cash collateralize) the Revolving Loans, LC Exposure and/or Swingline Loans in an aggregate amount sufficient to cause Aggregate Availability, U.S. Availability and Canadian Availability to no longer be less than zero.</w:t>
      </w:r>
    </w:p>
    <w:p>
      <w:pPr>
        <w:spacing w:after="0" w:line="81" w:lineRule="exact"/>
        <w:rPr>
          <w:rFonts w:ascii="Arial" w:cs="Arial" w:eastAsia="Arial" w:hAnsi="Arial"/>
          <w:sz w:val="18"/>
          <w:szCs w:val="18"/>
          <w:color w:val="auto"/>
        </w:rPr>
      </w:pPr>
    </w:p>
    <w:p>
      <w:pPr>
        <w:ind w:left="4" w:firstLine="436"/>
        <w:spacing w:after="0" w:line="293" w:lineRule="auto"/>
        <w:tabs>
          <w:tab w:leader="none" w:pos="689"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In the event and on each occasion that any Net Proceeds are received by or on behalf of any Loan Party in respect of any Prepayment Event during any Cash Dominion Period, the Borrowers shall, subject to Section 12.01, promptly, and in any event within two Business Days, after such Net Proceeds are received by any Loan Party, prepay the Obligations as set forth in Section 2.11(d) below in an aggregate amount equal to 100% of such Net Proceeds (without any reduction in the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Permitted Term Debt is outstanding, any Net Proceeds with respect to any Prepayment Event which are clearly identifiable as proceeds of Term Loan Priority Collateral shall be remitted to the applicable Permitted Term Debt Agent in accordance with and to the extent required by the applicable Permitted Term Debt Intercreditor Agreement.</w:t>
      </w:r>
    </w:p>
    <w:p>
      <w:pPr>
        <w:spacing w:after="0" w:line="56" w:lineRule="exact"/>
        <w:rPr>
          <w:rFonts w:ascii="Arial" w:cs="Arial" w:eastAsia="Arial" w:hAnsi="Arial"/>
          <w:sz w:val="16"/>
          <w:szCs w:val="16"/>
          <w:color w:val="auto"/>
        </w:rPr>
      </w:pPr>
    </w:p>
    <w:p>
      <w:pPr>
        <w:ind w:left="4" w:right="240" w:firstLine="436"/>
        <w:spacing w:after="0" w:line="257" w:lineRule="auto"/>
        <w:tabs>
          <w:tab w:leader="none" w:pos="699"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All such amounts pursuant to Section 2.11(c)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prepay any Protective Advances and Overadvances that may be outstanding, pro rata, and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prepay the Revolving Loans (including Swingline Loans) without a corresponding reduction in the Aggregate Revolving Commitments and to cash collateralize outstanding LC Exposure (in an amount up to 103% of the outstanding LC Exposure). Notwithstanding the foregoing, any such application of proceeds from the Collateral securing solely the Canadian Obligations shall be made solely in respect of the Canadian Obligations.</w:t>
      </w:r>
    </w:p>
    <w:p>
      <w:pPr>
        <w:spacing w:after="0" w:line="79" w:lineRule="exact"/>
        <w:rPr>
          <w:rFonts w:ascii="Arial" w:cs="Arial" w:eastAsia="Arial" w:hAnsi="Arial"/>
          <w:sz w:val="18"/>
          <w:szCs w:val="18"/>
          <w:color w:val="auto"/>
        </w:rPr>
      </w:pPr>
    </w:p>
    <w:p>
      <w:pPr>
        <w:ind w:left="4" w:right="60" w:firstLine="436"/>
        <w:spacing w:after="0" w:line="269" w:lineRule="auto"/>
        <w:tabs>
          <w:tab w:leader="none" w:pos="689" w:val="left"/>
        </w:tabs>
        <w:numPr>
          <w:ilvl w:val="1"/>
          <w:numId w:val="75"/>
        </w:numPr>
        <w:rPr>
          <w:rFonts w:ascii="Arial" w:cs="Arial" w:eastAsia="Arial" w:hAnsi="Arial"/>
          <w:sz w:val="17"/>
          <w:szCs w:val="17"/>
          <w:color w:val="auto"/>
        </w:rPr>
      </w:pPr>
      <w:r>
        <w:rPr>
          <w:rFonts w:ascii="Arial" w:cs="Arial" w:eastAsia="Arial" w:hAnsi="Arial"/>
          <w:sz w:val="17"/>
          <w:szCs w:val="17"/>
          <w:color w:val="auto"/>
        </w:rPr>
        <w:t xml:space="preserve">The Borrower Representative shall notify the Administrative Agent by telephone (confirmed by a Prepayment Notice delivered via facsimile or electronic mail) of any prepayment hereunder (i) in the case of prepayment of a SOFR Revolving Borrowing or a CDOR Rate Revolving Borrowing, not later than 12:00 p.m., New York City time, three (or, in the case of a CDOR Rate Revolving Borrowing, two) Business Days before the date of prepayment, or (ii) in the case of prepayment of an ABR Revolving Borrowing or a Canadian Prime Rate Revolving Borrowing, not later than 1:00 p.m., New York City time, on the date of prepayment. Each such notice shall be irrevocable and shall specify the prepayment date and the principal amount of each Borrowing or portion thereof to be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Revolving Loans included in the prepaid Borrowing. Prepayments shall be accompanied by accrued interest to the extent required by Section 2.13.</w:t>
      </w:r>
    </w:p>
    <w:p>
      <w:pPr>
        <w:spacing w:after="0" w:line="179"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Fees</w:t>
      </w:r>
      <w:r>
        <w:rPr>
          <w:rFonts w:ascii="Arial" w:cs="Arial" w:eastAsia="Arial" w:hAnsi="Arial"/>
          <w:sz w:val="16"/>
          <w:szCs w:val="16"/>
          <w:color w:val="auto"/>
        </w:rPr>
        <w:t>. (a) The Borrowers agree to pay to the Administrative Agent for the account of each Lender a commitment fee, which shall commence to accrue on the Fourth Restatement Date and shall be due and payable in arrears on the first Business Day of each April, July, October and January for the immediately prior quarter at the Applicable Commitment Fee Rate on the average daily amount of the Available Revolving Commitment of such Lender during the period from and including the Fourth Restatement Date to but excluding the date on which such Lenders’ Revolving Commitment terminates. Accrued commitment fees shall be payable quarterly in arrears on the first day of each April, July, October and January and on the date on which the Revolving Commitments terminate, commencing on the first such date to occur after the Fourth Restatement Date. All commitment fees shall be computed on the basis of a year of 360 days and shall be payable for the actual number of days elapsed.</w:t>
      </w:r>
    </w:p>
    <w:p>
      <w:pPr>
        <w:spacing w:after="0" w:line="58" w:lineRule="exact"/>
        <w:rPr>
          <w:sz w:val="20"/>
          <w:szCs w:val="20"/>
          <w:color w:val="auto"/>
        </w:rPr>
      </w:pPr>
    </w:p>
    <w:p>
      <w:pPr>
        <w:ind w:left="4" w:right="60" w:firstLine="436"/>
        <w:spacing w:after="0" w:line="263" w:lineRule="auto"/>
        <w:tabs>
          <w:tab w:leader="none" w:pos="699"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 U.S. Borrowers agree to pay to the Administrative Agent for the account of each U.S. Lender a participation fee with respect to its participations in U.S. Letters of Credit and (ii) Canadian Borrowers agree to pay to the Administrative Agent for the account of each Canadian Lender a participation fee with respect to its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4"/>
          </w:cols>
          <w:pgMar w:left="436" w:top="274" w:right="459" w:bottom="1440" w:gutter="0" w:footer="0" w:header="0"/>
        </w:sectPr>
      </w:pPr>
    </w:p>
    <w:bookmarkStart w:id="103" w:name="page104"/>
    <w:bookmarkEnd w:id="10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participations in Canadian Letters of Credit, which, in each case, shall accrue at the same Applicable Rate used to determine the interest rate applicable to SOFR Loans on the average daily amount of such Lender’s applicable LC Exposure (excluding any portion thereof attributable to unreimbursed LC Disbursements) during the period from and including the Fourth Restatement Date to but excluding the later of the date on which such Lender’s Revolving Commitment terminates and the date on which such Revolving Lender ceases to have any LC Exposure. In addition, each Borrower agrees to pay to the applicable Issuing Bank with respect to each Letter of Credit issued for the account of such Borrower by such Issuing Bank a fronting fee in an amount separately agreed upon between the Borrowers and the applicable Issuing Bank but in any event not more than 0.125% per annum on the face amount of each Letter of Credit, as well as the applicable Issuing Bank’s standard fees with respect to the issuance, amendment, renewal or extension of any Letter of Credit or processing of drawings thereunder. Participation fees accrued through and including the last day of each calendar month shall be payable on the first day of each calendar month following such last day, commencing on the first such date to occur after the Fourth Restatement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fees shall be payable on the date on which the Revolving Commitments terminate and any such fees accruing after the date on which the Revolving Commitments terminate shall be payable on demand. Fronting fees in respect of any Letter of Credit shall be payable on the date of the issuance of such Letter of Credit and on the date of any renewal thereof. Any other fees payable to an Issuing Bank pursuant to this paragraph shall be payable within 10 days after demand. All participation fees shall be computed on the basis of a year of 360 days and shall be payable for the actual number of days elapsed.</w:t>
      </w:r>
    </w:p>
    <w:p>
      <w:pPr>
        <w:spacing w:after="0" w:line="76" w:lineRule="exact"/>
        <w:rPr>
          <w:sz w:val="20"/>
          <w:szCs w:val="20"/>
          <w:color w:val="auto"/>
        </w:rPr>
      </w:pPr>
    </w:p>
    <w:p>
      <w:pPr>
        <w:ind w:right="220" w:firstLine="436"/>
        <w:spacing w:after="0" w:line="277" w:lineRule="auto"/>
        <w:tabs>
          <w:tab w:leader="none" w:pos="68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Borrowers agree to pay to the Administrative Agent, for its own account, fees payable in the amounts and at the times separately agreed upon between the Borrowers and the Administrative Agent.</w:t>
      </w:r>
    </w:p>
    <w:p>
      <w:pPr>
        <w:spacing w:after="0" w:line="62" w:lineRule="exact"/>
        <w:rPr>
          <w:rFonts w:ascii="Arial" w:cs="Arial" w:eastAsia="Arial" w:hAnsi="Arial"/>
          <w:sz w:val="18"/>
          <w:szCs w:val="18"/>
          <w:color w:val="auto"/>
        </w:rPr>
      </w:pPr>
    </w:p>
    <w:p>
      <w:pPr>
        <w:ind w:right="120" w:firstLine="436"/>
        <w:spacing w:after="0" w:line="263"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immediately available funds, to the Administrative Agent (or to the applicable Issuing Bank in the case of fees payable to it) for distribution, in the case of commitment fees and participation fees, to the Lenders. Fees paid shall not be refundable under any circumstances.</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Interest</w:t>
      </w:r>
      <w:r>
        <w:rPr>
          <w:rFonts w:ascii="Arial" w:cs="Arial" w:eastAsia="Arial" w:hAnsi="Arial"/>
          <w:sz w:val="18"/>
          <w:szCs w:val="18"/>
          <w:color w:val="auto"/>
        </w:rPr>
        <w:t>. (a) The Loans comprising each ABR Borrowing shall bear interest at the Alternate Base Rate plus the Applicable Rate for such Type of Loan.</w:t>
      </w:r>
    </w:p>
    <w:p>
      <w:pPr>
        <w:spacing w:after="0" w:line="62" w:lineRule="exact"/>
        <w:rPr>
          <w:sz w:val="20"/>
          <w:szCs w:val="20"/>
          <w:color w:val="auto"/>
        </w:rPr>
      </w:pPr>
    </w:p>
    <w:p>
      <w:pPr>
        <w:jc w:val="both"/>
        <w:ind w:right="200" w:firstLine="436"/>
        <w:spacing w:after="0" w:line="263" w:lineRule="auto"/>
        <w:tabs>
          <w:tab w:leader="none" w:pos="6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Loans comprising each Term SOFR Borrowing shall bear interest at a rate per annum equal to Term SOFR plus the Applicable Rate for SOFR Loans. The Loans comprising each Daily Simple SOFR Borrowing shall bear interest at a rate per annum equal to Daily Simple SOFR plus the Applicable Rate for SOFR Loans.</w:t>
      </w:r>
    </w:p>
    <w:p>
      <w:pPr>
        <w:spacing w:after="0" w:line="75" w:lineRule="exact"/>
        <w:rPr>
          <w:rFonts w:ascii="Arial" w:cs="Arial" w:eastAsia="Arial" w:hAnsi="Arial"/>
          <w:sz w:val="18"/>
          <w:szCs w:val="18"/>
          <w:color w:val="auto"/>
        </w:rPr>
      </w:pPr>
    </w:p>
    <w:p>
      <w:pPr>
        <w:ind w:right="160" w:firstLine="436"/>
        <w:spacing w:after="0" w:line="277" w:lineRule="auto"/>
        <w:tabs>
          <w:tab w:leader="none" w:pos="68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Loans comprising each Canadian Prime Rate Borrowing shall bear interest at the Canadian Prime Rate plus the Applicable Rate for such Type of Loan.</w:t>
      </w:r>
    </w:p>
    <w:p>
      <w:pPr>
        <w:spacing w:after="0" w:line="62" w:lineRule="exact"/>
        <w:rPr>
          <w:rFonts w:ascii="Arial" w:cs="Arial" w:eastAsia="Arial" w:hAnsi="Arial"/>
          <w:sz w:val="18"/>
          <w:szCs w:val="18"/>
          <w:color w:val="auto"/>
        </w:rPr>
      </w:pPr>
    </w:p>
    <w:p>
      <w:pPr>
        <w:ind w:right="180" w:firstLine="436"/>
        <w:spacing w:after="0" w:line="277" w:lineRule="auto"/>
        <w:tabs>
          <w:tab w:leader="none" w:pos="6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Loans comprising each CDOR Rate Borrowing shall bear interest at the CDOR Rate for the Interest Period in effect for such Borrowing plus the Applicable Rate for such Type of Loan.</w:t>
      </w:r>
    </w:p>
    <w:p>
      <w:pPr>
        <w:spacing w:after="0" w:line="62" w:lineRule="exact"/>
        <w:rPr>
          <w:rFonts w:ascii="Arial" w:cs="Arial" w:eastAsia="Arial" w:hAnsi="Arial"/>
          <w:sz w:val="18"/>
          <w:szCs w:val="18"/>
          <w:color w:val="auto"/>
        </w:rPr>
      </w:pPr>
    </w:p>
    <w:p>
      <w:pPr>
        <w:ind w:right="160" w:firstLine="436"/>
        <w:spacing w:after="0" w:line="308" w:lineRule="auto"/>
        <w:tabs>
          <w:tab w:leader="none" w:pos="685" w:val="left"/>
        </w:tabs>
        <w:numPr>
          <w:ilvl w:val="0"/>
          <w:numId w:val="78"/>
        </w:numPr>
        <w:rPr>
          <w:rFonts w:ascii="Arial" w:cs="Arial" w:eastAsia="Arial" w:hAnsi="Arial"/>
          <w:sz w:val="17"/>
          <w:szCs w:val="17"/>
          <w:color w:val="auto"/>
        </w:rPr>
      </w:pPr>
      <w:r>
        <w:rPr>
          <w:rFonts w:ascii="Arial" w:cs="Arial" w:eastAsia="Arial" w:hAnsi="Arial"/>
          <w:sz w:val="17"/>
          <w:szCs w:val="17"/>
          <w:color w:val="auto"/>
        </w:rPr>
        <w:t>Each Protective Advance and each Overadvance shall bear interest at the Canadian Prime Rate, if denominated in Canadian Dollars, or at the Alternate Base Rate, if denominated in dollars, plus the Applicable Rate for corresponding Revolving Loans plus 2% per annum.</w:t>
      </w:r>
    </w:p>
    <w:p>
      <w:pPr>
        <w:spacing w:after="0" w:line="38" w:lineRule="exact"/>
        <w:rPr>
          <w:rFonts w:ascii="Arial" w:cs="Arial" w:eastAsia="Arial" w:hAnsi="Arial"/>
          <w:sz w:val="17"/>
          <w:szCs w:val="17"/>
          <w:color w:val="auto"/>
        </w:rPr>
      </w:pPr>
    </w:p>
    <w:p>
      <w:pPr>
        <w:ind w:firstLine="436"/>
        <w:spacing w:after="0" w:line="255" w:lineRule="auto"/>
        <w:tabs>
          <w:tab w:leader="none" w:pos="665"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the foregoing, during the occurrence and continuance of an Event of Default, the Administrative Agent or the Required Lenders may, at their option, by notice to the Borrower Representative (which notice may be revoked at the option of the Required Lenders notwithstanding any provision of Section 9.02 requiring the consent of “each Lender affected thereby” for reductions in interest rates), declare that (i) all Loans shall bear interest at 2% plus the rate otherwise applicable to such Loans as provided in the preceding paragraphs of this Section or (ii) in the case of any other amount outstanding hereunder, such amount shall accrue at 2% above the rate applicable to such fee or other obligation, if any, as provided hereunder.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104" w:name="page105"/>
    <w:bookmarkEnd w:id="104"/>
    <w:p>
      <w:pPr>
        <w:ind w:right="60" w:firstLine="436"/>
        <w:spacing w:after="0" w:line="255" w:lineRule="auto"/>
        <w:tabs>
          <w:tab w:leader="none" w:pos="695"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Accrued interest on each Loan shall be payable in arrears on each Interest Payment Date for such Loan and upon termination of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paragraph (f) of this Section shall be payable on demand, (ii) in the event of any repayment or prepayment of any Loan (other than a prepayment of an ABR Loan or a Canadian Prime Rate Loan prior to the end of the Availability Period), accrued interest on the principal amount repaid or prepaid shall be payable on the date of such repayment or prepayment and (iii) in the event of any conversion of any SOFR Loan or CDOR Rate Loan prior to the end of the current Interest Period therefor, accrued interest on such Loan shall be payable on the effective date of such conversion.</w:t>
      </w:r>
    </w:p>
    <w:p>
      <w:pPr>
        <w:spacing w:after="0" w:line="84" w:lineRule="exact"/>
        <w:rPr>
          <w:rFonts w:ascii="Arial" w:cs="Arial" w:eastAsia="Arial" w:hAnsi="Arial"/>
          <w:sz w:val="18"/>
          <w:szCs w:val="18"/>
          <w:color w:val="auto"/>
        </w:rPr>
      </w:pPr>
    </w:p>
    <w:p>
      <w:pPr>
        <w:ind w:right="240" w:firstLine="436"/>
        <w:spacing w:after="0" w:line="301" w:lineRule="auto"/>
        <w:tabs>
          <w:tab w:leader="none" w:pos="695" w:val="left"/>
        </w:tabs>
        <w:numPr>
          <w:ilvl w:val="0"/>
          <w:numId w:val="79"/>
        </w:numPr>
        <w:rPr>
          <w:rFonts w:ascii="Arial" w:cs="Arial" w:eastAsia="Arial" w:hAnsi="Arial"/>
          <w:sz w:val="16"/>
          <w:szCs w:val="16"/>
          <w:color w:val="auto"/>
        </w:rPr>
      </w:pPr>
      <w:r>
        <w:rPr>
          <w:rFonts w:ascii="Arial" w:cs="Arial" w:eastAsia="Arial" w:hAnsi="Arial"/>
          <w:sz w:val="16"/>
          <w:szCs w:val="16"/>
          <w:color w:val="auto"/>
        </w:rPr>
        <w:t>All interest hereunder shall be computed on the basis of a year of 360 days, except that interest computed by reference to the Alternate Base Rate, the Canadian Prime Rate or the CDOR Rate shall be computed on the basis of a year of 365 days (or 366 days in a leap year), and in each case shall be payable for the actual number of days elapsed. The applicable Alternate Base Rate, Canadian Prime Rate, Daily Simple SOFR or Term Benchmark shall be determined in good faith by the Administrative Agent and such determination shall be conclusive absent manifest error.</w:t>
      </w:r>
    </w:p>
    <w:p>
      <w:pPr>
        <w:spacing w:after="0" w:line="49" w:lineRule="exact"/>
        <w:rPr>
          <w:rFonts w:ascii="Arial" w:cs="Arial" w:eastAsia="Arial" w:hAnsi="Arial"/>
          <w:sz w:val="16"/>
          <w:szCs w:val="16"/>
          <w:color w:val="auto"/>
        </w:rPr>
      </w:pPr>
    </w:p>
    <w:p>
      <w:pPr>
        <w:ind w:right="200" w:firstLine="436"/>
        <w:spacing w:after="0" w:line="259"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For purposes of disclosure pursuant to the </w:t>
      </w:r>
      <w:r>
        <w:rPr>
          <w:rFonts w:ascii="Arial" w:cs="Arial" w:eastAsia="Arial" w:hAnsi="Arial"/>
          <w:sz w:val="18"/>
          <w:szCs w:val="18"/>
          <w:i w:val="1"/>
          <w:iCs w:val="1"/>
          <w:color w:val="auto"/>
        </w:rPr>
        <w:t>Interest Act</w:t>
      </w:r>
      <w:r>
        <w:rPr>
          <w:rFonts w:ascii="Arial" w:cs="Arial" w:eastAsia="Arial" w:hAnsi="Arial"/>
          <w:sz w:val="18"/>
          <w:szCs w:val="18"/>
          <w:color w:val="auto"/>
        </w:rPr>
        <w:t xml:space="preserve"> (Canada), the annual rates of interest or fees to which the rates of interest or fees provided in this Agreement and the other Loan Documents (and stated herein or therein, as applicable, to be computed on the basis of 360 days or any other period of time less than a calendar year) are equivalent are the rates so determined multiplied by the actual number of days in the applicable calendar year and divided by 360 or such other period of time, respectively.</w:t>
      </w:r>
    </w:p>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Alternate Rate of Interest; Illegality</w:t>
      </w:r>
      <w:r>
        <w:rPr>
          <w:rFonts w:ascii="Arial" w:cs="Arial" w:eastAsia="Arial" w:hAnsi="Arial"/>
          <w:sz w:val="17"/>
          <w:szCs w:val="17"/>
          <w:color w:val="auto"/>
        </w:rPr>
        <w:t>. (a) If prior to the commencement of any Interest Period for a SOFR Borrowing or CDOR Borrowing, the Administrative Agent is advised by the Required Lenders that the Relevant Rate applicable to such Borrowing for such Interest Period will not adequately and fairly reflect the cost to such Lenders (or Lender) of making or maintaining their Loans (or its Loan) included in such Borrowing for such Interest Period, then the Administrative Agent shall give notice thereof to the Borrower Representative and the Lenders by telephone, facsimile or electronic mail as promptly as practicable thereafter and, until the Administrative Agent notifies the Borrower Representative and the Lenders that the circumstances giving rise to such notice no longer exist, (A) any Interest Election Request that requests the conversion of any Revolving Borrowing to, or continuation of any Revolving Borrowing as, a SOFR Borrowing or CDOR Borrowing shall be ineffective and any such SOFR Borrowing or CDOR Borrowing, as applicable, shall be repaid or converted into an ABR Borrowing (in the case of a Borrowing in dollars) or a Canadian Prime Rate Borrowing (in the case of a Borrowing in Canadian Dollars) on the last day of the then current Interest Period applicable thereto, and (B) if any Borrowing Request requests (1) a SOFR Revolving Borrowing, such Borrowing shall be made as an ABR Borrowing and (2) a CDOR Rate Borrowing, such Borrowing shall be made as a Canadian Prime Rate Borrowing.</w:t>
      </w:r>
    </w:p>
    <w:p>
      <w:pPr>
        <w:spacing w:after="0" w:line="74" w:lineRule="exact"/>
        <w:rPr>
          <w:sz w:val="20"/>
          <w:szCs w:val="20"/>
          <w:color w:val="auto"/>
        </w:rPr>
      </w:pPr>
    </w:p>
    <w:p>
      <w:pPr>
        <w:ind w:left="700" w:hanging="264"/>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436"/>
        <w:spacing w:after="0" w:line="268" w:lineRule="auto"/>
        <w:tabs>
          <w:tab w:leader="none" w:pos="685"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any Lender determines that any Requirement of Law has made it unlawful, or if any Governmental Authority has asserted that it is unlawful, for any Lender or its applicable lending office to make, maintain, fund or continue any Term Benchmark Borrowings or Daily Simple SOFR Borrowings, or any Governmental Authority has imposed material restrictions on the authority of such Lender to maintain, fund or continue any Loans whose interest is determined by reference to any Relevant Rate, or to determine or charge interest rates based upon any Relevant Rate, then, upon notice thereof by such Lender to the Borrower Representative (through the Administrative Agent), any obligations of such Lender to make, maintain, fund or continue such Term Benchmark Loans or Daily Simple SOFR Loans, as applicable, or to convert ABR Borrowings or Canadian Prime Rate Borrowings, as applicable, to Term Benchmark Borrowings or Daily Simple SOFR Borrowings, as applicable, will be suspended until such Lender notifies the Administrative Agent and the Borrower Representative that the circumstances giving rise to such determination no longer exist. Upon receipt of such notice, the Borrowers will upon demand from such Lender (with a copy to the Administrative Agent), either convert or prepay all applicable Term Benchmark Borrowings or Daily Simple SOFR Borrowings of such Lender to ABR Borrowings or Canadian Prime Rate Borrowings, as applicable, either on the last day of the Interest Period therefor, if such Lender may lawfully continue to maintain such Term Benchmark Borrowings or Daily Simple SOFR Borrowings, as applicable, to such day, or immediately, if such Lender may not lawfully continue to maintain such Term Benchmark Borrowings or Daily Simple SOFR Borrowings, as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105" w:name="page106"/>
    <w:bookmarkEnd w:id="105"/>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Upon any such conversion or prepayment, the Borrowers will also pay accrued interest on the amount so converted or prepaid.</w:t>
      </w:r>
    </w:p>
    <w:p>
      <w:pPr>
        <w:spacing w:after="0" w:line="129" w:lineRule="exact"/>
        <w:rPr>
          <w:sz w:val="20"/>
          <w:szCs w:val="20"/>
          <w:color w:val="auto"/>
        </w:rPr>
      </w:pPr>
    </w:p>
    <w:p>
      <w:pPr>
        <w:ind w:left="704" w:hanging="264"/>
        <w:spacing w:after="0"/>
        <w:tabs>
          <w:tab w:leader="none" w:pos="704" w:val="left"/>
        </w:tabs>
        <w:numPr>
          <w:ilvl w:val="1"/>
          <w:numId w:val="81"/>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upon the occurrence of a Benchmark Transition Event, then</w:t>
      </w:r>
    </w:p>
    <w:p>
      <w:pPr>
        <w:spacing w:after="0" w:line="46" w:lineRule="exact"/>
        <w:rPr>
          <w:rFonts w:ascii="Arial" w:cs="Arial" w:eastAsia="Arial" w:hAnsi="Arial"/>
          <w:sz w:val="16"/>
          <w:szCs w:val="16"/>
          <w:color w:val="auto"/>
        </w:rPr>
      </w:pPr>
    </w:p>
    <w:p>
      <w:pPr>
        <w:ind w:left="4" w:hanging="4"/>
        <w:spacing w:after="0" w:line="287" w:lineRule="auto"/>
        <w:tabs>
          <w:tab w:leader="none" w:pos="299"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Administrative Agent has posted the proposed amendment to all affected Lenders and the Borrower Representative so long as the Administrative Agent has not received, by such time, written notice of objection to such amendment from Lenders comprising the Required Lenders.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 Swap Agreement shall be deemed to be a “Loan Document” for purposes of this Section 2.14(d).</w:t>
      </w:r>
    </w:p>
    <w:p>
      <w:pPr>
        <w:spacing w:after="0" w:line="225"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In connection with the use, administration, adoption or implementation of a Benchmark Replacement, the Administrative Agent will have the right, in consultation with the Borrower Representative,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7"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color w:val="auto"/>
        </w:rPr>
        <w:t>The Administrative Agent will promptly notify the Borrower Representative and the Lenders of (i) the implementation of any Benchmark Replacement and (ii) the effectiveness of any Conforming Changes in connection with the use, administration, adoption or implementation of a Benchmark Replacement. The Administrative Agent will promptly notify the Borrower Representative of (x) the removal or reinstatement of any tenor of a Benchmark pursuant to this Section 2.14(d) and (y) the commencement of any Benchmark Unavailability Period. Any determination, decision or election that may be made by the Administrative Agent or, if applicable, any Lender (or group of Lenders) pursuant to this Section 2.14(d),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2.14(d).</w:t>
      </w:r>
    </w:p>
    <w:p>
      <w:pPr>
        <w:spacing w:after="0" w:line="181"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Notwithstanding anything to the contrary herein or in any other Loan Document, at any time (including in connection with the implementation of a Benchmark Replacement), (i) if the then-current Benchmark is a term rate (including any Term Benchmark)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(ii) if a tenor that was removed pursuant to clause</w:t>
      </w:r>
    </w:p>
    <w:p>
      <w:pPr>
        <w:spacing w:after="0" w:line="1" w:lineRule="exact"/>
        <w:rPr>
          <w:sz w:val="20"/>
          <w:szCs w:val="20"/>
          <w:color w:val="auto"/>
        </w:rPr>
      </w:pPr>
    </w:p>
    <w:p>
      <w:pPr>
        <w:ind w:left="4" w:right="180" w:hanging="4"/>
        <w:spacing w:after="0" w:line="253" w:lineRule="auto"/>
        <w:tabs>
          <w:tab w:leader="none" w:pos="219" w:val="left"/>
        </w:tabs>
        <w:numPr>
          <w:ilvl w:val="0"/>
          <w:numId w:val="83"/>
        </w:numPr>
        <w:rPr>
          <w:rFonts w:ascii="Arial" w:cs="Arial" w:eastAsia="Arial" w:hAnsi="Arial"/>
          <w:sz w:val="18"/>
          <w:szCs w:val="18"/>
          <w:color w:val="auto"/>
        </w:rPr>
      </w:pPr>
      <w:r>
        <w:rPr>
          <w:rFonts w:ascii="Arial" w:cs="Arial" w:eastAsia="Arial" w:hAnsi="Arial"/>
          <w:sz w:val="18"/>
          <w:szCs w:val="18"/>
          <w:color w:val="auto"/>
        </w:rPr>
        <w:t>above either (A) is subsequently displayed on a screen or information service for a Benchmark (including a Benchmark Replacement) or (B)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91"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Upon the Borrower Representative’s receipt of notice of the commencement of a Benchmark Unavailability Period, the Borrower Representative may revoke any pending request for a Term Benchmark Borrowing or a Daily</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4"/>
          </w:cols>
          <w:pgMar w:left="436" w:top="274" w:right="459" w:bottom="1440" w:gutter="0" w:footer="0" w:header="0"/>
        </w:sectPr>
      </w:pPr>
    </w:p>
    <w:bookmarkStart w:id="106" w:name="page107"/>
    <w:bookmarkEnd w:id="106"/>
    <w:p>
      <w:pPr>
        <w:ind w:right="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Simple SOFR Borrowing, as applicable, of, conversion to or continuation of Term Benchmark Loans or Daily Simple SOFR Loans, as applicable, to be made, converted or continued during any Benchmark Unavailability Period and, failing that, the Borrower Representative will be deemed to have converted any such request into a request for a Borrowing of or conversion to ABR Loans (or Canadian Prime Rate Loans as applicable). During any Benchmark Unavailability Period or at any time that any tenor for the then-current Benchmark is not an Available Tenor, the component of ABR based upon the then-current Benchmark or such tenor for such Benchmark, as applicable, will not be used in any determination of ABR.</w:t>
      </w:r>
    </w:p>
    <w:p>
      <w:pPr>
        <w:spacing w:after="0" w:line="161"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Any determination, decision or election that may be made by the Administrative Agent or Lenders pursuant to this Section 2.14(d)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2.14(d).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117" w:lineRule="exact"/>
        <w:rPr>
          <w:rFonts w:ascii="Arial" w:cs="Arial" w:eastAsia="Arial" w:hAnsi="Arial"/>
          <w:sz w:val="18"/>
          <w:szCs w:val="18"/>
          <w:color w:val="auto"/>
        </w:rPr>
      </w:pPr>
    </w:p>
    <w:p>
      <w:pPr>
        <w:ind w:left="440" w:firstLine="948"/>
        <w:spacing w:after="0" w:line="301" w:lineRule="auto"/>
        <w:tabs>
          <w:tab w:leader="none" w:pos="1607" w:val="left"/>
        </w:tabs>
        <w:numPr>
          <w:ilvl w:val="1"/>
          <w:numId w:val="84"/>
        </w:numPr>
        <w:rPr>
          <w:rFonts w:ascii="Arial" w:cs="Arial" w:eastAsia="Arial" w:hAnsi="Arial"/>
          <w:sz w:val="16"/>
          <w:szCs w:val="16"/>
          <w:color w:val="auto"/>
        </w:rPr>
      </w:pPr>
      <w:r>
        <w:rPr>
          <w:rFonts w:ascii="Arial" w:cs="Arial" w:eastAsia="Arial" w:hAnsi="Arial"/>
          <w:sz w:val="16"/>
          <w:szCs w:val="16"/>
          <w:color w:val="auto"/>
        </w:rPr>
        <w:t>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w:t>
      </w:r>
    </w:p>
    <w:p>
      <w:pPr>
        <w:spacing w:after="0" w:line="49" w:lineRule="exact"/>
        <w:rPr>
          <w:rFonts w:ascii="Arial" w:cs="Arial" w:eastAsia="Arial" w:hAnsi="Arial"/>
          <w:sz w:val="16"/>
          <w:szCs w:val="16"/>
          <w:color w:val="auto"/>
        </w:rPr>
      </w:pPr>
    </w:p>
    <w:p>
      <w:pPr>
        <w:ind w:left="440" w:right="180" w:firstLine="948"/>
        <w:spacing w:after="0" w:line="259" w:lineRule="auto"/>
        <w:tabs>
          <w:tab w:leader="none" w:pos="1657" w:val="left"/>
        </w:tabs>
        <w:numPr>
          <w:ilvl w:val="1"/>
          <w:numId w:val="84"/>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Other Connection Taxes that are imposed on (or measured by) net income or are franchise Taxes or branch profits Taxes) on its loans, loan principal, letters of credit, commitments, or other obligations, or its deposits, reserves, other liabilities or capital attributable thereto; or</w:t>
      </w:r>
    </w:p>
    <w:p>
      <w:pPr>
        <w:spacing w:after="0" w:line="78" w:lineRule="exact"/>
        <w:rPr>
          <w:rFonts w:ascii="Arial" w:cs="Arial" w:eastAsia="Arial" w:hAnsi="Arial"/>
          <w:sz w:val="18"/>
          <w:szCs w:val="18"/>
          <w:color w:val="auto"/>
        </w:rPr>
      </w:pPr>
    </w:p>
    <w:p>
      <w:pPr>
        <w:ind w:left="1700" w:hanging="312"/>
        <w:spacing w:after="0"/>
        <w:tabs>
          <w:tab w:leader="none" w:pos="17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impose on any Lender any other condition, cost or expense (other than Taxes) affecting this Agreement or Loans made by such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Lender;</w:t>
      </w:r>
    </w:p>
    <w:p>
      <w:pPr>
        <w:spacing w:after="0" w:line="21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or to reduce the amount of any sum received or receivable by such Lender or other Recipient hereunder (whether of principal, interest or any other amount) then, upon request of such Lender or other Recipient, the Borrower Representative will pay to such Lender or other Recipient, as the case may be, such additional amount or amounts as will compensate such Lender or other Recipient, as the case may be, for such additional costs incurred or reduction suffered.</w:t>
      </w:r>
    </w:p>
    <w:p>
      <w:pPr>
        <w:spacing w:after="0" w:line="53" w:lineRule="exact"/>
        <w:rPr>
          <w:sz w:val="20"/>
          <w:szCs w:val="20"/>
          <w:color w:val="auto"/>
        </w:rPr>
      </w:pPr>
    </w:p>
    <w:p>
      <w:pPr>
        <w:ind w:right="40" w:firstLine="436"/>
        <w:spacing w:after="0" w:line="289" w:lineRule="auto"/>
        <w:tabs>
          <w:tab w:leader="none" w:pos="685"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any Lender or Issuing Bank determines that any Change in Law affecting such Lender, any of its applicable lending offices or its holding company or such Issuing Bank or its holding company, as the case may be, regarding capital or liquidity requirements has or would have the effect of reducing the rate of return on capital for such Lender or its holding company or such Issuing Bank or its holding company, if any, as a consequence of this Agreement, the Aggregate Revolving Commitments of such Lender or the Loans made by, or participations in Letters of Credit or Swingline Loans held by, such Lender, or the Letters of Credit issued by any Issuing Bank, to a level below that which such Lender or its holding company or such Issuing Bank or its holding company, as the case may be, could have achieved but for such Change in Law (taking into consideration such Lender’s or its holding company’s policies or such Issuing Bank’s or its holding company’s policies, as applicable, with respect to capital adequacy or liquidity), then subject to Section 12.01 from time to time the Borrowers will pay to such Lender or such Issuing Bank, as the case may be, such additional amount or amounts as will compensate such Lender or its holding company or such Issuing Bank or its holding company for any such reduction suffered.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4" w:right="459" w:bottom="1440" w:gutter="0" w:footer="0" w:header="0"/>
        </w:sectPr>
      </w:pPr>
    </w:p>
    <w:bookmarkStart w:id="107" w:name="page108"/>
    <w:bookmarkEnd w:id="107"/>
    <w:p>
      <w:pPr>
        <w:ind w:right="160" w:firstLine="436"/>
        <w:spacing w:after="0" w:line="259"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certificate of a Lender or Issuing Bank setting forth the amount or amounts necessary to compensate such Lender or Issuing Bank or its holding company, as the case may be, as specified in paragraph (a) or (b) of this Section shall be delivered to the Borrower Representative and shall be conclusive absent manifest error. The Borrowers shall pay such Lender or Issuing Bank, as the case may be, the amount shown as due on any such certificate within 10 days after receipt thereof.</w:t>
      </w:r>
    </w:p>
    <w:p>
      <w:pPr>
        <w:spacing w:after="0" w:line="78" w:lineRule="exact"/>
        <w:rPr>
          <w:rFonts w:ascii="Arial" w:cs="Arial" w:eastAsia="Arial" w:hAnsi="Arial"/>
          <w:sz w:val="18"/>
          <w:szCs w:val="18"/>
          <w:color w:val="auto"/>
        </w:rPr>
      </w:pPr>
    </w:p>
    <w:p>
      <w:pPr>
        <w:ind w:right="200" w:firstLine="436"/>
        <w:spacing w:after="0" w:line="293" w:lineRule="auto"/>
        <w:tabs>
          <w:tab w:leader="none" w:pos="685"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Issuing Bank to demand compensation pursuant to this Section shall not constitute a waiver of such Lender’s or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Borrowers shall not be required to compensate a Lender or Issuing Bank pursuant to this Section for any increased costs or reductions incurred more than 180 days prior to the date that such Lender or Issuing Bank, as the case may be, notifies the Borrower Representative of the Change in Law giving rise to such increased costs or reductions and of such Lender’s or Issuing Bank’s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if the Change in Law giving rise to such increased costs or reductions is retroactive, then the 180-day period referred to above shall be extended to include the period of retroactive effect thereof.</w:t>
      </w:r>
    </w:p>
    <w:p>
      <w:pPr>
        <w:spacing w:after="0" w:line="164"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In the event of (a) the payment of any principal of any SOFR Loan or CDOR Rate Loan other than on the last day of an Interest Period applicable thereto (including as a result of an Event of Default), (b) the conversion of any SOFR Loan or CDOR Rate Loan other than on the last day of the Interest Period applicable thereto, (c) the failure to borrow, convert, continue or prepay any SOFR Loan or CDOR Rate Loan on the date specified in any notice delivered pursuant hereto (regardless of whether such notice may be revoked under Section 2.09(c) and is revoked in accordance therewith), or (d) the assignment of any SOFR Loan or CDOR Rate Loan other than on the last day of the Interest Period applicable thereto as a result of a request by the Borrower Representative pursuant to Section 2.19, then, in any such event, the U.S. Borrowers shall compensate each U.S. Lender and the Canadian Borrowers shall compensate each Canadian Lender, as applicable, for the loss, cost and expense incurred by such Lender that is attributable to such event. In the case of a SOFR Loan or CDOR Rate Loan, such loss, cost or expense to any Lender shall be deemed to include an amount determined by such Lender to be the excess, if any, of (i) the amount of interest which would have accrued on the principal amount of such Loan had such event not occurred, at the Relevant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dollar deposits of a comparable amount and period to such SOFR Loan from other banks in the eurodollar market, or for Canadian Dollar deposits of a comparable amount and period to such CDOR Rate Loan from other banks in the Canadian bankers’ acceptance market. A certificate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10 days after receipt thereof. Notwithstanding anything to the contrary herein, no payments shall be due under this Section 2.16 in connection with the Second Amendment.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Withholding of Taxes; Gross-Up</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54" w:lineRule="auto"/>
        <w:tabs>
          <w:tab w:leader="none" w:pos="68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83" w:lineRule="exact"/>
        <w:rPr>
          <w:rFonts w:ascii="Arial" w:cs="Arial" w:eastAsia="Arial" w:hAnsi="Arial"/>
          <w:sz w:val="18"/>
          <w:szCs w:val="18"/>
          <w:color w:val="auto"/>
        </w:rPr>
      </w:pPr>
    </w:p>
    <w:p>
      <w:pPr>
        <w:ind w:right="600" w:firstLine="436"/>
        <w:spacing w:after="0" w:line="308" w:lineRule="auto"/>
        <w:tabs>
          <w:tab w:leader="none" w:pos="695"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Payment of Other Taxes by the Borrowers</w:t>
      </w:r>
      <w:r>
        <w:rPr>
          <w:rFonts w:ascii="Arial" w:cs="Arial" w:eastAsia="Arial" w:hAnsi="Arial"/>
          <w:sz w:val="17"/>
          <w:szCs w:val="17"/>
          <w:color w:val="auto"/>
        </w:rPr>
        <w:t>. The Borrowers shall timely pay to the relevant Governmental Authority in accordance with applicable law, or at the option of the Administrative Agent timely reimburse it for the payment of, any Other Taxes.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108" w:name="page109"/>
    <w:bookmarkEnd w:id="108"/>
    <w:p>
      <w:pPr>
        <w:ind w:left="4" w:right="420" w:firstLine="436"/>
        <w:spacing w:after="0" w:line="259" w:lineRule="auto"/>
        <w:tabs>
          <w:tab w:leader="none" w:pos="689"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Evidence of Payment</w:t>
      </w:r>
      <w:r>
        <w:rPr>
          <w:rFonts w:ascii="Arial" w:cs="Arial" w:eastAsia="Arial" w:hAnsi="Arial"/>
          <w:sz w:val="18"/>
          <w:szCs w:val="18"/>
          <w:color w:val="auto"/>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78" w:lineRule="exact"/>
        <w:rPr>
          <w:rFonts w:ascii="Arial" w:cs="Arial" w:eastAsia="Arial" w:hAnsi="Arial"/>
          <w:sz w:val="18"/>
          <w:szCs w:val="18"/>
          <w:color w:val="auto"/>
        </w:rPr>
      </w:pPr>
    </w:p>
    <w:p>
      <w:pPr>
        <w:ind w:left="704" w:hanging="264"/>
        <w:spacing w:after="0"/>
        <w:tabs>
          <w:tab w:leader="none" w:pos="704"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Borrowers</w:t>
      </w:r>
      <w:r>
        <w:rPr>
          <w:rFonts w:ascii="Arial" w:cs="Arial" w:eastAsia="Arial" w:hAnsi="Arial"/>
          <w:sz w:val="16"/>
          <w:szCs w:val="16"/>
          <w:color w:val="auto"/>
        </w:rPr>
        <w:t>. Subject to Section 12.01, the Loan Parties shall jointly and severally indemnify each Recipient, within ten</w:t>
      </w:r>
    </w:p>
    <w:p>
      <w:pPr>
        <w:spacing w:after="0" w:line="46" w:lineRule="exact"/>
        <w:rPr>
          <w:rFonts w:ascii="Arial" w:cs="Arial" w:eastAsia="Arial" w:hAnsi="Arial"/>
          <w:sz w:val="16"/>
          <w:szCs w:val="16"/>
          <w:color w:val="auto"/>
        </w:rPr>
      </w:pPr>
    </w:p>
    <w:p>
      <w:pPr>
        <w:ind w:left="4" w:hanging="4"/>
        <w:spacing w:after="0" w:line="252" w:lineRule="auto"/>
        <w:tabs>
          <w:tab w:leader="none" w:pos="349" w:val="left"/>
        </w:tabs>
        <w:numPr>
          <w:ilvl w:val="0"/>
          <w:numId w:val="89"/>
        </w:numPr>
        <w:rPr>
          <w:rFonts w:ascii="Arial" w:cs="Arial" w:eastAsia="Arial" w:hAnsi="Arial"/>
          <w:sz w:val="18"/>
          <w:szCs w:val="18"/>
          <w:color w:val="auto"/>
        </w:rPr>
      </w:pPr>
      <w:r>
        <w:rPr>
          <w:rFonts w:ascii="Arial" w:cs="Arial" w:eastAsia="Arial" w:hAnsi="Arial"/>
          <w:sz w:val="18"/>
          <w:szCs w:val="18"/>
          <w:color w:val="auto"/>
        </w:rPr>
        <w:t>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and documented out-of-pocket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85" w:lineRule="exact"/>
        <w:rPr>
          <w:rFonts w:ascii="Arial" w:cs="Arial" w:eastAsia="Arial" w:hAnsi="Arial"/>
          <w:sz w:val="18"/>
          <w:szCs w:val="18"/>
          <w:color w:val="auto"/>
        </w:rPr>
      </w:pPr>
    </w:p>
    <w:p>
      <w:pPr>
        <w:ind w:left="4" w:firstLine="436"/>
        <w:spacing w:after="0" w:line="269" w:lineRule="auto"/>
        <w:tabs>
          <w:tab w:leader="none" w:pos="689" w:val="left"/>
        </w:tabs>
        <w:numPr>
          <w:ilvl w:val="1"/>
          <w:numId w:val="89"/>
        </w:numPr>
        <w:rPr>
          <w:rFonts w:ascii="Arial" w:cs="Arial" w:eastAsia="Arial" w:hAnsi="Arial"/>
          <w:sz w:val="17"/>
          <w:szCs w:val="17"/>
          <w:color w:val="auto"/>
        </w:rPr>
      </w:pPr>
      <w:r>
        <w:rPr>
          <w:rFonts w:ascii="Arial" w:cs="Arial" w:eastAsia="Arial" w:hAnsi="Arial"/>
          <w:sz w:val="17"/>
          <w:szCs w:val="17"/>
          <w:u w:val="single" w:color="auto"/>
          <w:color w:val="auto"/>
        </w:rPr>
        <w:t>Indemnification by the Lenders</w:t>
      </w:r>
      <w:r>
        <w:rPr>
          <w:rFonts w:ascii="Arial" w:cs="Arial" w:eastAsia="Arial" w:hAnsi="Arial"/>
          <w:sz w:val="17"/>
          <w:szCs w:val="17"/>
          <w:color w:val="auto"/>
        </w:rPr>
        <w:t>.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and documented out-of-pocket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77" w:lineRule="exact"/>
        <w:rPr>
          <w:rFonts w:ascii="Arial" w:cs="Arial" w:eastAsia="Arial" w:hAnsi="Arial"/>
          <w:sz w:val="17"/>
          <w:szCs w:val="17"/>
          <w:color w:val="auto"/>
        </w:rPr>
      </w:pPr>
    </w:p>
    <w:p>
      <w:pPr>
        <w:ind w:left="4" w:right="180" w:firstLine="436"/>
        <w:spacing w:after="0" w:line="287" w:lineRule="auto"/>
        <w:tabs>
          <w:tab w:leader="none" w:pos="669"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Status of Lenders</w:t>
      </w:r>
      <w:r>
        <w:rPr>
          <w:rFonts w:ascii="Arial" w:cs="Arial" w:eastAsia="Arial" w:hAnsi="Arial"/>
          <w:sz w:val="16"/>
          <w:szCs w:val="16"/>
          <w:color w:val="auto"/>
        </w:rPr>
        <w:t>. (i) 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and at the time or times prescribed by applicable law, such properly completed and executed documentation reasonably requested by the Borrower Representative or the Administrative Agent or prescribed by applicable law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2.17(f) (ii)(B) and 2.17(f)(ii)(D)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63" w:lineRule="exact"/>
        <w:rPr>
          <w:rFonts w:ascii="Arial" w:cs="Arial" w:eastAsia="Arial" w:hAnsi="Arial"/>
          <w:sz w:val="16"/>
          <w:szCs w:val="16"/>
          <w:color w:val="auto"/>
        </w:rPr>
      </w:pPr>
    </w:p>
    <w:p>
      <w:pPr>
        <w:ind w:left="1124" w:hanging="261"/>
        <w:spacing w:after="0"/>
        <w:tabs>
          <w:tab w:leader="none" w:pos="1124" w:val="left"/>
        </w:tabs>
        <w:numPr>
          <w:ilvl w:val="2"/>
          <w:numId w:val="89"/>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any Borrower is a U.S. Person,</w:t>
      </w:r>
    </w:p>
    <w:p>
      <w:pPr>
        <w:spacing w:after="0" w:line="117" w:lineRule="exact"/>
        <w:rPr>
          <w:rFonts w:ascii="Arial" w:cs="Arial" w:eastAsia="Arial" w:hAnsi="Arial"/>
          <w:sz w:val="18"/>
          <w:szCs w:val="18"/>
          <w:color w:val="auto"/>
        </w:rPr>
      </w:pPr>
    </w:p>
    <w:p>
      <w:pPr>
        <w:ind w:left="444" w:firstLine="948"/>
        <w:spacing w:after="0" w:line="259" w:lineRule="auto"/>
        <w:tabs>
          <w:tab w:leader="none" w:pos="1691" w:val="left"/>
        </w:tabs>
        <w:numPr>
          <w:ilvl w:val="3"/>
          <w:numId w:val="89"/>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Representative and the Administrative Agent on or prior to the date on which such Lender becomes a Lender under this Agreement (and from time to time thereafter upon the reasonable request of the Borrower Representative or the Administrative Agent), executed copies of IRS Form W-9 certifying that such Lender is exempt from U.S. federal backup withholding tax;</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4"/>
          </w:cols>
          <w:pgMar w:left="436" w:top="274" w:right="459" w:bottom="1440" w:gutter="0" w:footer="0" w:header="0"/>
        </w:sectPr>
      </w:pPr>
    </w:p>
    <w:bookmarkStart w:id="109" w:name="page110"/>
    <w:bookmarkEnd w:id="109"/>
    <w:p>
      <w:pPr>
        <w:ind w:right="320" w:firstLine="948"/>
        <w:spacing w:after="0" w:line="259" w:lineRule="auto"/>
        <w:tabs>
          <w:tab w:leader="none" w:pos="1237" w:val="left"/>
        </w:tabs>
        <w:numPr>
          <w:ilvl w:val="1"/>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Non-U.S. Lender shall, to the extent it is legally entitled to do so, deliver to the Borrower Representative and the Administrative Agent (in such number of copies as shall be requested by the recipient) on or prior to the date on which such Non-U.S. Lender becomes a Lender under this Agreement (and from time to time thereafter upon the reasonable request of the Borrower Representative or the Administrative Agent), whichever of the following is applicable:</w:t>
      </w:r>
    </w:p>
    <w:p>
      <w:pPr>
        <w:spacing w:after="0" w:line="78" w:lineRule="exact"/>
        <w:rPr>
          <w:rFonts w:ascii="Arial" w:cs="Arial" w:eastAsia="Arial" w:hAnsi="Arial"/>
          <w:sz w:val="18"/>
          <w:szCs w:val="18"/>
          <w:color w:val="auto"/>
        </w:rPr>
      </w:pPr>
    </w:p>
    <w:p>
      <w:pPr>
        <w:ind w:left="1700" w:hanging="250"/>
        <w:spacing w:after="0"/>
        <w:tabs>
          <w:tab w:leader="none" w:pos="1700" w:val="left"/>
        </w:tabs>
        <w:numPr>
          <w:ilvl w:val="2"/>
          <w:numId w:val="90"/>
        </w:numPr>
        <w:rPr>
          <w:rFonts w:ascii="Arial" w:cs="Arial" w:eastAsia="Arial" w:hAnsi="Arial"/>
          <w:sz w:val="17"/>
          <w:szCs w:val="17"/>
          <w:color w:val="auto"/>
        </w:rPr>
      </w:pPr>
      <w:r>
        <w:rPr>
          <w:rFonts w:ascii="Arial" w:cs="Arial" w:eastAsia="Arial" w:hAnsi="Arial"/>
          <w:sz w:val="17"/>
          <w:szCs w:val="17"/>
          <w:color w:val="auto"/>
        </w:rPr>
        <w:t>in the case of a Non-U.S. Lender claiming the benefits of an income tax treaty to which the United States is a party</w:t>
      </w:r>
    </w:p>
    <w:p>
      <w:pPr>
        <w:spacing w:after="0" w:line="34" w:lineRule="exact"/>
        <w:rPr>
          <w:rFonts w:ascii="Arial" w:cs="Arial" w:eastAsia="Arial" w:hAnsi="Arial"/>
          <w:sz w:val="17"/>
          <w:szCs w:val="17"/>
          <w:color w:val="auto"/>
        </w:rPr>
      </w:pPr>
    </w:p>
    <w:p>
      <w:pPr>
        <w:ind w:left="540" w:right="140" w:firstLine="7"/>
        <w:spacing w:after="0" w:line="281" w:lineRule="auto"/>
        <w:tabs>
          <w:tab w:leader="none" w:pos="795" w:val="left"/>
        </w:tabs>
        <w:numPr>
          <w:ilvl w:val="0"/>
          <w:numId w:val="91"/>
        </w:numPr>
        <w:rPr>
          <w:rFonts w:ascii="Arial" w:cs="Arial" w:eastAsia="Arial" w:hAnsi="Arial"/>
          <w:sz w:val="16"/>
          <w:szCs w:val="16"/>
          <w:color w:val="auto"/>
        </w:rPr>
      </w:pPr>
      <w:r>
        <w:rPr>
          <w:rFonts w:ascii="Arial" w:cs="Arial" w:eastAsia="Arial" w:hAnsi="Arial"/>
          <w:sz w:val="16"/>
          <w:szCs w:val="16"/>
          <w:color w:val="auto"/>
        </w:rPr>
        <w:t>with respect to payments of interest under any Loan Document, executed copies of IRS Form W-8BEN or W-8BEN-E, as applicable, establishing an exemption from, or reduction of, U.S. federal withholding Tax pursuant to the “interest” article of such tax treaty and</w:t>
      </w:r>
    </w:p>
    <w:p>
      <w:pPr>
        <w:spacing w:after="0" w:line="1" w:lineRule="exact"/>
        <w:rPr>
          <w:rFonts w:ascii="Arial" w:cs="Arial" w:eastAsia="Arial" w:hAnsi="Arial"/>
          <w:sz w:val="16"/>
          <w:szCs w:val="16"/>
          <w:color w:val="auto"/>
        </w:rPr>
      </w:pPr>
    </w:p>
    <w:p>
      <w:pPr>
        <w:ind w:left="540" w:right="80" w:firstLine="7"/>
        <w:spacing w:after="0" w:line="255" w:lineRule="auto"/>
        <w:tabs>
          <w:tab w:leader="none" w:pos="7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81" w:lineRule="exact"/>
        <w:rPr>
          <w:rFonts w:ascii="Arial" w:cs="Arial" w:eastAsia="Arial" w:hAnsi="Arial"/>
          <w:sz w:val="18"/>
          <w:szCs w:val="18"/>
          <w:color w:val="auto"/>
        </w:rPr>
      </w:pPr>
    </w:p>
    <w:p>
      <w:pPr>
        <w:ind w:left="540" w:right="320" w:firstLine="910"/>
        <w:spacing w:after="0" w:line="277" w:lineRule="auto"/>
        <w:tabs>
          <w:tab w:leader="none" w:pos="1697" w:val="left"/>
        </w:tabs>
        <w:numPr>
          <w:ilvl w:val="2"/>
          <w:numId w:val="91"/>
        </w:numPr>
        <w:rPr>
          <w:rFonts w:ascii="Arial" w:cs="Arial" w:eastAsia="Arial" w:hAnsi="Arial"/>
          <w:sz w:val="18"/>
          <w:szCs w:val="18"/>
          <w:color w:val="auto"/>
        </w:rPr>
      </w:pPr>
      <w:r>
        <w:rPr>
          <w:rFonts w:ascii="Arial" w:cs="Arial" w:eastAsia="Arial" w:hAnsi="Arial"/>
          <w:sz w:val="18"/>
          <w:szCs w:val="18"/>
          <w:color w:val="auto"/>
        </w:rPr>
        <w:t>in the case of a Non-U.S. Lender claiming that its extension of credit will generate U.S. effectively connected income, executed copies of IRS Form W-8ECI;</w:t>
      </w:r>
    </w:p>
    <w:p>
      <w:pPr>
        <w:spacing w:after="0" w:line="62" w:lineRule="exact"/>
        <w:rPr>
          <w:rFonts w:ascii="Arial" w:cs="Arial" w:eastAsia="Arial" w:hAnsi="Arial"/>
          <w:sz w:val="18"/>
          <w:szCs w:val="18"/>
          <w:color w:val="auto"/>
        </w:rPr>
      </w:pPr>
    </w:p>
    <w:p>
      <w:pPr>
        <w:ind w:left="540" w:firstLine="910"/>
        <w:spacing w:after="0" w:line="257" w:lineRule="auto"/>
        <w:tabs>
          <w:tab w:leader="none" w:pos="1697" w:val="left"/>
        </w:tabs>
        <w:numPr>
          <w:ilvl w:val="2"/>
          <w:numId w:val="91"/>
        </w:numPr>
        <w:rPr>
          <w:rFonts w:ascii="Arial" w:cs="Arial" w:eastAsia="Arial" w:hAnsi="Arial"/>
          <w:sz w:val="18"/>
          <w:szCs w:val="18"/>
          <w:color w:val="auto"/>
        </w:rPr>
      </w:pPr>
      <w:r>
        <w:rPr>
          <w:rFonts w:ascii="Arial" w:cs="Arial" w:eastAsia="Arial" w:hAnsi="Arial"/>
          <w:sz w:val="18"/>
          <w:szCs w:val="18"/>
          <w:color w:val="auto"/>
        </w:rPr>
        <w:t xml:space="preserve">in the case of a Non-U.S. Lender claiming the benefits of the exemption for portfolio interest under Section 881(c) of the Code, (x) a certificate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to the effect that such Non-U.S. Lender is not a “bank” within the meaning of Section 881(c)(3)(A) of the Code, a “10 percent shareholder” of a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copies of IRS Form W-8BEN or W-8BEN-E, as applicable; or</w:t>
      </w:r>
    </w:p>
    <w:p>
      <w:pPr>
        <w:spacing w:after="0" w:line="79" w:lineRule="exact"/>
        <w:rPr>
          <w:rFonts w:ascii="Arial" w:cs="Arial" w:eastAsia="Arial" w:hAnsi="Arial"/>
          <w:sz w:val="18"/>
          <w:szCs w:val="18"/>
          <w:color w:val="auto"/>
        </w:rPr>
      </w:pPr>
    </w:p>
    <w:p>
      <w:pPr>
        <w:ind w:left="540" w:firstLine="910"/>
        <w:spacing w:after="0" w:line="273" w:lineRule="auto"/>
        <w:tabs>
          <w:tab w:leader="none" w:pos="1697" w:val="left"/>
        </w:tabs>
        <w:numPr>
          <w:ilvl w:val="2"/>
          <w:numId w:val="91"/>
        </w:numPr>
        <w:rPr>
          <w:rFonts w:ascii="Arial" w:cs="Arial" w:eastAsia="Arial" w:hAnsi="Arial"/>
          <w:sz w:val="17"/>
          <w:szCs w:val="17"/>
          <w:color w:val="auto"/>
        </w:rPr>
      </w:pPr>
      <w:r>
        <w:rPr>
          <w:rFonts w:ascii="Arial" w:cs="Arial" w:eastAsia="Arial" w:hAnsi="Arial"/>
          <w:sz w:val="17"/>
          <w:szCs w:val="17"/>
          <w:color w:val="auto"/>
        </w:rPr>
        <w:t xml:space="preserve">to the extent a Non-U.S. Lender is not the beneficial owner of payments made under any Loan Document, executed copies of IRS Form W-8IMY, accompanied by IRS Form W-8ECI, IRS Form W-8BEN, IRS Form W-8BEN-E, a U.S. Tax Compliance Certificate substantially in the form of </w:t>
      </w:r>
      <w:r>
        <w:rPr>
          <w:rFonts w:ascii="Arial" w:cs="Arial" w:eastAsia="Arial" w:hAnsi="Arial"/>
          <w:sz w:val="17"/>
          <w:szCs w:val="17"/>
          <w:u w:val="single" w:color="auto"/>
          <w:color w:val="auto"/>
        </w:rPr>
        <w:t>Exhibit C-2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C-3</w:t>
      </w:r>
      <w:r>
        <w:rPr>
          <w:rFonts w:ascii="Arial" w:cs="Arial" w:eastAsia="Arial" w:hAnsi="Arial"/>
          <w:sz w:val="17"/>
          <w:szCs w:val="17"/>
          <w:color w:val="auto"/>
        </w:rPr>
        <w:t xml:space="preserve">, IRS Form W-9, and/or other certification documents from each beneficial owner,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Non-U.S. Lender is a partnership and one or more direct or indirect partners of such Non-U.S. Lender are claiming the portfolio interest exemption, such Non-U.S. Lender may provide a U.S. Tax Compliance Certificate substantially in the form of </w:t>
      </w:r>
      <w:r>
        <w:rPr>
          <w:rFonts w:ascii="Arial" w:cs="Arial" w:eastAsia="Arial" w:hAnsi="Arial"/>
          <w:sz w:val="17"/>
          <w:szCs w:val="17"/>
          <w:u w:val="single" w:color="auto"/>
          <w:color w:val="auto"/>
        </w:rPr>
        <w:t>Exhibit C-4</w:t>
      </w:r>
      <w:r>
        <w:rPr>
          <w:rFonts w:ascii="Arial" w:cs="Arial" w:eastAsia="Arial" w:hAnsi="Arial"/>
          <w:sz w:val="17"/>
          <w:szCs w:val="17"/>
          <w:color w:val="auto"/>
        </w:rPr>
        <w:t xml:space="preserve"> on behalf of each such direct and indirect partner;</w:t>
      </w:r>
    </w:p>
    <w:p>
      <w:pPr>
        <w:spacing w:after="0" w:line="69" w:lineRule="exact"/>
        <w:rPr>
          <w:rFonts w:ascii="Arial" w:cs="Arial" w:eastAsia="Arial" w:hAnsi="Arial"/>
          <w:sz w:val="17"/>
          <w:szCs w:val="17"/>
          <w:color w:val="auto"/>
        </w:rPr>
      </w:pPr>
    </w:p>
    <w:p>
      <w:pPr>
        <w:ind w:right="20" w:firstLine="948"/>
        <w:spacing w:after="0" w:line="293" w:lineRule="auto"/>
        <w:tabs>
          <w:tab w:leader="none" w:pos="1237" w:val="left"/>
        </w:tabs>
        <w:numPr>
          <w:ilvl w:val="1"/>
          <w:numId w:val="91"/>
        </w:numPr>
        <w:rPr>
          <w:rFonts w:ascii="Arial" w:cs="Arial" w:eastAsia="Arial" w:hAnsi="Arial"/>
          <w:sz w:val="16"/>
          <w:szCs w:val="16"/>
          <w:color w:val="auto"/>
        </w:rPr>
      </w:pPr>
      <w:r>
        <w:rPr>
          <w:rFonts w:ascii="Arial" w:cs="Arial" w:eastAsia="Arial" w:hAnsi="Arial"/>
          <w:sz w:val="16"/>
          <w:szCs w:val="16"/>
          <w:color w:val="auto"/>
        </w:rPr>
        <w:t>any Non-U.S. Lender shall, to the extent it is legally entitled to do so, deliver to the Borrower Representative and the Administrative Agent (in such number of copies as shall be requested by the recipient) on or prior to the date on which such Non-U.S. Lender becomes a Lender under this Agreement (and from time to time thereafter upon the reasonable request of the Borrower Representative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spacing w:after="0" w:line="56" w:lineRule="exact"/>
        <w:rPr>
          <w:rFonts w:ascii="Arial" w:cs="Arial" w:eastAsia="Arial" w:hAnsi="Arial"/>
          <w:sz w:val="16"/>
          <w:szCs w:val="16"/>
          <w:color w:val="auto"/>
        </w:rPr>
      </w:pPr>
    </w:p>
    <w:p>
      <w:pPr>
        <w:ind w:right="20" w:firstLine="948"/>
        <w:spacing w:after="0" w:line="271" w:lineRule="auto"/>
        <w:tabs>
          <w:tab w:leader="none" w:pos="1247" w:val="left"/>
        </w:tabs>
        <w:numPr>
          <w:ilvl w:val="1"/>
          <w:numId w:val="91"/>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Borrowers and the Administrative Agent to comply with their obligations under FATCA and to determine that such Lender has complied with such Lender’s obligations under FATCA or to determine the amount to deduct and withhold</w:t>
      </w:r>
    </w:p>
    <w:p>
      <w:pPr>
        <w:spacing w:after="0" w:line="11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520"/>
          </w:cols>
          <w:pgMar w:left="880" w:top="274" w:right="499" w:bottom="1440" w:gutter="0" w:footer="0" w:header="0"/>
        </w:sectPr>
      </w:pPr>
    </w:p>
    <w:bookmarkStart w:id="110" w:name="page111"/>
    <w:bookmarkEnd w:id="110"/>
    <w:p>
      <w:pPr>
        <w:ind w:left="440"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such payment. Solely for purposes of this clause (D), “</w:t>
      </w:r>
      <w:r>
        <w:rPr>
          <w:rFonts w:ascii="Arial" w:cs="Arial" w:eastAsia="Arial" w:hAnsi="Arial"/>
          <w:sz w:val="18"/>
          <w:szCs w:val="18"/>
          <w:u w:val="single" w:color="auto"/>
          <w:color w:val="auto"/>
        </w:rPr>
        <w:t>FATCA</w:t>
      </w:r>
      <w:r>
        <w:rPr>
          <w:rFonts w:ascii="Arial" w:cs="Arial" w:eastAsia="Arial" w:hAnsi="Arial"/>
          <w:sz w:val="18"/>
          <w:szCs w:val="18"/>
          <w:color w:val="auto"/>
        </w:rPr>
        <w:t>” shall include any amendments made to FATCA after the Fourth Restatement Date.</w:t>
      </w:r>
    </w:p>
    <w:p>
      <w:pPr>
        <w:spacing w:after="0" w:line="170"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spacing w:after="0" w:line="16" w:lineRule="exact"/>
        <w:rPr>
          <w:sz w:val="20"/>
          <w:szCs w:val="20"/>
          <w:color w:val="auto"/>
        </w:rPr>
      </w:pPr>
    </w:p>
    <w:p>
      <w:pPr>
        <w:ind w:left="440" w:right="20" w:firstLine="419"/>
        <w:spacing w:after="0" w:line="286" w:lineRule="auto"/>
        <w:tabs>
          <w:tab w:leader="none" w:pos="1178" w:val="left"/>
        </w:tabs>
        <w:numPr>
          <w:ilvl w:val="1"/>
          <w:numId w:val="92"/>
        </w:numPr>
        <w:rPr>
          <w:rFonts w:ascii="Arial" w:cs="Arial" w:eastAsia="Arial" w:hAnsi="Arial"/>
          <w:sz w:val="16"/>
          <w:szCs w:val="16"/>
          <w:color w:val="auto"/>
        </w:rPr>
      </w:pPr>
      <w:r>
        <w:rPr>
          <w:rFonts w:ascii="Arial" w:cs="Arial" w:eastAsia="Arial" w:hAnsi="Arial"/>
          <w:sz w:val="16"/>
          <w:szCs w:val="16"/>
          <w:color w:val="auto"/>
        </w:rPr>
        <w:t>On or prior to the date that the Administrative Agent (and any successor thereto) becomes a party to this Agreement, and from time to time as reasonably requested by the Borrower Representative, (x) if the Administrative Agent is a U.S. Person, it shall provide the Borrower Representative executed copies of IRS Form W-9, or (y) if the Administrative Agent is not a U.S. Person, (A) it shall provide the Borrower Representative with executed copies of IRS Form W-8ECI with respect to fees, interest or other payments received on its own behalf and any such other documentation prescribed by applicable law that would allow the Borrower Representative to make payments to it without deduction or withholding of any U.S. federal withholding Taxes and (B) it shall provide the Borrower Representative with executed copies of IRS Form W-8IMY (or successor form) certifying that it is either (1) a “qualified intermediary” and that it assumes primary withholding responsibility under Chapters 3 and 4 of the Code and primary Form 1099 reporting and backup withholding responsibility for fees, interest or other payments it receives for the account of others or (2) a “U.S. branch” and that the fees, interest or other payments it receives for the account of others are not effectively connected with the conduct of a trade or business in the U.S. and that it is using such form as evidence of its agreement with the Borrower to be treated as a United States person with respect to such payments (and the Borrower Representative and the Administrative Agent agree to so treat the Administrative Agent as a United States person with respect to such payments as contemplated by U.S. Treasury Regulations Section 1.1441-1(b)(2)(iv)(A)), with the effect that the Borrower Representative can make payments to the Administrative Agent without deduction or withholding of any Taxes imposed by the United States.</w:t>
      </w:r>
    </w:p>
    <w:p>
      <w:pPr>
        <w:spacing w:after="0" w:line="62" w:lineRule="exact"/>
        <w:rPr>
          <w:rFonts w:ascii="Arial" w:cs="Arial" w:eastAsia="Arial" w:hAnsi="Arial"/>
          <w:sz w:val="16"/>
          <w:szCs w:val="16"/>
          <w:color w:val="auto"/>
        </w:rPr>
      </w:pPr>
    </w:p>
    <w:p>
      <w:pPr>
        <w:ind w:right="40" w:firstLine="436"/>
        <w:spacing w:after="0" w:line="268" w:lineRule="auto"/>
        <w:tabs>
          <w:tab w:leader="none" w:pos="695"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w:t>
      </w:r>
    </w:p>
    <w:p>
      <w:pPr>
        <w:spacing w:after="0" w:line="78" w:lineRule="exact"/>
        <w:rPr>
          <w:rFonts w:ascii="Arial" w:cs="Arial" w:eastAsia="Arial" w:hAnsi="Arial"/>
          <w:sz w:val="17"/>
          <w:szCs w:val="17"/>
          <w:color w:val="auto"/>
        </w:rPr>
      </w:pPr>
    </w:p>
    <w:p>
      <w:pPr>
        <w:ind w:right="220" w:firstLine="436"/>
        <w:spacing w:after="0" w:line="263"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2.17 shall survive the resignation or replacement of the Administrative Agent or any assignment of rights by, or the replacement of, a Lender, the termination of the Aggregate Revolving Commitments and the repayment, satisfaction or discharge of all obligations under any Loan Document.</w:t>
      </w:r>
    </w:p>
    <w:p>
      <w:pPr>
        <w:spacing w:after="0" w:line="75" w:lineRule="exact"/>
        <w:rPr>
          <w:rFonts w:ascii="Arial" w:cs="Arial" w:eastAsia="Arial" w:hAnsi="Arial"/>
          <w:sz w:val="18"/>
          <w:szCs w:val="18"/>
          <w:color w:val="auto"/>
        </w:rPr>
      </w:pPr>
    </w:p>
    <w:p>
      <w:pPr>
        <w:ind w:left="660" w:hanging="224"/>
        <w:spacing w:after="0"/>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For purposes of this Section 2.17, the term “</w:t>
      </w:r>
      <w:r>
        <w:rPr>
          <w:rFonts w:ascii="Arial" w:cs="Arial" w:eastAsia="Arial" w:hAnsi="Arial"/>
          <w:sz w:val="17"/>
          <w:szCs w:val="17"/>
          <w:u w:val="single" w:color="auto"/>
          <w:color w:val="auto"/>
        </w:rPr>
        <w:t>Lender</w:t>
      </w:r>
      <w:r>
        <w:rPr>
          <w:rFonts w:ascii="Arial" w:cs="Arial" w:eastAsia="Arial" w:hAnsi="Arial"/>
          <w:sz w:val="17"/>
          <w:szCs w:val="17"/>
          <w:color w:val="auto"/>
        </w:rPr>
        <w:t>” includes any Issuing Bank and the term “applicable law” includes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FATCA.</w:t>
      </w:r>
    </w:p>
    <w:p>
      <w:pPr>
        <w:spacing w:after="0" w:line="21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Payments Generally; Allocation of Proceeds; Sharing of Set-offs</w:t>
      </w:r>
      <w:r>
        <w:rPr>
          <w:rFonts w:ascii="Arial" w:cs="Arial" w:eastAsia="Arial" w:hAnsi="Arial"/>
          <w:sz w:val="18"/>
          <w:szCs w:val="18"/>
          <w:color w:val="auto"/>
        </w:rPr>
        <w:t>. (a) The Borrowers shall make each payment required to be made by them hereunder (whether of principal, interest, fees or reimbursement of LC Disbursements, or of amounts payable under Section 2.15, 2.16 or 2.17, or otherwise) prior to 3:00 p.m., New York City time, on the date when due, in immediately available funds, without set-off or counterclaim. Any amounts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111" w:name="page112"/>
    <w:bookmarkEnd w:id="111"/>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received after such time on any date may, in the discretion of the Administrative Agent be deemed to have been received on the next succeeding Business Day for purposes of calculating interest thereon. All such payments shall be made to the Administrative Agent at its offices at 745 Seventh Avenue, except (i) payments to be made directly to an Issuing Bank or Swingline Lender as expressly provided herein shall be made to such Issuing Bank or Swingline Lender, and (ii) payments pursuant to Sections 2.15, 2.16, 2.17 and 9.03 shall be made directly to the Persons entitled thereto. The Administrative Agent shall distribute any such payments received by it for the account of any other Person to the appropriate recipient, in like funds,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the currency in which the applicable Obligations are denominated (subject to the proviso set forth in the first sentence of Section 1.05), and, if not otherwise specified, in dollars.</w:t>
      </w:r>
    </w:p>
    <w:p>
      <w:pPr>
        <w:spacing w:after="0" w:line="73" w:lineRule="exact"/>
        <w:rPr>
          <w:sz w:val="20"/>
          <w:szCs w:val="20"/>
          <w:color w:val="auto"/>
        </w:rPr>
      </w:pPr>
    </w:p>
    <w:p>
      <w:pPr>
        <w:ind w:firstLine="436"/>
        <w:spacing w:after="0" w:line="284" w:lineRule="auto"/>
        <w:tabs>
          <w:tab w:leader="none" w:pos="695"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Subject to Section 12.01 (and subject at any time that any Permitted Term Debt is outstanding, to the terms of the applicable Permitted Term Debt Intercreditor Agreement), any proceeds of Collateral received by the Administrative Agent after an Event of Default has occurred and is continuing and the Administrative Agent so elects, or the Required Lenders so direct, shall be applied ratably (based in respect of each of the following separate categories, computed independently of the other categories, on each Lender Party’s interest in the aggregate specific type of outstanding Secured Obligations described within (and only within) each specific category of Secured Obligations listed respectively below)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 any fees, indemnities, or expense reimbursements including amounts then due to the Administrative Agent and each Issuing Bank from the Borrowers (other than in connection with Banking Services or Swap Agreement Obligations),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 any fees or expense reimbursements then due to the Lenders from the Borrowers (other than in connection with Banking Services or Swap Agreement Obligations),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pay interest due in respect of Swingline Loans, Overadvances and Protective Advances,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pay the principal of Swingline Loans, Overadvances and Protective Advances,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pay interest then due and payable on the Loans (other than Swingline Loans, Overadvances and Protective Advances),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prepay principal on the Loans (other than Swingline Loans, Overadvances and Protective Advances) and unreimbursed LC Disbursements,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to pay to the Administrative Agent an amount equal to one-hundred-three percent (103%) of the U.S. LC Exposure and an amount equal to one-hundred-three percent (103%) of the Canadian LC Exposure, as applicable, to be held as cash collateral for such Obligations,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pay any amounts owing to the Lenders and their Affiliates with respect to Specified Foreign Credit Extensions up to and including the amount most recently provided to the Administrative Agent pursuant to Section 2.22, </w:t>
      </w:r>
      <w:r>
        <w:rPr>
          <w:rFonts w:ascii="Arial" w:cs="Arial" w:eastAsia="Arial" w:hAnsi="Arial"/>
          <w:sz w:val="16"/>
          <w:szCs w:val="16"/>
          <w:u w:val="single" w:color="auto"/>
          <w:color w:val="auto"/>
        </w:rPr>
        <w:t>ninth</w:t>
      </w:r>
      <w:r>
        <w:rPr>
          <w:rFonts w:ascii="Arial" w:cs="Arial" w:eastAsia="Arial" w:hAnsi="Arial"/>
          <w:sz w:val="16"/>
          <w:szCs w:val="16"/>
          <w:color w:val="auto"/>
        </w:rPr>
        <w:t xml:space="preserve">, to pay any amounts owing to the Lenders and their Affiliates with respect to Banking Services up to and including the amount most recently provided to the Administrative Agent pursuant to Section 2.22, Swap Agreement Obligations up to and including the amount most recently provided to the Administrative Agent pursuant to Section 2.22 and Foreign Credit Extensions (other than Specified Foreign Credit Extensions), and </w:t>
      </w:r>
      <w:r>
        <w:rPr>
          <w:rFonts w:ascii="Arial" w:cs="Arial" w:eastAsia="Arial" w:hAnsi="Arial"/>
          <w:sz w:val="16"/>
          <w:szCs w:val="16"/>
          <w:u w:val="single" w:color="auto"/>
          <w:color w:val="auto"/>
        </w:rPr>
        <w:t>tenth</w:t>
      </w:r>
      <w:r>
        <w:rPr>
          <w:rFonts w:ascii="Arial" w:cs="Arial" w:eastAsia="Arial" w:hAnsi="Arial"/>
          <w:sz w:val="16"/>
          <w:szCs w:val="16"/>
          <w:color w:val="auto"/>
        </w:rPr>
        <w:t>, to pay any other Secured Obligation due to the Administrative Agent or any Lender by the Borrowers. Notwithstanding the foregoing, amounts received from any Loan Party shall not be applied to any Excluded Swap Obligation of such Loan Party. Notwithstanding anything to the contrary contained in this Agreement, unless so directed by the Borrower Representative, or unless an Event of Default is in existence, neither the Administrative Agent nor any Lender shall apply any payment which it receives to any SOFR Loan or CDOR Rate Loan of a Class, except (a) on the expiration date of the Interest Period applicable to any such SOFR Loan or such CDOR Rate Loan or (b) in the event, and only to the extent, with respect to CDOR Rate Loans, that there are no outstanding Canadian Prime Rate Loans of the same Class, and with respect to SOFR Loans, that there are no outstanding ABR Loans of the same Class and, in any such event, the Borrowers shall pay the break funding payment required in accordance with Section 2.16. The Administrative Agent and the Lenders shall have the continuing and exclusive right to apply and reverse and reapply any and all such proceeds and payments to any portion of the Secured Obligations. Notwithstanding the foregoing but subject to Section 9.20, any such application of proceeds from Collateral securing solely the Canadian Obligations shall be made solely in respect of Canadian Obligations.</w:t>
      </w:r>
    </w:p>
    <w:p>
      <w:pPr>
        <w:spacing w:after="0" w:line="61" w:lineRule="exact"/>
        <w:rPr>
          <w:rFonts w:ascii="Arial" w:cs="Arial" w:eastAsia="Arial" w:hAnsi="Arial"/>
          <w:sz w:val="16"/>
          <w:szCs w:val="16"/>
          <w:color w:val="auto"/>
        </w:rPr>
      </w:pPr>
    </w:p>
    <w:p>
      <w:pPr>
        <w:ind w:right="180" w:firstLine="436"/>
        <w:spacing w:after="0" w:line="255" w:lineRule="auto"/>
        <w:tabs>
          <w:tab w:leader="none" w:pos="68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the election of the Administrative Agent, all payments of principal, interest, LC Disbursements, fees, premiums, reimbursable expenses (including, without limitation, all reimbursement for fees and expenses pursuant to Section 9.03), and other sums payable under the Loan Documents, may be paid from the proceeds of Borrowings made hereunder whether made following a request by the Borrower Representative pursuant to Section 2.03 or a deemed request as provided in this Section or may be deducted from any deposit account of any Borrower maintained with the Administrative Agent. Each Borrower hereby irrevocably authorizes (i) the Administrative Agent to make a Borrowing for the purpose of paying each payment of principal, interest and fees as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112" w:name="page113"/>
    <w:bookmarkEnd w:id="112"/>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becomes due hereunder or any other amount due under the Loan Documents and agrees that all such amounts charged shall constitute Loans (including Swingline Loans and Overadvances, but such a Borrowing may only constitute a Protective Advance if it is to reimburse costs, fees and expenses as described in Section 9.03) and that all such Borrowings shall be deemed to have been requested pursuant to Sections 2.03, 2.04 or 2.05, as applicable and (ii) the Administrative Agent to charge any deposit account of any Borrower maintained with the Administrative Agent for each payment of principal, interest and fees as it becomes due hereunder or any other amount due under the Loan Documents.</w:t>
      </w:r>
    </w:p>
    <w:p>
      <w:pPr>
        <w:spacing w:after="0" w:line="68" w:lineRule="exact"/>
        <w:rPr>
          <w:sz w:val="20"/>
          <w:szCs w:val="20"/>
          <w:color w:val="auto"/>
        </w:rPr>
      </w:pPr>
    </w:p>
    <w:p>
      <w:pPr>
        <w:ind w:firstLine="436"/>
        <w:spacing w:after="0" w:line="268" w:lineRule="auto"/>
        <w:tabs>
          <w:tab w:leader="none" w:pos="695"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If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Borrowers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76" w:lineRule="exact"/>
        <w:rPr>
          <w:rFonts w:ascii="Arial" w:cs="Arial" w:eastAsia="Arial" w:hAnsi="Arial"/>
          <w:sz w:val="17"/>
          <w:szCs w:val="17"/>
          <w:color w:val="auto"/>
        </w:rPr>
      </w:pPr>
    </w:p>
    <w:p>
      <w:pPr>
        <w:ind w:firstLine="436"/>
        <w:spacing w:after="0" w:line="270" w:lineRule="auto"/>
        <w:tabs>
          <w:tab w:leader="none" w:pos="685" w:val="left"/>
        </w:tabs>
        <w:numPr>
          <w:ilvl w:val="0"/>
          <w:numId w:val="95"/>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the Borrower Representative prior to the date on which any payment is due to the Administrative Agent for the account of the Lenders or an Issuing Bank hereunder that the Borrowers will not make such payment, the Administrative Agent may assume that the Borrowers have made such payment on such date in accordance herewith and may, in reliance upon such assumption, distribute to the Lenders or the Issuing Banks, as the case may be, the amount due. In such event, if the Borrowers have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Federal Funds Effective Rate (in the case of dollar denominated amounts) or the Canadian Overnight Rate (in the case of Canadian Dollar denominated amounts) and a rate determined by the Administrative Agent in accordance with banking industry rules on interbank compensation.</w:t>
      </w:r>
    </w:p>
    <w:p>
      <w:pPr>
        <w:spacing w:after="0" w:line="72" w:lineRule="exact"/>
        <w:rPr>
          <w:rFonts w:ascii="Arial" w:cs="Arial" w:eastAsia="Arial" w:hAnsi="Arial"/>
          <w:sz w:val="17"/>
          <w:szCs w:val="17"/>
          <w:color w:val="auto"/>
        </w:rPr>
      </w:pPr>
    </w:p>
    <w:p>
      <w:pPr>
        <w:ind w:right="20" w:firstLine="436"/>
        <w:spacing w:after="0" w:line="275" w:lineRule="auto"/>
        <w:tabs>
          <w:tab w:leader="none" w:pos="665"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any Lender shall fail to make any payment required to be made by it hereunder, then the Administrative Agent may, in its discretion (notwithstanding any contrary provision hereof), (i) apply any amounts thereafter received by the Administrative Agent for the account of such Lender to satisfy such Lender’s obligations hereunder until all such unsatisfied obligations are fully paid and/or (ii) hold any such amounts in a segregated account as cash collateral for, and apply any such amounts to, any future funding obligations of such Lender hereunder; application of amounts pursuant to (i) and (ii) above shall be made in such order as may be determined by the Administrative Agent in its discretion.</w:t>
      </w:r>
    </w:p>
    <w:p>
      <w:pPr>
        <w:spacing w:after="0" w:line="68" w:lineRule="exact"/>
        <w:rPr>
          <w:rFonts w:ascii="Arial" w:cs="Arial" w:eastAsia="Arial" w:hAnsi="Arial"/>
          <w:sz w:val="17"/>
          <w:szCs w:val="17"/>
          <w:color w:val="auto"/>
        </w:rPr>
      </w:pPr>
    </w:p>
    <w:p>
      <w:pPr>
        <w:ind w:right="260" w:firstLine="436"/>
        <w:spacing w:after="0" w:line="263" w:lineRule="auto"/>
        <w:tabs>
          <w:tab w:leader="none" w:pos="6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Notwithstanding the foregoing, unless requested otherwise by the Canadian Borrowers (i) no Borrowings shall be made to a Canadian Borrower for the purpose of paying any U.S. Obligations; and (ii) deposit accounts of the Canadian Borrowers may only be charged to pay Canadian Obligations.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117" w:lineRule="exact"/>
        <w:rPr>
          <w:sz w:val="20"/>
          <w:szCs w:val="20"/>
          <w:color w:val="auto"/>
        </w:rPr>
      </w:pPr>
    </w:p>
    <w:p>
      <w:pPr>
        <w:ind w:right="120" w:firstLine="436"/>
        <w:spacing w:after="0" w:line="277" w:lineRule="auto"/>
        <w:tabs>
          <w:tab w:leader="none" w:pos="685"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any Lender requests compensation under Section 2.14 or 2.15, or if the Borrowers are required to pay any additional amount to any Lender or any Governmental Authority for the account of any Lender pursuant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80"/>
          </w:cols>
          <w:pgMar w:left="440" w:top="274" w:right="479" w:bottom="1440" w:gutter="0" w:footer="0" w:header="0"/>
        </w:sectPr>
      </w:pPr>
    </w:p>
    <w:bookmarkStart w:id="113" w:name="page114"/>
    <w:bookmarkEnd w:id="113"/>
    <w:p>
      <w:pPr>
        <w:ind w:left="4"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w:t>
      </w:r>
    </w:p>
    <w:p>
      <w:pPr>
        <w:jc w:val="both"/>
        <w:ind w:left="4" w:right="220" w:hanging="4"/>
        <w:spacing w:after="0" w:line="277" w:lineRule="auto"/>
        <w:tabs>
          <w:tab w:leader="none" w:pos="219" w:val="left"/>
        </w:tabs>
        <w:numPr>
          <w:ilvl w:val="0"/>
          <w:numId w:val="97"/>
        </w:numPr>
        <w:rPr>
          <w:rFonts w:ascii="Arial" w:cs="Arial" w:eastAsia="Arial" w:hAnsi="Arial"/>
          <w:sz w:val="17"/>
          <w:szCs w:val="17"/>
          <w:color w:val="auto"/>
        </w:rPr>
      </w:pPr>
      <w:r>
        <w:rPr>
          <w:rFonts w:ascii="Arial" w:cs="Arial" w:eastAsia="Arial" w:hAnsi="Arial"/>
          <w:sz w:val="17"/>
          <w:szCs w:val="17"/>
          <w:color w:val="auto"/>
        </w:rPr>
        <w:t>would eliminate or reduce amounts payable pursuant to Section 2.14, 2.15 or 2.17, as the case may be, in the future and (ii) would not subject such Lender to any unreimbursed cost or expense and would not otherwise be disadvantageous to such Lender. The U.S. Borrowers hereby agree to pay all reasonable costs and expenses incurred by any Lender in connection with any such designation or assignment.</w:t>
      </w:r>
    </w:p>
    <w:p>
      <w:pPr>
        <w:spacing w:after="0" w:line="64" w:lineRule="exact"/>
        <w:rPr>
          <w:rFonts w:ascii="Arial" w:cs="Arial" w:eastAsia="Arial" w:hAnsi="Arial"/>
          <w:sz w:val="17"/>
          <w:szCs w:val="17"/>
          <w:color w:val="auto"/>
        </w:rPr>
      </w:pPr>
    </w:p>
    <w:p>
      <w:pPr>
        <w:ind w:left="4" w:firstLine="436"/>
        <w:spacing w:after="0" w:line="285" w:lineRule="auto"/>
        <w:tabs>
          <w:tab w:leader="none" w:pos="699"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If any Lender requests compensation under Section 2.14 or 2.15, or if the Borrowers are required to pay any additional amount to any Lender or any Governmental Authority for the account of any Lender pursuant to Section 2.17, or if any Lender becomes a Defaulting Lender, then the Borrowers may, at their sole expense and effort, upon notice to such Lender and the Administrative Agent, require such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Borrowers shall have received the prior written consent of the Administrative Agent and the Issuing Banks,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(iii) in the case of any such assignment resulting from a claim for compensation under Section 2.14 or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Each party hereto agrees that (x)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Electronic System as to which the Administrative Agent and such parties are participants), and (y) the Lender required to make such assignment need not be a party thereto in order for such assignment to be effective and shall be deemed to have consented to an be bound by the terms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documents shall be without recourse to or warranty by the parties thereto.</w:t>
      </w:r>
    </w:p>
    <w:p>
      <w:pPr>
        <w:spacing w:after="0" w:line="60" w:lineRule="exact"/>
        <w:rPr>
          <w:rFonts w:ascii="Arial" w:cs="Arial" w:eastAsia="Arial" w:hAnsi="Arial"/>
          <w:sz w:val="16"/>
          <w:szCs w:val="16"/>
          <w:color w:val="auto"/>
        </w:rPr>
      </w:pPr>
    </w:p>
    <w:p>
      <w:pPr>
        <w:jc w:val="both"/>
        <w:ind w:left="4" w:right="120" w:firstLine="436"/>
        <w:spacing w:after="0" w:line="259" w:lineRule="auto"/>
        <w:tabs>
          <w:tab w:leader="none" w:pos="689" w:val="left"/>
        </w:tabs>
        <w:numPr>
          <w:ilvl w:val="1"/>
          <w:numId w:val="97"/>
        </w:numPr>
        <w:rPr>
          <w:rFonts w:ascii="Arial" w:cs="Arial" w:eastAsia="Arial" w:hAnsi="Arial"/>
          <w:sz w:val="18"/>
          <w:szCs w:val="18"/>
          <w:color w:val="auto"/>
        </w:rPr>
      </w:pPr>
      <w:r>
        <w:rPr>
          <w:rFonts w:ascii="Arial" w:cs="Arial" w:eastAsia="Arial" w:hAnsi="Arial"/>
          <w:sz w:val="18"/>
          <w:szCs w:val="18"/>
          <w:color w:val="auto"/>
        </w:rPr>
        <w:t>If any Lender requests compensation under Section 2.14 or 2.15, or if the Borrowers are required to pay any additional amount to any Lender or any Governmental Authority for the account of any Lender pursuant to Section 2.17, the Lender shall first use reasonable efforts to mitigate its costs or the effects of the applicable law or Change in Law, and any request for additional compensation shall specify in sufficient detail the reasons therefor and the mitigating actions taken.</w:t>
      </w:r>
    </w:p>
    <w:p>
      <w:pPr>
        <w:spacing w:after="0" w:line="18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62" w:lineRule="exact"/>
        <w:rPr>
          <w:sz w:val="20"/>
          <w:szCs w:val="20"/>
          <w:color w:val="auto"/>
        </w:rPr>
      </w:pPr>
    </w:p>
    <w:p>
      <w:pPr>
        <w:ind w:left="684" w:hanging="244"/>
        <w:spacing w:after="0"/>
        <w:tabs>
          <w:tab w:leader="none" w:pos="684" w:val="left"/>
        </w:tabs>
        <w:numPr>
          <w:ilvl w:val="0"/>
          <w:numId w:val="98"/>
        </w:numPr>
        <w:rPr>
          <w:rFonts w:ascii="Arial" w:cs="Arial" w:eastAsia="Arial" w:hAnsi="Arial"/>
          <w:sz w:val="17"/>
          <w:szCs w:val="17"/>
          <w:color w:val="auto"/>
        </w:rPr>
      </w:pPr>
      <w:r>
        <w:rPr>
          <w:rFonts w:ascii="Arial" w:cs="Arial" w:eastAsia="Arial" w:hAnsi="Arial"/>
          <w:sz w:val="17"/>
          <w:szCs w:val="17"/>
          <w:color w:val="auto"/>
        </w:rPr>
        <w:t>fees shall cease to accrue on the unfunded portion of the Revolving Commitment of such Defaulting Lender pursuant to Section 2.12(a);</w:t>
      </w:r>
    </w:p>
    <w:p>
      <w:pPr>
        <w:spacing w:after="0" w:line="128" w:lineRule="exact"/>
        <w:rPr>
          <w:rFonts w:ascii="Arial" w:cs="Arial" w:eastAsia="Arial" w:hAnsi="Arial"/>
          <w:sz w:val="17"/>
          <w:szCs w:val="17"/>
          <w:color w:val="auto"/>
        </w:rPr>
      </w:pPr>
    </w:p>
    <w:p>
      <w:pPr>
        <w:ind w:left="4" w:right="60" w:firstLine="436"/>
        <w:spacing w:after="0" w:line="296" w:lineRule="auto"/>
        <w:tabs>
          <w:tab w:leader="none" w:pos="699"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such Defaulting Lender shall not have the right to vote on any issue on which voting is required (other than to the extent expressly provided in Section 9.02(b)) and the Revolving Commitment and Credit Exposure of such Defaulting Lender shall not be included in determining whether all Lenders or the Required Lenders or the Supermajority Revolving Lenders have taken or may take any action hereunder (including any consent to any amendment or waiver pursuant to Section 9.02),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waiver, amendment or modification requiring the consent of all Lenders or each affected Lender which affects such Defaulting Lender differently than other affected Lenders shall require the consent of such Defaulting Lender;</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4"/>
          </w:cols>
          <w:pgMar w:left="436" w:top="274" w:right="459" w:bottom="1440" w:gutter="0" w:footer="0" w:header="0"/>
        </w:sectPr>
      </w:pPr>
    </w:p>
    <w:bookmarkStart w:id="114" w:name="page115"/>
    <w:bookmarkEnd w:id="114"/>
    <w:p>
      <w:pPr>
        <w:ind w:left="680" w:hanging="244"/>
        <w:spacing w:after="0"/>
        <w:tabs>
          <w:tab w:leader="none" w:pos="680"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Swingline Exposure or LC Exposure exists at the time a Lender becomes a Defaulting Lender then:</w:t>
      </w:r>
    </w:p>
    <w:p>
      <w:pPr>
        <w:spacing w:after="0" w:line="117" w:lineRule="exact"/>
        <w:rPr>
          <w:rFonts w:ascii="Arial" w:cs="Arial" w:eastAsia="Arial" w:hAnsi="Arial"/>
          <w:sz w:val="18"/>
          <w:szCs w:val="18"/>
          <w:color w:val="auto"/>
        </w:rPr>
      </w:pPr>
    </w:p>
    <w:p>
      <w:pPr>
        <w:ind w:left="440" w:right="120" w:firstLine="419"/>
        <w:spacing w:after="0" w:line="255" w:lineRule="auto"/>
        <w:tabs>
          <w:tab w:leader="none" w:pos="1078"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or any part of the Swingline Exposure and LC Exposure of such Defaulting Lender shall be reallocated among the non-Defaulting Lenders in accordance with their respective Applicable Percentages but only (x) to the extent that the conditions set forth in Section 4.02 are satisfied at the time of such reallocation (and, unless the Borrower Representative shall have otherwise notified the Administrative Agent at such time, the Borrowers shall be deemed to have represented that such conditions are satisfied at such time) and (y) to the extent the sum of all non-Defaulting Lenders’ Credit Exposures plus such Defaulting Lender’s Swingline Exposure and LC Exposure does not exceed the total of all non-Defaulting Lenders’ Revolving Commitments;</w:t>
      </w:r>
    </w:p>
    <w:p>
      <w:pPr>
        <w:spacing w:after="0" w:line="84" w:lineRule="exact"/>
        <w:rPr>
          <w:rFonts w:ascii="Arial" w:cs="Arial" w:eastAsia="Arial" w:hAnsi="Arial"/>
          <w:sz w:val="18"/>
          <w:szCs w:val="18"/>
          <w:color w:val="auto"/>
        </w:rPr>
      </w:pPr>
    </w:p>
    <w:p>
      <w:pPr>
        <w:ind w:left="440" w:right="200" w:firstLine="419"/>
        <w:spacing w:after="0" w:line="259" w:lineRule="auto"/>
        <w:tabs>
          <w:tab w:leader="none" w:pos="1128"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the reallocation described in clause (i) above cannot, or can only partially, be effected, the Borrowers shall within one Business Day following notice by the Administrative Agent (x) first, prepay such Defaulting Lender’s Swingline Exposure and (y) second, cash collateralize such Defaulting Lender’s LC Exposure (after giving effect to any partial reallocation pursuant to clause (i) above) in accordance with the procedures set forth in Section 2.06(k) for so long as such LC Exposure is outstanding;</w:t>
      </w:r>
    </w:p>
    <w:p>
      <w:pPr>
        <w:spacing w:after="0" w:line="78" w:lineRule="exact"/>
        <w:rPr>
          <w:rFonts w:ascii="Arial" w:cs="Arial" w:eastAsia="Arial" w:hAnsi="Arial"/>
          <w:sz w:val="18"/>
          <w:szCs w:val="18"/>
          <w:color w:val="auto"/>
        </w:rPr>
      </w:pPr>
    </w:p>
    <w:p>
      <w:pPr>
        <w:ind w:left="440" w:right="100" w:firstLine="419"/>
        <w:spacing w:after="0" w:line="263" w:lineRule="auto"/>
        <w:tabs>
          <w:tab w:leader="none" w:pos="1178"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the Borrowers cash collateralize any portion of such Defaulting Lender’s LC Exposure pursuant to clause (ii) of this Section 2.20(c), the Borrowers shall not be required to pay any fees to such Defaulting Lender pursuant to Section 2.12(b) with respect to such Defaulting Lender’s LC Exposure during the period such Defaulting Lender’s LC Exposure is cash collateralized;</w:t>
      </w:r>
    </w:p>
    <w:p>
      <w:pPr>
        <w:spacing w:after="0" w:line="75" w:lineRule="exact"/>
        <w:rPr>
          <w:rFonts w:ascii="Arial" w:cs="Arial" w:eastAsia="Arial" w:hAnsi="Arial"/>
          <w:sz w:val="18"/>
          <w:szCs w:val="18"/>
          <w:color w:val="auto"/>
        </w:rPr>
      </w:pPr>
    </w:p>
    <w:p>
      <w:pPr>
        <w:ind w:left="440" w:right="180" w:firstLine="419"/>
        <w:spacing w:after="0" w:line="263" w:lineRule="auto"/>
        <w:tabs>
          <w:tab w:leader="none" w:pos="1168"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the LC Exposure of the non-Defaulting Lenders is reallocated pursuant to clause (ii) of this Section 2.20(c), then the fees payable to the Lenders pursuant to Section 2.12(a) and Section 2.12(b) shall be adjusted in accordance with such non-Defaulting Lenders’ Applicable Percentages; or</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all or any portion of any Defaulting Lender’s LC Exposure is neither cash collateralized nor reallocated pursuant to this</w:t>
      </w:r>
    </w:p>
    <w:p>
      <w:pPr>
        <w:spacing w:after="0" w:line="23" w:lineRule="exact"/>
        <w:rPr>
          <w:sz w:val="20"/>
          <w:szCs w:val="20"/>
          <w:color w:val="auto"/>
        </w:rPr>
      </w:pPr>
    </w:p>
    <w:p>
      <w:pPr>
        <w:ind w:left="440" w:right="340"/>
        <w:spacing w:after="0" w:line="253" w:lineRule="auto"/>
        <w:rPr>
          <w:sz w:val="20"/>
          <w:szCs w:val="20"/>
          <w:color w:val="auto"/>
        </w:rPr>
      </w:pPr>
      <w:r>
        <w:rPr>
          <w:rFonts w:ascii="Arial" w:cs="Arial" w:eastAsia="Arial" w:hAnsi="Arial"/>
          <w:sz w:val="18"/>
          <w:szCs w:val="18"/>
          <w:color w:val="auto"/>
        </w:rPr>
        <w:t>Section 2.20(c), then, without prejudice to any rights or remedies of the applicable Issuing Bank or any Lender hereunder, all facility fees that otherwise would have been payable to such Defaulting Lender (solely with respect to the portion of such Defaulting Lender’s Aggregate Revolving Commitment that was utilized by such LC Exposure) and letter of credit fees payable under Section 2.12(b) with respect to such Defaulting Lender’s LC Exposure shall be payable to the applicable Issuing Bank until such Defaulting Lender’s LC Exposure is cash collateralized and/or reallocated;</w:t>
      </w:r>
    </w:p>
    <w:p>
      <w:pPr>
        <w:spacing w:after="0" w:line="83" w:lineRule="exact"/>
        <w:rPr>
          <w:sz w:val="20"/>
          <w:szCs w:val="20"/>
          <w:color w:val="auto"/>
        </w:rPr>
      </w:pPr>
    </w:p>
    <w:p>
      <w:pPr>
        <w:ind w:right="100" w:firstLine="436"/>
        <w:spacing w:after="0" w:line="279" w:lineRule="auto"/>
        <w:tabs>
          <w:tab w:leader="none" w:pos="69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no Issuing Bank shall be required to issue, amend or increase any Letter of Credit, unless it is satisfied that the related exposure will be 100% covered by the Revolving Commitments of the non-Defaulting Lenders and/or cash collateral will be provided by the Borrowers in accordance with Section 2.20(c), and participating interests in any such newly issued or increased Letter of Credit shall be allocated among non-Defaulting Lenders in a manner consistent with Section 2.20(c)(i) (and Defaulting Lenders shall not participate therein); and</w:t>
      </w:r>
    </w:p>
    <w:p>
      <w:pPr>
        <w:spacing w:after="0" w:line="17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If (i) a Bankruptcy Event or a Bail-In Action with respect to the Parent of any Lender shall occur following the Fourth Restatement Date and for so long as such event shall continue or (ii) the Issuing Bank or the Swingline Lender has a good faith belief that any Lender has defaulted in fulfilling its obligations under one or more other agreements in which such Lender commits to extend credit, the Issuing Bank shall not be required to issue, amend or increase any Letter of Credit and the Swingline Lender shall not be required to fund any Swingline Loan, unless the Issuing Bank or the Swingline Lender, as the case may be, shall have entered into arrangements with the Borrowers or such Lender, satisfactory to the Issuing Bank or the Swingline Lender, as the case may be, to defease any risk in respect of such Lender hereunder;</w:t>
      </w:r>
    </w:p>
    <w:p>
      <w:pPr>
        <w:spacing w:after="0" w:line="70" w:lineRule="exact"/>
        <w:rPr>
          <w:sz w:val="20"/>
          <w:szCs w:val="20"/>
          <w:color w:val="auto"/>
        </w:rPr>
      </w:pPr>
    </w:p>
    <w:p>
      <w:pPr>
        <w:ind w:right="160" w:firstLine="436"/>
        <w:spacing w:after="0" w:line="311" w:lineRule="auto"/>
        <w:tabs>
          <w:tab w:leader="none" w:pos="68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 the event and on the date that each of the Administrative Agent, the Borrowers, the Issuing Banks and the Swingline Lenders agrees that a Defaulting Lender has adequately remedied all matters that caused such Lender to be a Defaulting Lender, then the Swingline Exposure and LC Exposure of the other Lenders shall be readjusted to reflect the inclusion of such Lender’s Revolving Commitment and on such date such Lender shall</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80"/>
          </w:cols>
          <w:pgMar w:left="440" w:top="274" w:right="479" w:bottom="1440" w:gutter="0" w:footer="0" w:header="0"/>
        </w:sectPr>
      </w:pPr>
    </w:p>
    <w:bookmarkStart w:id="115" w:name="page116"/>
    <w:bookmarkEnd w:id="115"/>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at par such of the Loans of the other Lenders (other than Swingline Loans) as the Administrative Agent shall determine may be necessary in order for such Lender to hold such Loans in accordance with its Applicable Percentage.</w:t>
      </w:r>
    </w:p>
    <w:p>
      <w:pPr>
        <w:spacing w:after="0" w:line="62" w:lineRule="exact"/>
        <w:rPr>
          <w:sz w:val="20"/>
          <w:szCs w:val="20"/>
          <w:color w:val="auto"/>
        </w:rPr>
      </w:pPr>
    </w:p>
    <w:p>
      <w:pPr>
        <w:ind w:right="20" w:firstLine="436"/>
        <w:spacing w:after="0" w:line="255" w:lineRule="auto"/>
        <w:tabs>
          <w:tab w:leader="none" w:pos="66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purposes of any covenant which permits or restricts actions by any Loan Party or any Subsidiary of a Loan Party or calculates compliance with financial covenants or any other provision of this Agreement, in each case, based in whole or in part upon the calculation of Aggregate Availability, U.S. Availability, Canadian Availability or Combined Availability, with respect to any Defaulting Lender, Aggregate Availability, U.S. Availability, Canadian Availability and Combined Availability shall be calculated (i) as if such Defaulting Lender had funded its Applicable Percentage of all outstanding Borrowings and (ii) including such Defaulting Lender’s Revolving Commitment in the same manner as if such Lender were not a Defaulting Lender.</w:t>
      </w:r>
    </w:p>
    <w:p>
      <w:pPr>
        <w:spacing w:after="0" w:line="192"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2.21 </w:t>
      </w:r>
      <w:r>
        <w:rPr>
          <w:rFonts w:ascii="Arial" w:cs="Arial" w:eastAsia="Arial" w:hAnsi="Arial"/>
          <w:sz w:val="16"/>
          <w:szCs w:val="16"/>
          <w:u w:val="single" w:color="auto"/>
          <w:color w:val="auto"/>
        </w:rPr>
        <w:t>Returned Payments</w:t>
      </w:r>
      <w:r>
        <w:rPr>
          <w:rFonts w:ascii="Arial" w:cs="Arial" w:eastAsia="Arial" w:hAnsi="Arial"/>
          <w:sz w:val="16"/>
          <w:szCs w:val="16"/>
          <w:color w:val="auto"/>
        </w:rPr>
        <w:t>. If after receipt of any payment which is applied to the payment of all or any part of the Obligations,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w:t>
      </w:r>
    </w:p>
    <w:p>
      <w:pPr>
        <w:spacing w:after="0" w:line="16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2.22 </w:t>
      </w:r>
      <w:r>
        <w:rPr>
          <w:rFonts w:ascii="Arial" w:cs="Arial" w:eastAsia="Arial" w:hAnsi="Arial"/>
          <w:sz w:val="17"/>
          <w:szCs w:val="17"/>
          <w:u w:val="single" w:color="auto"/>
          <w:color w:val="auto"/>
        </w:rPr>
        <w:t>Banking Services and Swap Agreements</w:t>
      </w:r>
      <w:r>
        <w:rPr>
          <w:rFonts w:ascii="Arial" w:cs="Arial" w:eastAsia="Arial" w:hAnsi="Arial"/>
          <w:sz w:val="17"/>
          <w:szCs w:val="17"/>
          <w:color w:val="auto"/>
        </w:rPr>
        <w:t>. Each Lender or Affiliate thereof providing Banking Services for, or having Swap Agreements with, any Loan Party, or providing Foreign Credit Extensions to any Foreign Subsidiary, shall deliver to the Administrative Agent, promptly after entering into such Banking Services, Swap Agreements or Foreign Credit Extensions, written notice setting forth the aggregate amount of all Banking Services Obligations and Swap Agreement Obligations of such Loan Party to such Lender or Affiliate or the aggregate amount of all Foreign Credit Extensions by such Lender to such Foreign Subsidiary, as applicable (in each case, whether matured or unmatured, absolute or contingent). In furtherance of that requirement, each such Lender or Affiliate thereof shall furnish the Administrative Agent, from time to time after a significant change therein or upon a request therefor, a summary of the amounts due or to become due in respect of such Banking Services Obligations, Swap Agreement Obligations and Foreign Credit Extensions. The most recent information provided to the Administrative Agent shall be used in determining which tier of the waterfall, contained in Section 2.18(b), such Banking Services Obligations, Swap Agreement Obligations and/or Foreign Credit Extensions will be placed.</w:t>
      </w:r>
    </w:p>
    <w:p>
      <w:pPr>
        <w:spacing w:after="0" w:line="185"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SECTION 2.23 </w:t>
      </w:r>
      <w:r>
        <w:rPr>
          <w:rFonts w:ascii="Arial" w:cs="Arial" w:eastAsia="Arial" w:hAnsi="Arial"/>
          <w:sz w:val="17"/>
          <w:szCs w:val="17"/>
          <w:u w:val="single" w:color="auto"/>
          <w:color w:val="auto"/>
        </w:rPr>
        <w:t>Excess Resulting From Exchange Rate Change</w:t>
      </w:r>
      <w:r>
        <w:rPr>
          <w:rFonts w:ascii="Arial" w:cs="Arial" w:eastAsia="Arial" w:hAnsi="Arial"/>
          <w:sz w:val="17"/>
          <w:szCs w:val="17"/>
          <w:color w:val="auto"/>
        </w:rPr>
        <w:t xml:space="preserve">. (a) With respect to the Canadian Commitments, at any time following one or more fluctuations in the exchange rate of the Canadian Dollar against the dollar, (i) the aggregate Canadian Revolving Exposure of the Canadian Lenders exceeds the lesser of: (A) the Canadian Borrowing Base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U.S. Availability, or (B) (x) the Canadian Sublimit minus (y) the sum of (1) the Priority Payables Reserve, (2) the Rent Reserve and (3) the Wage Earner Protection Act Reserve, or (ii) the aggregate Canadian Obligations exceeds any other limit based on dollars set forth herein for such Canadian Obligations, the Canadian Borrowers shall (A) if such excess is an aggregate amount that is less than $1,000,000 and such excess continues to exist in an aggregate amount less than $1,000,000 for at least five Business Days, within two Business Days of notice from the Administrative Agent, (B) if such excess is in an aggregate amount that is greater than or equal to $1,000,000 but less than $5,000,000, within two Business Days of notice from the Administrative Agent, or (C) if such excess is in an aggregate amount greater than or equal to $5,000,000 or if any Event of Default has occurred and is continuing, immediately, (x) make the necessary payments or repayments to reduce such Canadian Obligations to an amount necessary to eliminate such excess or (y) maintain or cause to be maintained with the Administrative Agent (for the benefit of the Canadian Lender Parties) deposits as continuing collateral security for the Canadian Obligations in an amount equal to or greater than the amount of such excess, such deposits to be maintained in such form and upon such terms as are acceptable to the Administrative Agent. Without in any way limiting the foregoing provisions, the Administrative Agent shall, weekly or more frequently in the sole discretion of the Administrative Agent, make the necessary exchange rate calculations to determine whether any such excess exists on such date and advise the Borrowers if such excess exists.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116" w:name="page117"/>
    <w:bookmarkEnd w:id="116"/>
    <w:p>
      <w:pPr>
        <w:ind w:left="4" w:right="40" w:firstLine="436"/>
        <w:spacing w:after="0" w:line="284" w:lineRule="auto"/>
        <w:tabs>
          <w:tab w:leader="none" w:pos="699" w:val="left"/>
        </w:tabs>
        <w:numPr>
          <w:ilvl w:val="1"/>
          <w:numId w:val="1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respect to the U.S. Commitments, at any time following one or more fluctuations in the exchange rate of any LC Alternative Currency against the dollar, (i) the sum of the aggregate U.S. Revolving Exposure of the U.S. Lenders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Canadian U.S. Borrowing Base Utilization exceeds the lesser of: (A) the U.S. Borrowing Base, or (B) (x) the total U.S. Commitments minus (y) the sum of (1) the Priority Payables Reserve, (2) the Rent Reserve and (3) the Wage Earner Protection Act Reserve, or (ii) the aggregate U.S. Obligations exceeds any other limit based on dollars set forth herein for such U.S. Obligations, the U.S. Borrowers shall (A) if such excess is an aggregate amount that is less than $1,000,000 and such excess continues to exist in an aggregate amount less than $1,000,000 for at least five Business Days, within two Business Days of notice from the Administrative Agent,</w:t>
      </w:r>
    </w:p>
    <w:p>
      <w:pPr>
        <w:spacing w:after="0" w:line="4" w:lineRule="exact"/>
        <w:rPr>
          <w:rFonts w:ascii="Arial" w:cs="Arial" w:eastAsia="Arial" w:hAnsi="Arial"/>
          <w:sz w:val="16"/>
          <w:szCs w:val="16"/>
          <w:color w:val="auto"/>
        </w:rPr>
      </w:pPr>
    </w:p>
    <w:p>
      <w:pPr>
        <w:ind w:left="4" w:right="40" w:hanging="4"/>
        <w:spacing w:after="0" w:line="268" w:lineRule="auto"/>
        <w:tabs>
          <w:tab w:leader="none" w:pos="289"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if such excess is in an aggregate amount that is greater than or equal to $1,000,000 but less than $5,000,000, within two Business Days of notice from the Administrative Agent, or (C) if such excess is in an aggregate amount greater than or equal to $5,000,000 or if any Event of Default has occurred and is continuing, immediately, (x) make the necessary payments or repayments to reduce such U.S. Obligations to an amount necessary to eliminate such excess or (y) maintain or cause to be maintained with the Administrative Agent (for the benefit of the Lender Parties) deposits as continuing collateral security for the Obligations in an amount equal to or greater than the amount of such excess, such deposits to be maintained in such form and upon such terms as are acceptable to the Administrative Agent. Without in any way limiting the foregoing provisions, the Administrative Agent shall, weekly or more frequently in the sole discretion of the Administrative Agent, make the necessary exchange rate calculations to determine whether any such excess exists on such date and advise the Borrowers if such excess exists.</w:t>
      </w:r>
    </w:p>
    <w:p>
      <w:pPr>
        <w:spacing w:after="0" w:line="75" w:lineRule="exact"/>
        <w:rPr>
          <w:rFonts w:ascii="Arial" w:cs="Arial" w:eastAsia="Arial" w:hAnsi="Arial"/>
          <w:sz w:val="17"/>
          <w:szCs w:val="17"/>
          <w:color w:val="auto"/>
        </w:rPr>
      </w:pPr>
    </w:p>
    <w:p>
      <w:pPr>
        <w:ind w:left="4" w:right="140" w:firstLine="436"/>
        <w:spacing w:after="0" w:line="273" w:lineRule="auto"/>
        <w:tabs>
          <w:tab w:leader="none" w:pos="689" w:val="left"/>
        </w:tabs>
        <w:numPr>
          <w:ilvl w:val="1"/>
          <w:numId w:val="104"/>
        </w:numPr>
        <w:rPr>
          <w:rFonts w:ascii="Arial" w:cs="Arial" w:eastAsia="Arial" w:hAnsi="Arial"/>
          <w:sz w:val="17"/>
          <w:szCs w:val="17"/>
          <w:color w:val="auto"/>
        </w:rPr>
      </w:pPr>
      <w:r>
        <w:rPr>
          <w:rFonts w:ascii="Arial" w:cs="Arial" w:eastAsia="Arial" w:hAnsi="Arial"/>
          <w:sz w:val="17"/>
          <w:szCs w:val="17"/>
          <w:color w:val="auto"/>
        </w:rPr>
        <w:t>If one or more of the U.S. Borrowers provide cash collateral to secure obligations related to U.S. Letters of Credit that are denominated in an LC Alternative Currency (including, without limitation, pursuant to Section 2.06(k), 2.10(b) or 2.18(b)) and, as a result of fluctuations in the applicable exchange rate between dollars and the applicable LC Alternative Currency, the Dollar Amount in dollars of cash collateral held by the Administrative Agent is less than the specified amount of cash collateral so required to be maintained by the U.S. Borrowers, the U.S. Borrowers shall, promptly following a request therefor by the Administrative Agent, deposit in the LC Collateral Account an additional amount of cash collateral in dollars equal to such shortfall to be held as cash collateral in accordance with Section 2.06(k).</w:t>
      </w:r>
    </w:p>
    <w:p>
      <w:pPr>
        <w:spacing w:after="0" w:line="3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ARTICLE III. </w:t>
      </w: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Each of Holdings and each Borrower represents and warrants to the Lenders that (and by its execution of the Loan Guaranty to which it is a party, each other Loan Party represents and warrants to the Lenders that):</w:t>
      </w:r>
    </w:p>
    <w:p>
      <w:pPr>
        <w:spacing w:after="0" w:line="170" w:lineRule="exact"/>
        <w:rPr>
          <w:sz w:val="20"/>
          <w:szCs w:val="20"/>
          <w:color w:val="auto"/>
        </w:rPr>
      </w:pPr>
    </w:p>
    <w:p>
      <w:pPr>
        <w:ind w:left="4" w:firstLine="440"/>
        <w:spacing w:after="0" w:line="286"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Powers</w:t>
      </w:r>
      <w:r>
        <w:rPr>
          <w:rFonts w:ascii="Arial" w:cs="Arial" w:eastAsia="Arial" w:hAnsi="Arial"/>
          <w:sz w:val="17"/>
          <w:szCs w:val="17"/>
          <w:color w:val="auto"/>
        </w:rPr>
        <w:t>. Each of the Loan Parties is duly organized, validly existing and in good standing under the laws of the jurisdiction of its organization, has all requisite power and authority to carry on its business as now conducted and is qualified to do business in, and is in good standing in, every jurisdiction where the failure to so qualify would reasonably be expected to have a Material Adverse Effect.</w:t>
      </w:r>
    </w:p>
    <w:p>
      <w:pPr>
        <w:spacing w:after="0" w:line="165" w:lineRule="exact"/>
        <w:rPr>
          <w:sz w:val="20"/>
          <w:szCs w:val="20"/>
          <w:color w:val="auto"/>
        </w:rPr>
      </w:pPr>
    </w:p>
    <w:p>
      <w:pPr>
        <w:ind w:left="4" w:right="160" w:firstLine="440"/>
        <w:spacing w:after="0" w:line="275"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The Transactions are within each Loan Party’s organizational powers and have been duly authorized by all necessary organizational actions and, if required, actions by equity holders. The Loan Documents to which each Loan Party is a party have been duly executed and delivered by such Loan Party and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6"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Transactions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any Loan Party, (c) will not violate or result in a default under any Material Indebtedness, or give rise to a right thereunder to require any payment to be made by any Loan Party,</w:t>
      </w:r>
    </w:p>
    <w:p>
      <w:pPr>
        <w:spacing w:after="0" w:line="1" w:lineRule="exact"/>
        <w:rPr>
          <w:sz w:val="20"/>
          <w:szCs w:val="20"/>
          <w:color w:val="auto"/>
        </w:rPr>
      </w:pPr>
    </w:p>
    <w:p>
      <w:pPr>
        <w:jc w:val="both"/>
        <w:ind w:left="4" w:right="420" w:hanging="4"/>
        <w:spacing w:after="0" w:line="255" w:lineRule="auto"/>
        <w:tabs>
          <w:tab w:leader="none" w:pos="25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will not violate the certificate of incorporation, by-laws, memorandum of association, management, operating or partnership agreement or other organizational documents of any Loan Party, and (e) except where failure to comply would not reasonably be expected to have a Material Adverse Effect, will not result in the</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4"/>
          </w:cols>
          <w:pgMar w:left="436" w:top="274" w:right="439" w:bottom="1440" w:gutter="0" w:footer="0" w:header="0"/>
        </w:sectPr>
      </w:pPr>
    </w:p>
    <w:bookmarkStart w:id="117" w:name="page118"/>
    <w:bookmarkEnd w:id="11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creation or imposition of any Lien on any asset of any Loan Party, except Liens created pursuant to the Loan Documents.</w:t>
      </w:r>
    </w:p>
    <w:p>
      <w:pPr>
        <w:spacing w:after="0" w:line="225" w:lineRule="exact"/>
        <w:rPr>
          <w:sz w:val="20"/>
          <w:szCs w:val="20"/>
          <w:color w:val="auto"/>
        </w:rPr>
      </w:pPr>
    </w:p>
    <w:p>
      <w:pPr>
        <w:ind w:left="4" w:right="40" w:firstLine="440"/>
        <w:spacing w:after="0" w:line="301"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Financial Condition; No Material Adverse Effect</w:t>
      </w:r>
      <w:r>
        <w:rPr>
          <w:rFonts w:ascii="Arial" w:cs="Arial" w:eastAsia="Arial" w:hAnsi="Arial"/>
          <w:sz w:val="16"/>
          <w:szCs w:val="16"/>
          <w:color w:val="auto"/>
        </w:rPr>
        <w:t>. The financial statements delivered pursuant to Section 4.01(b), present fairly, in all material respects, the financial position and results of operations and cash flows of, as applicable Holdings and its consolidated subsidiaries or Anixter, Inc. and its consolidated subsidiaries, in each case as of the dates and periods specified in Section 4.01(b) in accordance with GAAP, subject to normal year-end audit adjustments and the absence of footnotes in the case of the quarterly financial statements referred to in Section 4.01(b).</w:t>
      </w:r>
    </w:p>
    <w:p>
      <w:pPr>
        <w:spacing w:after="0" w:line="49" w:lineRule="exact"/>
        <w:rPr>
          <w:sz w:val="20"/>
          <w:szCs w:val="20"/>
          <w:color w:val="auto"/>
        </w:rPr>
      </w:pPr>
    </w:p>
    <w:p>
      <w:pPr>
        <w:ind w:left="4" w:right="900" w:firstLine="436"/>
        <w:spacing w:after="0" w:line="277" w:lineRule="auto"/>
        <w:tabs>
          <w:tab w:leader="none" w:pos="68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 event, change or condition has occurred that has had, or could reasonably be expected to have, a Material Adverse Effect, since December 31, 2019.</w:t>
      </w:r>
    </w:p>
    <w:p>
      <w:pPr>
        <w:spacing w:after="0" w:line="170" w:lineRule="exact"/>
        <w:rPr>
          <w:sz w:val="20"/>
          <w:szCs w:val="20"/>
          <w:color w:val="auto"/>
        </w:rPr>
      </w:pPr>
    </w:p>
    <w:p>
      <w:pPr>
        <w:ind w:left="4" w:right="40" w:firstLine="440"/>
        <w:spacing w:after="0" w:line="271"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Properties</w:t>
      </w:r>
      <w:r>
        <w:rPr>
          <w:rFonts w:ascii="Arial" w:cs="Arial" w:eastAsia="Arial" w:hAnsi="Arial"/>
          <w:sz w:val="17"/>
          <w:szCs w:val="17"/>
          <w:color w:val="auto"/>
        </w:rPr>
        <w:t xml:space="preserve">. (a) As of the Fourth Restatement Date, </w:t>
      </w:r>
      <w:r>
        <w:rPr>
          <w:rFonts w:ascii="Arial" w:cs="Arial" w:eastAsia="Arial" w:hAnsi="Arial"/>
          <w:sz w:val="17"/>
          <w:szCs w:val="17"/>
          <w:u w:val="single" w:color="auto"/>
          <w:color w:val="auto"/>
        </w:rPr>
        <w:t>Schedule 3.05</w:t>
      </w:r>
      <w:r>
        <w:rPr>
          <w:rFonts w:ascii="Arial" w:cs="Arial" w:eastAsia="Arial" w:hAnsi="Arial"/>
          <w:sz w:val="17"/>
          <w:szCs w:val="17"/>
          <w:color w:val="auto"/>
        </w:rPr>
        <w:t xml:space="preserve"> sets forth the address of each parcel of real property that is owned or leased by any Loan Party and at which ABL Priority Collateral is located. Except as would not reasonably be expected to result in a Material Adverse Effect, (x) each of such leases and subleases is valid and enforceable in accordance with its terms and is in full force and effect (subject to applicable bankruptcy, insolvency, reorganization, moratorium or other laws affecting creditors’ rights generally and subject to general principles of equity, regardless of whether considered a proceeding in equity or at law), and (y) no default by any Loan Party to any such lease or sublease exists. Each Loan Party and each Restricted Subsidiary has good and indefeasible title to, or valid leasehold interests in, all of its real and personal property, except where the failure to have such title or interests, individually or in the aggregate, would not reasonably be expected to result in a Material Adverse Effect. Such real and personal property is free of all Liens other than those permitted by Section 6.02.</w:t>
      </w:r>
    </w:p>
    <w:p>
      <w:pPr>
        <w:spacing w:after="0" w:line="70" w:lineRule="exact"/>
        <w:rPr>
          <w:sz w:val="20"/>
          <w:szCs w:val="20"/>
          <w:color w:val="auto"/>
        </w:rPr>
      </w:pPr>
    </w:p>
    <w:p>
      <w:pPr>
        <w:ind w:left="4" w:firstLine="436"/>
        <w:spacing w:after="0" w:line="257" w:lineRule="auto"/>
        <w:tabs>
          <w:tab w:leader="none" w:pos="69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Loan Party and each Subsidiary owns, or is licensed to use, all trademarks, tradenames, copyrights, patents and other intellectual property necessary to its business as currently conducted, and the use thereof by the Loan Parties and their Restricted Subsidiaries does not infringe in any material respect upon the rights of any other Person, and the Loan Parties’ rights thereto are not subject to any licensing agreement or similar arrangement, except in each case where the failure to do so could not reasonably be expected, individually or in the aggregate, to result in a Material Adverse Effect.</w:t>
      </w:r>
    </w:p>
    <w:p>
      <w:pPr>
        <w:spacing w:after="0" w:line="188"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Litigation and Environmental Matters</w:t>
      </w:r>
      <w:r>
        <w:rPr>
          <w:rFonts w:ascii="Arial" w:cs="Arial" w:eastAsia="Arial" w:hAnsi="Arial"/>
          <w:sz w:val="16"/>
          <w:szCs w:val="16"/>
          <w:color w:val="auto"/>
        </w:rPr>
        <w:t>. (a) There are no actions, suits or proceedings by or before any arbitrator or Governmental Authority pending against or, to the knowledge of any Loan Party, threatened in writing against or affecting the Loan Parties or any of their Subsidiaries</w:t>
      </w:r>
    </w:p>
    <w:p>
      <w:pPr>
        <w:ind w:left="224" w:hanging="224"/>
        <w:spacing w:after="0"/>
        <w:tabs>
          <w:tab w:leader="none" w:pos="22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which could reasonably be expected, individually or in the aggregate, to result in a Material Adverse Effect (other than the Disclosed Matters) or</w:t>
      </w:r>
    </w:p>
    <w:p>
      <w:pPr>
        <w:spacing w:after="0" w:line="20" w:lineRule="exact"/>
        <w:rPr>
          <w:rFonts w:ascii="Arial" w:cs="Arial" w:eastAsia="Arial" w:hAnsi="Arial"/>
          <w:sz w:val="17"/>
          <w:szCs w:val="17"/>
          <w:color w:val="auto"/>
        </w:rPr>
      </w:pPr>
    </w:p>
    <w:p>
      <w:pPr>
        <w:ind w:left="264" w:hanging="264"/>
        <w:spacing w:after="0"/>
        <w:tabs>
          <w:tab w:leader="none" w:pos="26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that involve this Agreement or the Transactions.</w:t>
      </w:r>
    </w:p>
    <w:p>
      <w:pPr>
        <w:spacing w:after="0" w:line="102" w:lineRule="exact"/>
        <w:rPr>
          <w:rFonts w:ascii="Arial" w:cs="Arial" w:eastAsia="Arial" w:hAnsi="Arial"/>
          <w:sz w:val="18"/>
          <w:szCs w:val="18"/>
          <w:color w:val="auto"/>
        </w:rPr>
      </w:pPr>
    </w:p>
    <w:p>
      <w:pPr>
        <w:ind w:left="4" w:firstLine="436"/>
        <w:spacing w:after="0" w:line="257" w:lineRule="auto"/>
        <w:tabs>
          <w:tab w:leader="none" w:pos="69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Except for the Disclosed Matters and except with respect to any other matters that, individually or in the aggregate, would not reasonably be expected to result in a Material Adverse Effect, (i) no Loan Party nor any Restricted Subsidiary has received notice of any claim with respect to any Environmental Liability or knows of any basis for any Environmental Liability and (ii) no Loan Party nor any Restricted Subsidiary (A) has failed to comply with any Environmental Law or to obtain, maintain or comply with any permit, license or other approval required under any Environmental Law or (B) has become subject to any known Environmental Liability.</w:t>
      </w:r>
    </w:p>
    <w:p>
      <w:pPr>
        <w:spacing w:after="0" w:line="79" w:lineRule="exact"/>
        <w:rPr>
          <w:rFonts w:ascii="Arial" w:cs="Arial" w:eastAsia="Arial" w:hAnsi="Arial"/>
          <w:sz w:val="18"/>
          <w:szCs w:val="18"/>
          <w:color w:val="auto"/>
        </w:rPr>
      </w:pPr>
    </w:p>
    <w:p>
      <w:pPr>
        <w:ind w:left="4" w:right="200" w:firstLine="436"/>
        <w:spacing w:after="0" w:line="277" w:lineRule="auto"/>
        <w:tabs>
          <w:tab w:leader="none" w:pos="68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Since the Fourth Restatement Date, there has been no change in the status of the Disclosed Matters that, individually or in the aggregate, has resulted, or could reasonably be expected to result, in a Material Adverse Effect.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w:t>
      </w:r>
    </w:p>
    <w:p>
      <w:pPr>
        <w:spacing w:after="0" w:line="117" w:lineRule="exact"/>
        <w:rPr>
          <w:sz w:val="20"/>
          <w:szCs w:val="20"/>
          <w:color w:val="auto"/>
        </w:rPr>
      </w:pPr>
    </w:p>
    <w:p>
      <w:pPr>
        <w:ind w:left="4" w:right="220" w:firstLine="436"/>
        <w:spacing w:after="0" w:line="263" w:lineRule="auto"/>
        <w:tabs>
          <w:tab w:leader="none" w:pos="68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Loan Party and its Restricted Subsidiaries is in compliance with all Requirements of Law applicable to it or its property and all indentures, agreements and other instruments binding upon it or its property, except where the failure to do so, individually or in the aggregate, would not reasonably be expected to result in a Material Adverse Effect. No Default has occurred and is continuing.</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4"/>
          </w:cols>
          <w:pgMar w:left="436" w:top="274" w:right="459" w:bottom="1440" w:gutter="0" w:footer="0" w:header="0"/>
        </w:sectPr>
      </w:pPr>
    </w:p>
    <w:bookmarkStart w:id="118" w:name="page119"/>
    <w:bookmarkEnd w:id="118"/>
    <w:p>
      <w:pPr>
        <w:ind w:left="4" w:right="180" w:firstLine="436"/>
        <w:spacing w:after="0" w:line="259" w:lineRule="auto"/>
        <w:tabs>
          <w:tab w:leader="none" w:pos="699"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Section 3.07(d), no Loan Party nor any of its Subsidiaries is in violation of any Sanctions applicable to the Loan Parties. No Loan Party nor any of its Subsidiaries, nor any director or officer, or any employee, or, to the knowledge of any Loan Party, agent or Affiliate of, any Loan Party or any of its Subsidiaries (i) is a Sanctioned Person, (ii) has its assets located in a Sanctioned Country, or (iii) derives revenues from investments in, or transactions with Sanctioned Persons.</w:t>
      </w:r>
    </w:p>
    <w:p>
      <w:pPr>
        <w:spacing w:after="0" w:line="78" w:lineRule="exact"/>
        <w:rPr>
          <w:rFonts w:ascii="Arial" w:cs="Arial" w:eastAsia="Arial" w:hAnsi="Arial"/>
          <w:sz w:val="18"/>
          <w:szCs w:val="18"/>
          <w:color w:val="auto"/>
        </w:rPr>
      </w:pPr>
    </w:p>
    <w:p>
      <w:pPr>
        <w:ind w:left="4" w:right="140" w:firstLine="436"/>
        <w:spacing w:after="0" w:line="311" w:lineRule="auto"/>
        <w:tabs>
          <w:tab w:leader="none" w:pos="68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Subject to Section 3.07(d), none of the transactions contemplated by the Loan Documents violates the Canadian Economic Sanctions and Export Control Laws. Furthermore, no Loan Party nor any Subsidiary thereof is a Canadian Blocked Person and, to the actual knowledge of each Loan Party, no Loan Party or Subsidiary thereof engages in any dealings or transactions, or is otherwise associated, with a Canadian Blocked Person.</w:t>
      </w:r>
    </w:p>
    <w:p>
      <w:pPr>
        <w:spacing w:after="0" w:line="40" w:lineRule="exact"/>
        <w:rPr>
          <w:rFonts w:ascii="Arial" w:cs="Arial" w:eastAsia="Arial" w:hAnsi="Arial"/>
          <w:sz w:val="16"/>
          <w:szCs w:val="16"/>
          <w:color w:val="auto"/>
        </w:rPr>
      </w:pPr>
    </w:p>
    <w:p>
      <w:pPr>
        <w:ind w:left="4" w:right="40" w:firstLine="436"/>
        <w:spacing w:after="0" w:line="263" w:lineRule="auto"/>
        <w:tabs>
          <w:tab w:leader="none" w:pos="69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representations and warranties provided for in Sections 3.07(b) and (c) shall only apply to any Loan Party and its respective Subsidiaries which is bound by any Blocking Regulation insofar as the giving thereof and compliance therewith do not and will not result in a violation of or conflict with or liability under any Blocking Regulation.</w:t>
      </w:r>
    </w:p>
    <w:p>
      <w:pPr>
        <w:spacing w:after="0" w:line="184"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No Loan Party nor any Restricted Subsidiary is an “</w:t>
      </w:r>
      <w:r>
        <w:rPr>
          <w:rFonts w:ascii="Arial" w:cs="Arial" w:eastAsia="Arial" w:hAnsi="Arial"/>
          <w:sz w:val="18"/>
          <w:szCs w:val="18"/>
          <w:u w:val="single" w:color="auto"/>
          <w:color w:val="auto"/>
        </w:rPr>
        <w:t>investment company</w:t>
      </w:r>
      <w:r>
        <w:rPr>
          <w:rFonts w:ascii="Arial" w:cs="Arial" w:eastAsia="Arial" w:hAnsi="Arial"/>
          <w:sz w:val="18"/>
          <w:szCs w:val="18"/>
          <w:color w:val="auto"/>
        </w:rPr>
        <w:t>” as defined in, or subject to regulation under, the Investment Company Act of 1940.</w:t>
      </w:r>
    </w:p>
    <w:p>
      <w:pPr>
        <w:spacing w:after="0" w:line="170" w:lineRule="exact"/>
        <w:rPr>
          <w:sz w:val="20"/>
          <w:szCs w:val="20"/>
          <w:color w:val="auto"/>
        </w:rPr>
      </w:pPr>
    </w:p>
    <w:p>
      <w:pPr>
        <w:ind w:left="4" w:right="40" w:firstLine="440"/>
        <w:spacing w:after="0" w:line="296"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Taxes</w:t>
      </w:r>
      <w:r>
        <w:rPr>
          <w:rFonts w:ascii="Arial" w:cs="Arial" w:eastAsia="Arial" w:hAnsi="Arial"/>
          <w:sz w:val="16"/>
          <w:szCs w:val="16"/>
          <w:color w:val="auto"/>
        </w:rPr>
        <w:t>. Each Loan Party and its Restricted Subsidiaries has timely filed or caused to be filed all Tax returns and reports required to have been filed and has paid or caused to be paid all Taxes required to have been paid by or with respect to it, except (a)(i) Taxes that are being contested in good faith by appropriate proceedings and (ii) for which such Loan Party or such Restricted Subsidiary, as applicable, has set aside on its books adequate reserves, or (b) to the extent the failure to file such Tax returns or pay such Taxes could not reasonably be expected to result in a Material Adverse Effect. No Liens for Taxes (other than Permitted Encumbrances) have been filed with respect to any such Taxes.</w:t>
      </w:r>
    </w:p>
    <w:p>
      <w:pPr>
        <w:spacing w:after="0" w:line="161" w:lineRule="exact"/>
        <w:rPr>
          <w:sz w:val="20"/>
          <w:szCs w:val="20"/>
          <w:color w:val="auto"/>
        </w:rPr>
      </w:pPr>
    </w:p>
    <w:p>
      <w:pPr>
        <w:ind w:left="4" w:right="160" w:firstLine="440"/>
        <w:spacing w:after="0" w:line="296"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ERISA; Canadian Pension Plans</w:t>
      </w:r>
      <w:r>
        <w:rPr>
          <w:rFonts w:ascii="Arial" w:cs="Arial" w:eastAsia="Arial" w:hAnsi="Arial"/>
          <w:sz w:val="16"/>
          <w:szCs w:val="16"/>
          <w:color w:val="auto"/>
        </w:rPr>
        <w:t>. (a) No ERISA Event has occurred or is reasonably expected to occur that, when taken together with all other such ERISA Events for which liability is reasonably expected to occur, would reasonably be expected to result in a Material Adverse Effect. The present value of all accumulated benefit obligations under each Plan (based on the assumptions used for purposes of Financial Accounting Standards Board Accounting Standards Codification 715-30) did not, as of the date of the most recent financial statements reflecting such amounts, exceed the fair market value of the assets of such Plan by an amount that would reasonably be expected to have a Material Adverse Effect.</w:t>
      </w:r>
    </w:p>
    <w:p>
      <w:pPr>
        <w:spacing w:after="0" w:line="53" w:lineRule="exact"/>
        <w:rPr>
          <w:sz w:val="20"/>
          <w:szCs w:val="20"/>
          <w:color w:val="auto"/>
        </w:rPr>
      </w:pPr>
    </w:p>
    <w:p>
      <w:pPr>
        <w:ind w:left="4" w:right="140" w:firstLine="436"/>
        <w:spacing w:after="0" w:line="285" w:lineRule="auto"/>
        <w:tabs>
          <w:tab w:leader="none" w:pos="699" w:val="left"/>
        </w:tabs>
        <w:numPr>
          <w:ilvl w:val="1"/>
          <w:numId w:val="111"/>
        </w:numPr>
        <w:rPr>
          <w:rFonts w:ascii="Arial" w:cs="Arial" w:eastAsia="Arial" w:hAnsi="Arial"/>
          <w:sz w:val="16"/>
          <w:szCs w:val="16"/>
          <w:color w:val="auto"/>
        </w:rPr>
      </w:pPr>
      <w:r>
        <w:rPr>
          <w:rFonts w:ascii="Arial" w:cs="Arial" w:eastAsia="Arial" w:hAnsi="Arial"/>
          <w:sz w:val="16"/>
          <w:szCs w:val="16"/>
          <w:color w:val="auto"/>
        </w:rPr>
        <w:t xml:space="preserve">Each Canadian Loan Party and its Subsidiaries is in compliance with the requirements of the </w:t>
      </w:r>
      <w:r>
        <w:rPr>
          <w:rFonts w:ascii="Arial" w:cs="Arial" w:eastAsia="Arial" w:hAnsi="Arial"/>
          <w:sz w:val="16"/>
          <w:szCs w:val="16"/>
          <w:i w:val="1"/>
          <w:iCs w:val="1"/>
          <w:color w:val="auto"/>
        </w:rPr>
        <w:t>Pension Benefits Act</w:t>
      </w:r>
      <w:r>
        <w:rPr>
          <w:rFonts w:ascii="Arial" w:cs="Arial" w:eastAsia="Arial" w:hAnsi="Arial"/>
          <w:sz w:val="16"/>
          <w:szCs w:val="16"/>
          <w:color w:val="auto"/>
        </w:rPr>
        <w:t xml:space="preserve"> (Ontario) and other federal or provincial laws with respect to each Canadian Pension Plan, except where the failure to so comply would not reasonably be expected to have a Material Adverse Effect. No fact or situation that may reasonably be expected to result in a Material Adverse Effect exists in connection with any Canadian Pension Plan. No Pension Event has occurred which has resulted or would reasonably be expected to result in any Loan Party incurring any liability which would reasonably be expected to have a Material Adverse Effect. Except where failure to comply with the following clauses (i) through</w:t>
      </w:r>
    </w:p>
    <w:p>
      <w:pPr>
        <w:spacing w:after="0" w:line="1" w:lineRule="exact"/>
        <w:rPr>
          <w:rFonts w:ascii="Arial" w:cs="Arial" w:eastAsia="Arial" w:hAnsi="Arial"/>
          <w:sz w:val="16"/>
          <w:szCs w:val="16"/>
          <w:color w:val="auto"/>
        </w:rPr>
      </w:pPr>
    </w:p>
    <w:p>
      <w:pPr>
        <w:ind w:left="4" w:hanging="4"/>
        <w:spacing w:after="0" w:line="286" w:lineRule="auto"/>
        <w:tabs>
          <w:tab w:leader="none" w:pos="30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would not reasonably be expected to have a Material Adverse Effect: (i) all contributions required to be made by a Loan Party or any of its Subsidiaries under the Canadian Union Plans have been made in the amounts and in the manner set forth in the applicable collective agreement, (ii) as of the Fourth Restatement Date, except as set forth on </w:t>
      </w:r>
      <w:r>
        <w:rPr>
          <w:rFonts w:ascii="Arial" w:cs="Arial" w:eastAsia="Arial" w:hAnsi="Arial"/>
          <w:sz w:val="16"/>
          <w:szCs w:val="16"/>
          <w:u w:val="single" w:color="auto"/>
          <w:color w:val="auto"/>
        </w:rPr>
        <w:t>Schedule 3.10</w:t>
      </w:r>
      <w:r>
        <w:rPr>
          <w:rFonts w:ascii="Arial" w:cs="Arial" w:eastAsia="Arial" w:hAnsi="Arial"/>
          <w:sz w:val="16"/>
          <w:szCs w:val="16"/>
          <w:color w:val="auto"/>
        </w:rPr>
        <w:t>, each Canadian Pension Plan has no solvency deficiency and is funded as required under the most recent actuarial valuation filed with the applicable Governmental Authority pursuant to generally accepted actuarial practices and principles, (iii) all contributions (including employee contributions made by authorized payroll deductions or other withholdings) required to be made to the appropriate funding agency in accordance with all applicable laws and the terms of each Canadian Pension Plan have been made in accordance with all applicable laws and the terms of each Canadian Pension Plan, and (iv) all contributions required to be made by a Loan Party or any of its Subsidiaries under the Canadian Union Plans have been made, and the sole obligation of a Loan Party or any of its Subsidiaries under any Canadian Union Plan is to make contributions to the Canadian Union Plan, in the amounts and in the manner set forth in the applicable collective agreement.</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4"/>
          </w:cols>
          <w:pgMar w:left="436" w:top="274" w:right="459" w:bottom="1440" w:gutter="0" w:footer="0" w:header="0"/>
        </w:sectPr>
      </w:pPr>
    </w:p>
    <w:bookmarkStart w:id="119" w:name="page120"/>
    <w:bookmarkEnd w:id="119"/>
    <w:p>
      <w:pPr>
        <w:ind w:left="4" w:right="2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3.11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No report, financial statement, certificate or other information (other than projections, forward-looking statements and statements of a general economic nature) furnished by or on behalf of any Loan Party to the Administrative Agent or any Lender in connection with the negotiation of this Agreement or any other Loan Document (as modified or supplemented by other information so furnished), when taken as a whole,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the Projections and any other projected financial information or forecasts, the Borrowers and Holdings represent only that such information and materials have been prepared in good faith on the basis of the assumptions stated therein, which assumptions were believed by the Loan Parties to be reasonable at the time delivered and, if such projected financial information was delivered prior to the Fourth Restatement Date, as of the Fourth Restatement Date, it being understood and agreed that such Projections and such other projected financial information or forecasts are subject to uncertainties and contingencies, many of which are beyond the control of the Loan Parties, and as such, such Projections and other projected financial information or forecasts are not a guarantee of financial performance and actual results may differ from such Projections and other projected financial information or forecasts and such differences may be material.</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Solvency</w:t>
      </w:r>
      <w:r>
        <w:rPr>
          <w:rFonts w:ascii="Arial" w:cs="Arial" w:eastAsia="Arial" w:hAnsi="Arial"/>
          <w:sz w:val="16"/>
          <w:szCs w:val="16"/>
          <w:color w:val="auto"/>
        </w:rPr>
        <w:t>. (a) Immediately after the consummation of the Transactions to occur on the Fourth Restatement Date, (i) the fair value of the assets of the U.S. Borrowers, taken as a whole, at a fair valuation, will exceed their debts and liabilities, subordinated, contingent or otherwise;</w:t>
      </w:r>
    </w:p>
    <w:p>
      <w:pPr>
        <w:ind w:left="4" w:hanging="4"/>
        <w:spacing w:after="0" w:line="290" w:lineRule="auto"/>
        <w:tabs>
          <w:tab w:leader="none" w:pos="26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the present fair saleable value of the property of the U.S. Borrowers, taken as a whole, will be greater than the amount that will be required to pay the probable liability of their debts and other liabilities, subordinated, contingent or otherwise, as such debts and other liabilities become absolute and matured; (iii) the U.S. Borrowers, taken as a whole, will be able to pay their debts and liabilities, subordinated, contingent or otherwise, as such debts and liabilities become absolute and matured; (iv) the U.S. Borrowers, taken as a whole, will not have unreasonably small capital with which to conduct the business in which they are engaged as such business is now conducted and is proposed to be conducted after the Fourth Restatement Date, and (v) no Canadian Borrower shall be an “insolvent person” as such term is defined in the </w:t>
      </w:r>
      <w:r>
        <w:rPr>
          <w:rFonts w:ascii="Arial" w:cs="Arial" w:eastAsia="Arial" w:hAnsi="Arial"/>
          <w:sz w:val="16"/>
          <w:szCs w:val="16"/>
          <w:i w:val="1"/>
          <w:iCs w:val="1"/>
          <w:color w:val="auto"/>
        </w:rPr>
        <w:t>Bankruptcy and Insolvency Act</w:t>
      </w:r>
      <w:r>
        <w:rPr>
          <w:rFonts w:ascii="Arial" w:cs="Arial" w:eastAsia="Arial" w:hAnsi="Arial"/>
          <w:sz w:val="16"/>
          <w:szCs w:val="16"/>
          <w:color w:val="auto"/>
        </w:rPr>
        <w:t xml:space="preserve"> (Canada).</w:t>
      </w:r>
    </w:p>
    <w:p>
      <w:pPr>
        <w:spacing w:after="0" w:line="55" w:lineRule="exact"/>
        <w:rPr>
          <w:rFonts w:ascii="Arial" w:cs="Arial" w:eastAsia="Arial" w:hAnsi="Arial"/>
          <w:sz w:val="16"/>
          <w:szCs w:val="16"/>
          <w:color w:val="auto"/>
        </w:rPr>
      </w:pPr>
    </w:p>
    <w:p>
      <w:pPr>
        <w:ind w:left="4" w:right="40" w:firstLine="436"/>
        <w:spacing w:after="0" w:line="286" w:lineRule="auto"/>
        <w:tabs>
          <w:tab w:leader="none" w:pos="699" w:val="left"/>
        </w:tabs>
        <w:numPr>
          <w:ilvl w:val="1"/>
          <w:numId w:val="113"/>
        </w:numPr>
        <w:rPr>
          <w:rFonts w:ascii="Arial" w:cs="Arial" w:eastAsia="Arial" w:hAnsi="Arial"/>
          <w:sz w:val="16"/>
          <w:szCs w:val="16"/>
          <w:color w:val="auto"/>
        </w:rPr>
      </w:pPr>
      <w:r>
        <w:rPr>
          <w:rFonts w:ascii="Arial" w:cs="Arial" w:eastAsia="Arial" w:hAnsi="Arial"/>
          <w:sz w:val="16"/>
          <w:szCs w:val="16"/>
          <w:color w:val="auto"/>
        </w:rPr>
        <w:t>Immediately after the consummation of the Transactions to occur on the Fourth Restatement Date, (i) the fair value of the assets of the Canadian Borrowers, taken as a whole, at a fair valuation, will exceed their debts and liabilities, subordinated, contingent or otherwise; (ii) the present fair saleable value of the property of the Canadian Borrowers, taken as a whole, will be greater than the amount that will be required to pay the probable liability of their debts and other liabilities, subordinated, contingent or otherwise, as such debts and other liabilities become absolute and matured;</w:t>
      </w:r>
    </w:p>
    <w:p>
      <w:pPr>
        <w:spacing w:after="0" w:line="1" w:lineRule="exact"/>
        <w:rPr>
          <w:rFonts w:ascii="Arial" w:cs="Arial" w:eastAsia="Arial" w:hAnsi="Arial"/>
          <w:sz w:val="16"/>
          <w:szCs w:val="16"/>
          <w:color w:val="auto"/>
        </w:rPr>
      </w:pPr>
    </w:p>
    <w:p>
      <w:pPr>
        <w:ind w:left="4" w:right="160" w:hanging="4"/>
        <w:spacing w:after="0" w:line="330" w:lineRule="auto"/>
        <w:tabs>
          <w:tab w:leader="none" w:pos="319"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Canadian Borrowers, taken as a whole, will be able to pay their debts and liabilities, subordinated, contingent or otherwise, as such debts and liabilities become absolute and matured; and (iv) the Canadian Borrowers, taken as a whole, will not have unreasonably small capital with which to conduct the business in which they are engaged as such business is now conducted and is proposed to be conducted after the Fourth Restatement Date.</w:t>
      </w:r>
    </w:p>
    <w:p>
      <w:pPr>
        <w:spacing w:after="0" w:line="30" w:lineRule="exact"/>
        <w:rPr>
          <w:rFonts w:ascii="Arial" w:cs="Arial" w:eastAsia="Arial" w:hAnsi="Arial"/>
          <w:sz w:val="15"/>
          <w:szCs w:val="15"/>
          <w:color w:val="auto"/>
        </w:rPr>
      </w:pPr>
    </w:p>
    <w:p>
      <w:pPr>
        <w:ind w:left="4" w:right="100" w:firstLine="436"/>
        <w:spacing w:after="0" w:line="291" w:lineRule="auto"/>
        <w:tabs>
          <w:tab w:leader="none" w:pos="689" w:val="left"/>
        </w:tabs>
        <w:numPr>
          <w:ilvl w:val="1"/>
          <w:numId w:val="114"/>
        </w:numPr>
        <w:rPr>
          <w:rFonts w:ascii="Arial" w:cs="Arial" w:eastAsia="Arial" w:hAnsi="Arial"/>
          <w:sz w:val="16"/>
          <w:szCs w:val="16"/>
          <w:color w:val="auto"/>
        </w:rPr>
      </w:pPr>
      <w:r>
        <w:rPr>
          <w:rFonts w:ascii="Arial" w:cs="Arial" w:eastAsia="Arial" w:hAnsi="Arial"/>
          <w:sz w:val="16"/>
          <w:szCs w:val="16"/>
          <w:color w:val="auto"/>
        </w:rPr>
        <w:t>Immediately after the consummation of the Transactions to occur on the Fourth Restatement Date, (i) the fair value of the assets of the Loan Parties, taken as a whole, at a fair valuation, will exceed their debts and liabilities, subordinated, contingent or otherwise; (ii) the present fair saleable value of the property of the Loan Parties, taken as a whole, will be greater than the amount that will be required to pay the probable liability of their debts and other liabilities, subordinated, contingent or otherwise, as such debts and other liabilities become absolute and matured; (iii) the Loan Parties, taken as a whole, will be able to pay their debts and liabilities, subordinated, contingent or otherwise, as such debts and liabilities become absolute and matured; and (iv) the Loan Parties, taken as a whole, will not have unreasonably small capital with which to conduct the business in which they are engaged as such business is now conducted and is proposed to be conducted after the Fourth Restatement Date.</w:t>
      </w:r>
    </w:p>
    <w:p>
      <w:pPr>
        <w:spacing w:after="0" w:line="58" w:lineRule="exact"/>
        <w:rPr>
          <w:rFonts w:ascii="Arial" w:cs="Arial" w:eastAsia="Arial" w:hAnsi="Arial"/>
          <w:sz w:val="16"/>
          <w:szCs w:val="16"/>
          <w:color w:val="auto"/>
        </w:rPr>
      </w:pPr>
    </w:p>
    <w:p>
      <w:pPr>
        <w:jc w:val="both"/>
        <w:ind w:left="4" w:firstLine="436"/>
        <w:spacing w:after="0" w:line="263" w:lineRule="auto"/>
        <w:tabs>
          <w:tab w:leader="none" w:pos="69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Loan Parties and their Restricted Subsidiaries (taken as a whole) do not intend to incur debts beyond their ability to pay such debts as they mature, taking into account the timing of and amounts of cash to be received by the Loan Parties and their Restricted Subsidiaries (taken as a whole) and the timing of the amounts of cash</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4"/>
          </w:cols>
          <w:pgMar w:left="436" w:top="274" w:right="4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be payable on or in respect of the Indebtedness of the Loan Parties and their Restricted Subsidiaries (taken as a whole).</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3.14</w:t>
      </w:r>
      <w:r>
        <w:rPr>
          <w:rFonts w:ascii="Arial" w:cs="Arial" w:eastAsia="Arial" w:hAnsi="Arial"/>
          <w:sz w:val="18"/>
          <w:szCs w:val="18"/>
          <w:color w:val="auto"/>
        </w:rPr>
        <w:t xml:space="preserve"> sets forth a description of all insurance maintained by or on behalf of the Loan Parties and the Subsidiaries as of the Fourth Restatement Date. As of the Fourth Restatement Date, all premiums in respect of such insurance have been paid. The Loan Parties believe that the insurance maintained by or on behalf of the Loan Parties is adequate.</w:t>
      </w:r>
    </w:p>
    <w:p>
      <w:pPr>
        <w:spacing w:after="0" w:line="184"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SECTION 3.15 </w:t>
      </w:r>
      <w:r>
        <w:rPr>
          <w:rFonts w:ascii="Arial" w:cs="Arial" w:eastAsia="Arial" w:hAnsi="Arial"/>
          <w:sz w:val="17"/>
          <w:szCs w:val="17"/>
          <w:u w:val="single" w:color="auto"/>
          <w:color w:val="auto"/>
        </w:rPr>
        <w:t>Capitalization and Subsidiaries</w:t>
      </w:r>
      <w:r>
        <w:rPr>
          <w:rFonts w:ascii="Arial" w:cs="Arial" w:eastAsia="Arial" w:hAnsi="Arial"/>
          <w:sz w:val="17"/>
          <w:szCs w:val="17"/>
          <w:color w:val="auto"/>
        </w:rPr>
        <w:t xml:space="preserve">. As of the Fourth Restatement Date, </w:t>
      </w:r>
      <w:r>
        <w:rPr>
          <w:rFonts w:ascii="Arial" w:cs="Arial" w:eastAsia="Arial" w:hAnsi="Arial"/>
          <w:sz w:val="17"/>
          <w:szCs w:val="17"/>
          <w:u w:val="single" w:color="auto"/>
          <w:color w:val="auto"/>
        </w:rPr>
        <w:t>Schedule 3.15</w:t>
      </w:r>
      <w:r>
        <w:rPr>
          <w:rFonts w:ascii="Arial" w:cs="Arial" w:eastAsia="Arial" w:hAnsi="Arial"/>
          <w:sz w:val="17"/>
          <w:szCs w:val="17"/>
          <w:color w:val="auto"/>
        </w:rPr>
        <w:t xml:space="preserve"> sets forth (a) an organizational chart of Holdings and its Subsidiaries showing the name and relationship of each and all of Holdings’ Subsidiaries to Holdings, (b) a true and complete listing of each class of each of the Loan Parties’ authorized Equity Interests, of which all of such issued shares are validly issued, outstanding, fully paid and non-assessable (to the extent such concepts are applicable), and, in the case of the Loan Parties (other than Holdings) and their Subsidiaries, owned beneficially and of record by the Persons identified on </w:t>
      </w:r>
      <w:r>
        <w:rPr>
          <w:rFonts w:ascii="Arial" w:cs="Arial" w:eastAsia="Arial" w:hAnsi="Arial"/>
          <w:sz w:val="17"/>
          <w:szCs w:val="17"/>
          <w:u w:val="single" w:color="auto"/>
          <w:color w:val="auto"/>
        </w:rPr>
        <w:t>Schedule 3.15</w:t>
      </w:r>
      <w:r>
        <w:rPr>
          <w:rFonts w:ascii="Arial" w:cs="Arial" w:eastAsia="Arial" w:hAnsi="Arial"/>
          <w:sz w:val="17"/>
          <w:szCs w:val="17"/>
          <w:color w:val="auto"/>
        </w:rPr>
        <w:t>, and (c) the type of entity of Holdings and each of its Subsidiaries (other than Excluded Subsidiaries). All of the issued and outstanding Equity Interests owned by any Loan Party have been (to the extent such concepts are relevant with respect to such ownership interests) duly authorized and issued and are fully paid and non-assessable.</w:t>
      </w:r>
    </w:p>
    <w:p>
      <w:pPr>
        <w:spacing w:after="0" w:line="177" w:lineRule="exact"/>
        <w:rPr>
          <w:sz w:val="20"/>
          <w:szCs w:val="20"/>
          <w:color w:val="auto"/>
        </w:rPr>
      </w:pPr>
    </w:p>
    <w:p>
      <w:pPr>
        <w:ind w:right="80" w:firstLine="440"/>
        <w:spacing w:after="0" w:line="287"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Security Interest in Collateral</w:t>
      </w:r>
      <w:r>
        <w:rPr>
          <w:rFonts w:ascii="Arial" w:cs="Arial" w:eastAsia="Arial" w:hAnsi="Arial"/>
          <w:sz w:val="16"/>
          <w:szCs w:val="16"/>
          <w:color w:val="auto"/>
        </w:rPr>
        <w:t>. Subject to the Certain Funds Provisions, the provisions of this Agreement and the other Loan Documents create legal and valid Liens on all the Collateral in favor of the Administrative Agent, for the benefit of the Lender Parties and the Canadian Lender Parties, as the case may be, and upon filing of any UCC financing statements (or the equivalent under the PPSA) as necessary, and the taking of actions or making of filings with respect to Intellectual Property registrations, such Liens constitute perfected and continuing Liens on the Collateral to the extent perfection can be obtained by the filing of an initial UCC financing statement (or the equivalent under the PPSA) or an Intellectual Property registration, securing the Secured Obligations, enforceable against the applicable Loan Party, subject to applicable bankruptcy, insolvency, reorganization, moratorium or other laws affecting creditors’ rights generally and subject to general principles of equity, regardless of whether considered in a proceeding in equity or at law, and having priority over all other Liens on the Collateral except in the case of (a) Permitted Encumbrances, to the extent any such Permitted Encumbrances would have priority over the Liens in favor of the Administrative Agent pursuant to any applicable law or agreement, (b) Liens perfected only by possession (including possession of any certificate of title) to the extent the Administrative Agent has not obtained or does not maintain possession of such Collateral, and (c) other Liens permitted under Section 6.02 and, solely with respect to the ABL Priority Collateral, to the extent such Liens are expressly permitted to be senior in priority to the Liens of the Administrative Agent.</w:t>
      </w:r>
    </w:p>
    <w:p>
      <w:pPr>
        <w:spacing w:after="0" w:line="16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3.17 </w:t>
      </w:r>
      <w:r>
        <w:rPr>
          <w:rFonts w:ascii="Arial" w:cs="Arial" w:eastAsia="Arial" w:hAnsi="Arial"/>
          <w:sz w:val="17"/>
          <w:szCs w:val="17"/>
          <w:u w:val="single" w:color="auto"/>
          <w:color w:val="auto"/>
        </w:rPr>
        <w:t>Employment Matters</w:t>
      </w:r>
      <w:r>
        <w:rPr>
          <w:rFonts w:ascii="Arial" w:cs="Arial" w:eastAsia="Arial" w:hAnsi="Arial"/>
          <w:sz w:val="17"/>
          <w:szCs w:val="17"/>
          <w:color w:val="auto"/>
        </w:rPr>
        <w:t xml:space="preserve">. As of the Fourth Restatement Date, there are no strikes, lockouts or slowdowns against any Loan Party or any Restricted Subsidiary pending or, to the knowledge of the Borrowers, threatened. Except as would not reasonably be expected to have a Material Adverse Effect, the hours worked by and payments made to employees of the Loan Parties and the Restricted Subsidiaries have not been in violation of the Fair Labor Standards Act, the </w:t>
      </w:r>
      <w:r>
        <w:rPr>
          <w:rFonts w:ascii="Arial" w:cs="Arial" w:eastAsia="Arial" w:hAnsi="Arial"/>
          <w:sz w:val="17"/>
          <w:szCs w:val="17"/>
          <w:i w:val="1"/>
          <w:iCs w:val="1"/>
          <w:color w:val="auto"/>
        </w:rPr>
        <w:t>Employee Standards Act</w:t>
      </w:r>
      <w:r>
        <w:rPr>
          <w:rFonts w:ascii="Arial" w:cs="Arial" w:eastAsia="Arial" w:hAnsi="Arial"/>
          <w:sz w:val="17"/>
          <w:szCs w:val="17"/>
          <w:color w:val="auto"/>
        </w:rPr>
        <w:t xml:space="preserve"> (Ontario) or any other applicable federal, provincial, territorial, state, local or foreign law dealing with such matters. All payments due from any Loan Party or any Restricted Subsidiary, or for which any claim may be made against any Loan Party or any Restricted Subsidiary, on account of wages, vacation pay, and employee health and welfare insurance and other benefits, including with respect to the Canada Pensions Plans, have been paid or accrued as a liability on the books of the Loan Party or such Subsidiary, except where the failure to so comply would not reasonably be expected to result in a Material Adverse Effect.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740" w:firstLine="440"/>
        <w:spacing w:after="0" w:line="263" w:lineRule="auto"/>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Other Indebtedness</w:t>
      </w:r>
      <w:r>
        <w:rPr>
          <w:rFonts w:ascii="Arial" w:cs="Arial" w:eastAsia="Arial" w:hAnsi="Arial"/>
          <w:sz w:val="18"/>
          <w:szCs w:val="18"/>
          <w:color w:val="auto"/>
        </w:rPr>
        <w:t xml:space="preserve"> . The execution, delivery and performance by the Loan Parties of this Agreement and the other Loan Documents and the making of the Loans hereunder do not violate the terms of the Senior Notes Indentures or the Receivables Securitization Agreements.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440" w:top="274" w:right="439" w:bottom="1440" w:gutter="0" w:footer="0" w:header="0"/>
        </w:sectPr>
      </w:pPr>
    </w:p>
    <w:bookmarkStart w:id="121" w:name="page122"/>
    <w:bookmarkEnd w:id="121"/>
    <w:p>
      <w:pPr>
        <w:ind w:firstLine="436"/>
        <w:spacing w:after="0" w:line="293" w:lineRule="auto"/>
        <w:tabs>
          <w:tab w:leader="none" w:pos="685" w:val="left"/>
        </w:tabs>
        <w:numPr>
          <w:ilvl w:val="0"/>
          <w:numId w:val="1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Section 3.20(d), each Loan Party has, in its reasonable business judgment, implemented and maintains in effect policies and procedures designed to ensure compliance in all material respects by such Loan Party, its Subsidiaries and their respective directors, officers, employees and agents with Anti-Corruption Laws applicable to the Loan Parties and their Subsidiaries and applicable Sanctions, and such Loan Party, its Subsidiaries and their respective officers and employees and, to the knowledge of such Loan Party, its directors and agents, are in compliance with Anti-Corruption Laws applicable to the Loan Parties and their Subsidiaries and applicable Sanctions, in each case, in all material respects and are not engaged in any activity that would reasonably be expected to result in any Loan Party being designated as a Sanctioned Person.</w:t>
      </w:r>
    </w:p>
    <w:p>
      <w:pPr>
        <w:spacing w:after="0" w:line="56" w:lineRule="exact"/>
        <w:rPr>
          <w:rFonts w:ascii="Arial" w:cs="Arial" w:eastAsia="Arial" w:hAnsi="Arial"/>
          <w:sz w:val="16"/>
          <w:szCs w:val="16"/>
          <w:color w:val="auto"/>
        </w:rPr>
      </w:pPr>
    </w:p>
    <w:p>
      <w:pPr>
        <w:jc w:val="both"/>
        <w:ind w:right="380" w:firstLine="436"/>
        <w:spacing w:after="0" w:line="263" w:lineRule="auto"/>
        <w:tabs>
          <w:tab w:leader="none" w:pos="69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None of (i) any Loan Party, any Subsidiary or any of their respective directors, officers or employees, or (ii) to the knowledge of any such Loan Party or Subsidiary, any agent of such Loan Party or any Subsidiary that will act in any capacity in connection with or benefit from the credit facility established hereby, is a Sanctioned Person.</w:t>
      </w:r>
    </w:p>
    <w:p>
      <w:pPr>
        <w:spacing w:after="0" w:line="75" w:lineRule="exact"/>
        <w:rPr>
          <w:rFonts w:ascii="Arial" w:cs="Arial" w:eastAsia="Arial" w:hAnsi="Arial"/>
          <w:sz w:val="18"/>
          <w:szCs w:val="18"/>
          <w:color w:val="auto"/>
        </w:rPr>
      </w:pPr>
    </w:p>
    <w:p>
      <w:pPr>
        <w:ind w:right="660" w:firstLine="436"/>
        <w:spacing w:after="0" w:line="277" w:lineRule="auto"/>
        <w:tabs>
          <w:tab w:leader="none" w:pos="68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 Borrowing or Letter of Credit, use of proceeds, Transaction or other transaction contemplated by this Agreement or the other Loan Documents will violate Anti-Corruption Laws or applicable Sanctions.</w:t>
      </w:r>
    </w:p>
    <w:p>
      <w:pPr>
        <w:spacing w:after="0" w:line="62" w:lineRule="exact"/>
        <w:rPr>
          <w:rFonts w:ascii="Arial" w:cs="Arial" w:eastAsia="Arial" w:hAnsi="Arial"/>
          <w:sz w:val="18"/>
          <w:szCs w:val="18"/>
          <w:color w:val="auto"/>
        </w:rPr>
      </w:pPr>
    </w:p>
    <w:p>
      <w:pPr>
        <w:jc w:val="both"/>
        <w:ind w:right="140" w:firstLine="436"/>
        <w:spacing w:after="0" w:line="263" w:lineRule="auto"/>
        <w:tabs>
          <w:tab w:leader="none" w:pos="69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representations and warranties provided for in Section 3.20(a) shall only apply to any Loan Party and its respective Subsidiaries which is bound by any Blocking Regulation insofar as the giving thereof and compliance therewith do not and will not result in a violation of or conflict with or liability under any Blocking Regulation.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Affected Financial Institutions</w:t>
      </w:r>
      <w:r>
        <w:rPr>
          <w:rFonts w:ascii="Arial" w:cs="Arial" w:eastAsia="Arial" w:hAnsi="Arial"/>
          <w:sz w:val="18"/>
          <w:szCs w:val="18"/>
          <w:color w:val="auto"/>
        </w:rPr>
        <w:t>. No Loan Party is an EEA Financial Institution.</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Plan Assets; Prohibited Transactions</w:t>
      </w:r>
      <w:r>
        <w:rPr>
          <w:rFonts w:ascii="Arial" w:cs="Arial" w:eastAsia="Arial" w:hAnsi="Arial"/>
          <w:sz w:val="18"/>
          <w:szCs w:val="18"/>
          <w:color w:val="auto"/>
        </w:rPr>
        <w:t>. No Loan Party or any of its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18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Margin Regulations</w:t>
      </w:r>
      <w:r>
        <w:rPr>
          <w:rFonts w:ascii="Arial" w:cs="Arial" w:eastAsia="Arial" w:hAnsi="Arial"/>
          <w:sz w:val="18"/>
          <w:szCs w:val="18"/>
          <w:color w:val="auto"/>
        </w:rPr>
        <w:t>. No part of the proceeds of any Loans made on the Fourth Restatement Date will be used by the Borrowers in violation of any Regulations of the Board of Governors, including Regulations T, U and X.</w:t>
      </w:r>
    </w:p>
    <w:p>
      <w:pPr>
        <w:spacing w:after="0" w:line="17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Each of the representations and warranties set forth above in this Article III shall be deemed to be made by the Loan Parties on the Fourth Restatement Date, on the date of each Borrowing and each issuance, amendment, renewal or extension of any Letter of Credit and at any other time specified in any Loan Document or other document, certificate or instrument delivered in connection with any Loan Document. It is understood and agreed for purposes of this paragraph that, with respect to representations and warranties made or deemed made on the date of any Borrowing, any such representation or warranty which by its terms is made as of a specified date shall be required to be true and correct in all material respects (or, in the case of any representation or warranty already qualified or modified by materiality, in all respects) only as of such specified date. For the avoidance of doubt, this Article III shall be subject to the last paragraph in Article VII.</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IV. </w:t>
      </w:r>
      <w:r>
        <w:rPr>
          <w:rFonts w:ascii="Arial" w:cs="Arial" w:eastAsia="Arial" w:hAnsi="Arial"/>
          <w:sz w:val="18"/>
          <w:szCs w:val="18"/>
          <w:u w:val="single" w:color="auto"/>
          <w:color w:val="auto"/>
        </w:rPr>
        <w:t>Conditions</w:t>
      </w:r>
    </w:p>
    <w:p>
      <w:pPr>
        <w:spacing w:after="0" w:line="225" w:lineRule="exact"/>
        <w:rPr>
          <w:sz w:val="20"/>
          <w:szCs w:val="20"/>
          <w:color w:val="auto"/>
        </w:rPr>
      </w:pPr>
    </w:p>
    <w:p>
      <w:pPr>
        <w:ind w:right="260" w:firstLine="440"/>
        <w:spacing w:after="0" w:line="286"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Fourth Restatement Date</w:t>
      </w:r>
      <w:r>
        <w:rPr>
          <w:rFonts w:ascii="Arial" w:cs="Arial" w:eastAsia="Arial" w:hAnsi="Arial"/>
          <w:sz w:val="17"/>
          <w:szCs w:val="17"/>
          <w:color w:val="auto"/>
        </w:rPr>
        <w:t>. Subject to the Certain Funds Provisions, the amendment and restatement of the Existing Credit Agreement and the obligations of the Lenders to make Loans and of the Issuing Banks to issue Letters of Credit hereunder shall not become effective until the date on which each of the following conditions is satisfied (or waived in accordance with Section 9.02):</w:t>
      </w:r>
    </w:p>
    <w:p>
      <w:pPr>
        <w:spacing w:after="0" w:line="57" w:lineRule="exact"/>
        <w:rPr>
          <w:sz w:val="20"/>
          <w:szCs w:val="20"/>
          <w:color w:val="auto"/>
        </w:rPr>
      </w:pPr>
    </w:p>
    <w:p>
      <w:pPr>
        <w:jc w:val="both"/>
        <w:ind w:right="260" w:firstLine="436"/>
        <w:spacing w:after="0" w:line="259" w:lineRule="auto"/>
        <w:tabs>
          <w:tab w:leader="none" w:pos="685"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Credit Agreement and Loan Documents; Legal Opinions</w:t>
      </w:r>
      <w:r>
        <w:rPr>
          <w:rFonts w:ascii="Arial" w:cs="Arial" w:eastAsia="Arial" w:hAnsi="Arial"/>
          <w:sz w:val="18"/>
          <w:szCs w:val="18"/>
          <w:color w:val="auto"/>
        </w:rPr>
        <w:t>. The Administrative Agent (or its counsel) shall have received (i) from each party hereto either (A) a counterpart of this Agreement signed on behalf of such party or (B) written evidence reasonably satisfactory to the Administrative Agent (which may include facsimile or other electronic transmission of a signed signature page of this Agreement) that such party has signed a counterpart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122" w:name="page123"/>
    <w:bookmarkEnd w:id="122"/>
    <w:p>
      <w:pPr>
        <w:ind w:right="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this Agreement and (ii) duly executed copies of the Loan Documents, including any promissory notes requested by a Lender pursuant to Section 2.10 payable to each such requesting Lender and its registered assigns and written opinions of the Loan Parties’ counsel, addressed to the Administrative Agent, the Issuing Banks and the Lenders in form and substance reasonably satisfactory to the Administrative Agent, it being understood that such legal opinions shall be satisfactory to the Administrative Agent if in form and substance consistent with those delivered on the Third Restatement Date.</w:t>
      </w:r>
    </w:p>
    <w:p>
      <w:pPr>
        <w:spacing w:after="0" w:line="49" w:lineRule="exact"/>
        <w:rPr>
          <w:sz w:val="20"/>
          <w:szCs w:val="20"/>
          <w:color w:val="auto"/>
        </w:rPr>
      </w:pPr>
    </w:p>
    <w:p>
      <w:pPr>
        <w:ind w:firstLine="436"/>
        <w:spacing w:after="0" w:line="282" w:lineRule="auto"/>
        <w:tabs>
          <w:tab w:leader="none" w:pos="695"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Financial Statements and Projections</w:t>
      </w:r>
      <w:r>
        <w:rPr>
          <w:rFonts w:ascii="Arial" w:cs="Arial" w:eastAsia="Arial" w:hAnsi="Arial"/>
          <w:sz w:val="16"/>
          <w:szCs w:val="16"/>
          <w:color w:val="auto"/>
        </w:rPr>
        <w:t xml:space="preserve">. The Lenders shall have received (i) audited consolidated financial statements of Holdings and of Anixter, respectively, consisting of balance sheets as of the last date of each of the two fiscal years of each entity ended at least 90 days prior to the Fourth Restatement Date and income statements and statements of stockholders’ equity and cash flows for each of the three fiscal years of each entity ended at least 90 days prior to the Fourth Restatement Date and an unqualified audit report relating to such financial statements of Anixter, (ii) unaudited consolidated financial statements of Holdings and of Anixter, respectively, consisting of balance sheets and income statements and statements of cash flows of each entity as of the last day of and for the most recently completed fiscal quarter ended at least 45 days before the Fourth Restatement Date, or, in the case of the statement of cash flows, for the period from the beginning of the most recently completed fiscal year ended at least 90 days before the Fourth Restatement Date to the last day of the most recently completed fiscal quarter ended at least 45 days before the Fourth Restatement Date (all of which shall have been reviewed by the independent accountants for Holdings or Anixter (as applicable) as provided in AU 722), in each case other than with respect to any quarter-end that is also a fiscal year-end, and (iii) (a)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consolidated statement of income of Holdings and its subsidiaries for the most recently completed fiscal year ended at least 90 days before the Fourth Restatement Date, (b) (X)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consolidated balance sheet of Holdings and its subsidiaries as of the last day of the most recently completed fiscal quarter ended at least 45 days before the Fourth Restatement Date and (Y)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consolidated statement of income of Holdings and its subsidiaries for the period from the beginning of the most recently completed fiscal year ended at least 90 days before the Fourth Restatement Date to the last day of the most recently completed fiscal quarter ended at least 45 days before the Fourth Restatement Date, together with, in the case of this clause (Y), a corresponding statement for the corresponding period of the prior year and (c)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consolidated income statement for the 12-month period ended on the last day of the most recently completed fiscal quarter ended at least 45 days before the Fourth Restatement Date, or, if the most recently completed fiscal period is the end of a fiscal year, ended at least</w:t>
      </w:r>
    </w:p>
    <w:p>
      <w:pPr>
        <w:spacing w:after="0" w:line="11" w:lineRule="exact"/>
        <w:rPr>
          <w:rFonts w:ascii="Arial" w:cs="Arial" w:eastAsia="Arial" w:hAnsi="Arial"/>
          <w:sz w:val="16"/>
          <w:szCs w:val="16"/>
          <w:color w:val="auto"/>
        </w:rPr>
      </w:pPr>
    </w:p>
    <w:p>
      <w:pPr>
        <w:ind w:right="80"/>
        <w:spacing w:after="0" w:line="290" w:lineRule="auto"/>
        <w:rPr>
          <w:rFonts w:ascii="Arial" w:cs="Arial" w:eastAsia="Arial" w:hAnsi="Arial"/>
          <w:sz w:val="16"/>
          <w:szCs w:val="16"/>
          <w:color w:val="auto"/>
        </w:rPr>
      </w:pPr>
      <w:r>
        <w:rPr>
          <w:rFonts w:ascii="Arial" w:cs="Arial" w:eastAsia="Arial" w:hAnsi="Arial"/>
          <w:sz w:val="16"/>
          <w:szCs w:val="16"/>
          <w:color w:val="auto"/>
        </w:rPr>
        <w:t>90 days before the Fourth Restatement Date, in each case prepared after giving effect to the Transactions as if the Transactions had occurred as of such date (in the case of each such balance sheet) or at the beginning of such period (in the case of each such statement of income), which need not be prepared in compliance with Regulation S-X under the Securities Act or include adjustments for purchase accounting, in each case, to the extent customary for bank financings of this type. Holdings’ and Anixter’s, as applicable, filing of any (a) required audited financial statements with respect to Holdings and of Anixter, as applicable, on Form 10-K or (b) required unaudited financial statements with respect to Holdings or Anixter, as applicable, on Form 10-Q, in each case, will satisfy the requirements under clauses (i) or (ii), as applicable, of this Section 4.01(b).</w:t>
      </w:r>
    </w:p>
    <w:p>
      <w:pPr>
        <w:spacing w:after="0" w:line="55" w:lineRule="exact"/>
        <w:rPr>
          <w:rFonts w:ascii="Arial" w:cs="Arial" w:eastAsia="Arial" w:hAnsi="Arial"/>
          <w:sz w:val="16"/>
          <w:szCs w:val="16"/>
          <w:color w:val="auto"/>
        </w:rPr>
      </w:pPr>
    </w:p>
    <w:p>
      <w:pPr>
        <w:ind w:right="20" w:firstLine="436"/>
        <w:spacing w:after="0" w:line="270" w:lineRule="auto"/>
        <w:tabs>
          <w:tab w:leader="none" w:pos="685"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Closing Certificates; Certified Certificate of Incorporation; Good Standing Certificates</w:t>
      </w:r>
      <w:r>
        <w:rPr>
          <w:rFonts w:ascii="Arial" w:cs="Arial" w:eastAsia="Arial" w:hAnsi="Arial"/>
          <w:sz w:val="17"/>
          <w:szCs w:val="17"/>
          <w:color w:val="auto"/>
        </w:rPr>
        <w:t>. The Administrative Agent shall have received (i) a certificate of each Loan Party, dated the Fourth Restatement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Officers and any other officers of such Loan Party authorized to sign the Loan Documents to which it is a party, and (C) include as attachments thereto the certificate or articles of incorporation or organization of each Loan Party certified by the relevant authority of the jurisdiction of organization of such Loan Party (or officer of such Loan Party, as is customary in certain jurisdictions other than the United States) and a true and correct copy of its by-laws or operating, management or partnership agreement (or other equivalent organizational documents), and (ii) a long form good standing certificate (or equivalent, as is customary in certain jurisdictions other than the United States), to the extent applicable, for each Loan Party from its jurisdiction of organization.</w:t>
      </w:r>
    </w:p>
    <w:p>
      <w:pPr>
        <w:spacing w:after="0" w:line="72" w:lineRule="exact"/>
        <w:rPr>
          <w:rFonts w:ascii="Arial" w:cs="Arial" w:eastAsia="Arial" w:hAnsi="Arial"/>
          <w:sz w:val="17"/>
          <w:szCs w:val="17"/>
          <w:color w:val="auto"/>
        </w:rPr>
      </w:pPr>
    </w:p>
    <w:p>
      <w:pPr>
        <w:ind w:right="60" w:firstLine="436"/>
        <w:spacing w:after="0" w:line="277" w:lineRule="auto"/>
        <w:tabs>
          <w:tab w:leader="none" w:pos="69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The Administrative Agent shall have received a certificate, signed by a Financial Officer of the Borrower Representative, stating that the conditions set forth in Sections 4.01(p), (q) and (r) have been satisfied.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20"/>
          </w:cols>
          <w:pgMar w:left="440" w:top="274" w:right="439" w:bottom="1440" w:gutter="0" w:footer="0" w:header="0"/>
        </w:sectPr>
      </w:pPr>
    </w:p>
    <w:bookmarkStart w:id="123" w:name="page124"/>
    <w:bookmarkEnd w:id="123"/>
    <w:p>
      <w:pPr>
        <w:ind w:left="4" w:right="280" w:firstLine="436"/>
        <w:spacing w:after="0" w:line="259" w:lineRule="auto"/>
        <w:tabs>
          <w:tab w:leader="none" w:pos="689"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Fees</w:t>
      </w:r>
      <w:r>
        <w:rPr>
          <w:rFonts w:ascii="Arial" w:cs="Arial" w:eastAsia="Arial" w:hAnsi="Arial"/>
          <w:sz w:val="18"/>
          <w:szCs w:val="18"/>
          <w:color w:val="auto"/>
        </w:rPr>
        <w:t>. The Lenders and the Administrative Agent shall have received all fees required to be paid pursuant to the Commitment Letter and the Fee Letter, and all reasonable expenses for which invoices have been presented (including the reasonable fees and expenses of legal counsel and expenses relating to any field examination, collateral audit, or appraisal), at least two Business Days before the Fourth Restatement Date. All such amounts will be paid on the Fourth Restatement Date.</w:t>
      </w:r>
    </w:p>
    <w:p>
      <w:pPr>
        <w:spacing w:after="0" w:line="78" w:lineRule="exact"/>
        <w:rPr>
          <w:rFonts w:ascii="Arial" w:cs="Arial" w:eastAsia="Arial" w:hAnsi="Arial"/>
          <w:sz w:val="18"/>
          <w:szCs w:val="18"/>
          <w:color w:val="auto"/>
        </w:rPr>
      </w:pPr>
    </w:p>
    <w:p>
      <w:pPr>
        <w:ind w:left="4" w:right="400" w:firstLine="436"/>
        <w:spacing w:after="0" w:line="277" w:lineRule="auto"/>
        <w:tabs>
          <w:tab w:leader="none" w:pos="669"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Lien Searches</w:t>
      </w:r>
      <w:r>
        <w:rPr>
          <w:rFonts w:ascii="Arial" w:cs="Arial" w:eastAsia="Arial" w:hAnsi="Arial"/>
          <w:sz w:val="18"/>
          <w:szCs w:val="18"/>
          <w:color w:val="auto"/>
        </w:rPr>
        <w:t>. The Administrative Agent shall have received the results of a recent lien search in each of the jurisdictions where the Loan Parties are organized.</w:t>
      </w:r>
    </w:p>
    <w:p>
      <w:pPr>
        <w:spacing w:after="0" w:line="62" w:lineRule="exact"/>
        <w:rPr>
          <w:rFonts w:ascii="Arial" w:cs="Arial" w:eastAsia="Arial" w:hAnsi="Arial"/>
          <w:sz w:val="18"/>
          <w:szCs w:val="18"/>
          <w:color w:val="auto"/>
        </w:rPr>
      </w:pPr>
    </w:p>
    <w:p>
      <w:pPr>
        <w:ind w:left="4" w:right="200" w:firstLine="436"/>
        <w:spacing w:after="0" w:line="263" w:lineRule="auto"/>
        <w:tabs>
          <w:tab w:leader="none" w:pos="699"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Funding Accounts</w:t>
      </w:r>
      <w:r>
        <w:rPr>
          <w:rFonts w:ascii="Arial" w:cs="Arial" w:eastAsia="Arial" w:hAnsi="Arial"/>
          <w:sz w:val="18"/>
          <w:szCs w:val="18"/>
          <w:color w:val="auto"/>
        </w:rPr>
        <w:t>. The Administrative Agent shall have received a notice from the Borrower Representative setting forth the deposit account(s) of the Borrowers (the “</w:t>
      </w:r>
      <w:r>
        <w:rPr>
          <w:rFonts w:ascii="Arial" w:cs="Arial" w:eastAsia="Arial" w:hAnsi="Arial"/>
          <w:sz w:val="18"/>
          <w:szCs w:val="18"/>
          <w:u w:val="single" w:color="auto"/>
          <w:color w:val="auto"/>
        </w:rPr>
        <w:t>Funding Accounts</w:t>
      </w:r>
      <w:r>
        <w:rPr>
          <w:rFonts w:ascii="Arial" w:cs="Arial" w:eastAsia="Arial" w:hAnsi="Arial"/>
          <w:sz w:val="18"/>
          <w:szCs w:val="18"/>
          <w:color w:val="auto"/>
        </w:rPr>
        <w:t>”) to which the Lender is authorized by the Borrowers to transfer the proceeds of any Borrowings requested or authorized pursuant to this Agreement.</w:t>
      </w:r>
    </w:p>
    <w:p>
      <w:pPr>
        <w:spacing w:after="0" w:line="75" w:lineRule="exact"/>
        <w:rPr>
          <w:rFonts w:ascii="Arial" w:cs="Arial" w:eastAsia="Arial" w:hAnsi="Arial"/>
          <w:sz w:val="18"/>
          <w:szCs w:val="18"/>
          <w:color w:val="auto"/>
        </w:rPr>
      </w:pPr>
    </w:p>
    <w:p>
      <w:pPr>
        <w:ind w:left="704" w:hanging="264"/>
        <w:spacing w:after="0"/>
        <w:tabs>
          <w:tab w:leader="none" w:pos="704"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64" w:hanging="224"/>
        <w:spacing w:after="0"/>
        <w:tabs>
          <w:tab w:leader="none" w:pos="664"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0" w:firstLine="436"/>
        <w:spacing w:after="0" w:line="277" w:lineRule="auto"/>
        <w:tabs>
          <w:tab w:leader="none" w:pos="659"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The Administrative Agent shall have received a solvency certificate from a Financial Officer of the Borrower Representative as described in the Commitment Letter.</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436"/>
        <w:spacing w:after="0" w:line="275" w:lineRule="auto"/>
        <w:tabs>
          <w:tab w:leader="none" w:pos="659"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Filings, Registrations and Recordings</w:t>
      </w:r>
      <w:r>
        <w:rPr>
          <w:rFonts w:ascii="Arial" w:cs="Arial" w:eastAsia="Arial" w:hAnsi="Arial"/>
          <w:sz w:val="17"/>
          <w:szCs w:val="17"/>
          <w:color w:val="auto"/>
        </w:rPr>
        <w:t>. Each document (including any Uniform Commercial Code financing statement, PPSA financing statement or RDPRM recordation) required by the Collateral Documents or under law or reasonably requested by the Administrative Agent to be filed, registered or recorded in order to create in favor of the Administrative Agent, for the benefit of the Lender Parties or the Canadian Lender Parties, as the case may be, a perfected Lien on the Collateral described therein, prior and superior in right to any other Person (other than with respect to Liens expressly permitted by Section 6.02), shall be in proper form for filing, registration or recordation.</w:t>
      </w:r>
    </w:p>
    <w:p>
      <w:pPr>
        <w:spacing w:after="0" w:line="68" w:lineRule="exact"/>
        <w:rPr>
          <w:rFonts w:ascii="Arial" w:cs="Arial" w:eastAsia="Arial" w:hAnsi="Arial"/>
          <w:sz w:val="17"/>
          <w:szCs w:val="17"/>
          <w:color w:val="auto"/>
        </w:rPr>
      </w:pPr>
    </w:p>
    <w:p>
      <w:pPr>
        <w:ind w:left="744" w:hanging="304"/>
        <w:spacing w:after="0"/>
        <w:tabs>
          <w:tab w:leader="none" w:pos="744"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00" w:firstLine="436"/>
        <w:spacing w:after="0" w:line="291" w:lineRule="auto"/>
        <w:tabs>
          <w:tab w:leader="none" w:pos="699"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USA PATRIOT Act, Etc</w:t>
      </w:r>
      <w:r>
        <w:rPr>
          <w:rFonts w:ascii="Arial" w:cs="Arial" w:eastAsia="Arial" w:hAnsi="Arial"/>
          <w:sz w:val="16"/>
          <w:szCs w:val="16"/>
          <w:color w:val="auto"/>
        </w:rPr>
        <w:t>. (i) Each Lender shall have received all documentation and other information required by bank regulatory authorities under applicable “know your customer” and anti-money laundering rules and regulations, including the USA PATRIOT Act or the Proceeds of Crime</w:t>
      </w:r>
    </w:p>
    <w:p>
      <w:pPr>
        <w:ind w:left="4" w:right="260"/>
        <w:spacing w:after="0" w:line="281" w:lineRule="auto"/>
        <w:rPr>
          <w:sz w:val="20"/>
          <w:szCs w:val="20"/>
          <w:color w:val="auto"/>
        </w:rPr>
      </w:pPr>
      <w:r>
        <w:rPr>
          <w:rFonts w:ascii="Arial" w:cs="Arial" w:eastAsia="Arial" w:hAnsi="Arial"/>
          <w:sz w:val="16"/>
          <w:szCs w:val="16"/>
          <w:color w:val="auto"/>
        </w:rPr>
        <w:t>Act, for each Loan Party, to the extent requested in a written notice to the Borrower Representative at least ten (10) Business Days prior to the Fourth Restatement Date, and (ii) to the extent any Borrower qualifies as a “legal entity customer” under the Beneficial Ownership Regulation, at least five (5) days prior to the Fourth Restatement Date, any Lender that has requested, in a written notice to the Borrower Representative at least ten</w:t>
      </w:r>
    </w:p>
    <w:p>
      <w:pPr>
        <w:spacing w:after="0" w:line="2" w:lineRule="exact"/>
        <w:rPr>
          <w:sz w:val="20"/>
          <w:szCs w:val="20"/>
          <w:color w:val="auto"/>
        </w:rPr>
      </w:pPr>
    </w:p>
    <w:p>
      <w:pPr>
        <w:ind w:left="4" w:hanging="4"/>
        <w:spacing w:after="0" w:line="255" w:lineRule="auto"/>
        <w:tabs>
          <w:tab w:leader="none" w:pos="34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Business Days prior to the Fourth Restatement Date, a Beneficial Ownership Certification in relation to each Borrower shall have received such Beneficial Ownership Certification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execution and delivery by such Lender of its signature page to this Agreement, the condition set forth in this clause (ii) shall be deemed to be satisfied).</w:t>
      </w:r>
    </w:p>
    <w:p>
      <w:pPr>
        <w:spacing w:after="0" w:line="81" w:lineRule="exact"/>
        <w:rPr>
          <w:rFonts w:ascii="Arial" w:cs="Arial" w:eastAsia="Arial" w:hAnsi="Arial"/>
          <w:sz w:val="18"/>
          <w:szCs w:val="18"/>
          <w:color w:val="auto"/>
        </w:rPr>
      </w:pPr>
    </w:p>
    <w:p>
      <w:pPr>
        <w:ind w:left="4" w:right="180" w:firstLine="436"/>
        <w:spacing w:after="0" w:line="277" w:lineRule="auto"/>
        <w:tabs>
          <w:tab w:leader="none" w:pos="699"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Concurrent Transactions</w:t>
      </w:r>
      <w:r>
        <w:rPr>
          <w:rFonts w:ascii="Arial" w:cs="Arial" w:eastAsia="Arial" w:hAnsi="Arial"/>
          <w:sz w:val="18"/>
          <w:szCs w:val="18"/>
          <w:color w:val="auto"/>
        </w:rPr>
        <w:t>. The Anixter Acquisition shall have been consummated or will be consummated substantially concurrently with the Borrowings made on the Fourth Restatement Date.</w:t>
      </w:r>
    </w:p>
    <w:p>
      <w:pPr>
        <w:spacing w:after="0" w:line="62" w:lineRule="exact"/>
        <w:rPr>
          <w:rFonts w:ascii="Arial" w:cs="Arial" w:eastAsia="Arial" w:hAnsi="Arial"/>
          <w:sz w:val="18"/>
          <w:szCs w:val="18"/>
          <w:color w:val="auto"/>
        </w:rPr>
      </w:pPr>
    </w:p>
    <w:p>
      <w:pPr>
        <w:ind w:left="4" w:right="40" w:firstLine="436"/>
        <w:spacing w:after="0" w:line="263" w:lineRule="auto"/>
        <w:tabs>
          <w:tab w:leader="none" w:pos="699"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the date of the most recent financial statements included in the Filed Company SEC Documents (as defined in the Anixter Acquisition Agreement), there shall not have occurred a Company Material Adverse Effect (as defined in the Anixter Acquisition Agreement).</w:t>
      </w:r>
    </w:p>
    <w:p>
      <w:pPr>
        <w:spacing w:after="0" w:line="75" w:lineRule="exact"/>
        <w:rPr>
          <w:rFonts w:ascii="Arial" w:cs="Arial" w:eastAsia="Arial" w:hAnsi="Arial"/>
          <w:sz w:val="18"/>
          <w:szCs w:val="18"/>
          <w:color w:val="auto"/>
        </w:rPr>
      </w:pPr>
    </w:p>
    <w:p>
      <w:pPr>
        <w:ind w:left="4" w:right="140" w:firstLine="436"/>
        <w:spacing w:after="0" w:line="277" w:lineRule="auto"/>
        <w:tabs>
          <w:tab w:leader="none" w:pos="669"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(i) The Anixter Acquisition Agreement Representations shall be true and correct in all respects on the Fourth Restatement Date and (ii) the Specified Representations shall be true and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4"/>
          </w:cols>
          <w:pgMar w:left="436" w:top="274" w:right="459" w:bottom="1440" w:gutter="0" w:footer="0" w:header="0"/>
        </w:sectPr>
      </w:pPr>
    </w:p>
    <w:bookmarkStart w:id="124" w:name="page125"/>
    <w:bookmarkEnd w:id="124"/>
    <w:p>
      <w:pPr>
        <w:ind w:left="4"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correct in all material respects on the Fourth Restatement Date (except, solely for purposes of this clause (ii), for such representations already qualified by materiality or material adverse effect, which representations shall be true and correct in all respects).</w:t>
      </w:r>
    </w:p>
    <w:p>
      <w:pPr>
        <w:spacing w:after="0" w:line="62" w:lineRule="exact"/>
        <w:rPr>
          <w:sz w:val="20"/>
          <w:szCs w:val="20"/>
          <w:color w:val="auto"/>
        </w:rPr>
      </w:pPr>
    </w:p>
    <w:p>
      <w:pPr>
        <w:ind w:left="684" w:hanging="244"/>
        <w:spacing w:after="0"/>
        <w:tabs>
          <w:tab w:leader="none" w:pos="684"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Borrowing Request</w:t>
      </w:r>
      <w:r>
        <w:rPr>
          <w:rFonts w:ascii="Arial" w:cs="Arial" w:eastAsia="Arial" w:hAnsi="Arial"/>
          <w:sz w:val="18"/>
          <w:szCs w:val="18"/>
          <w:color w:val="auto"/>
        </w:rPr>
        <w:t>. The Administrative Agent shall have received a Borrowing Request in accordance with Section 2.03.</w:t>
      </w:r>
    </w:p>
    <w:p>
      <w:pPr>
        <w:spacing w:after="0" w:line="117" w:lineRule="exact"/>
        <w:rPr>
          <w:rFonts w:ascii="Arial" w:cs="Arial" w:eastAsia="Arial" w:hAnsi="Arial"/>
          <w:sz w:val="18"/>
          <w:szCs w:val="18"/>
          <w:color w:val="auto"/>
        </w:rPr>
      </w:pPr>
    </w:p>
    <w:p>
      <w:pPr>
        <w:ind w:left="4" w:right="160" w:firstLine="436"/>
        <w:spacing w:after="0" w:line="311" w:lineRule="auto"/>
        <w:tabs>
          <w:tab w:leader="none" w:pos="659"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Notes Refinancing</w:t>
      </w:r>
      <w:r>
        <w:rPr>
          <w:rFonts w:ascii="Arial" w:cs="Arial" w:eastAsia="Arial" w:hAnsi="Arial"/>
          <w:sz w:val="16"/>
          <w:szCs w:val="16"/>
          <w:color w:val="auto"/>
        </w:rPr>
        <w:t>. The Borrower Representative shall have deposited sufficient funds to satisfy and discharge and/or repay or redeem in full the 5.125% Senior Notes due 2021, issued pursuant to an indenture dated September 23, 2014 among Anixter, Inc., as the issuer, Anixter, as the guarantor and Wells Fargo Bank, National Association, as trustee, as amended and supplemented from time to time, with such trustee.</w:t>
      </w:r>
    </w:p>
    <w:p>
      <w:pPr>
        <w:spacing w:after="0" w:line="149" w:lineRule="exact"/>
        <w:rPr>
          <w:sz w:val="20"/>
          <w:szCs w:val="20"/>
          <w:color w:val="auto"/>
        </w:rPr>
      </w:pPr>
    </w:p>
    <w:p>
      <w:pPr>
        <w:ind w:left="4" w:right="40" w:firstLine="440"/>
        <w:spacing w:after="0" w:line="285" w:lineRule="auto"/>
        <w:rPr>
          <w:sz w:val="20"/>
          <w:szCs w:val="20"/>
          <w:color w:val="auto"/>
        </w:rPr>
      </w:pPr>
      <w:r>
        <w:rPr>
          <w:rFonts w:ascii="Arial" w:cs="Arial" w:eastAsia="Arial" w:hAnsi="Arial"/>
          <w:sz w:val="16"/>
          <w:szCs w:val="16"/>
          <w:color w:val="auto"/>
        </w:rPr>
        <w:t>Notwithstanding anything to the contrary in this Section 4.01, to the extent any security interest in the Collateral or any deliverable related to the perfection of security interests in the Collateral, including any lien search, field examination, inventory appraisal and/or insurance certificate (other than any Collateral the security interest in which may be perfected by the filing of a UCC financing statement (or the equivalent financing statement under the PPSA), or, solely with respect to security interests in Collateral consisting of certificated stock of U.S.-organized entities, by the possession of stock certificates (or equivalent certificated equity interests)), is not or cannot be provided, delivered and/or perfected on the Fourth Restatement Date</w:t>
      </w:r>
    </w:p>
    <w:p>
      <w:pPr>
        <w:spacing w:after="0" w:line="2" w:lineRule="exact"/>
        <w:rPr>
          <w:sz w:val="20"/>
          <w:szCs w:val="20"/>
          <w:color w:val="auto"/>
        </w:rPr>
      </w:pPr>
    </w:p>
    <w:p>
      <w:pPr>
        <w:ind w:left="4" w:right="60" w:hanging="4"/>
        <w:spacing w:after="0" w:line="295" w:lineRule="auto"/>
        <w:tabs>
          <w:tab w:leader="none" w:pos="259" w:val="left"/>
        </w:tabs>
        <w:numPr>
          <w:ilvl w:val="0"/>
          <w:numId w:val="121"/>
        </w:numPr>
        <w:rPr>
          <w:rFonts w:ascii="Arial" w:cs="Arial" w:eastAsia="Arial" w:hAnsi="Arial"/>
          <w:sz w:val="16"/>
          <w:szCs w:val="16"/>
          <w:color w:val="auto"/>
        </w:rPr>
      </w:pPr>
      <w:r>
        <w:rPr>
          <w:rFonts w:ascii="Arial" w:cs="Arial" w:eastAsia="Arial" w:hAnsi="Arial"/>
          <w:sz w:val="16"/>
          <w:szCs w:val="16"/>
          <w:color w:val="auto"/>
        </w:rPr>
        <w:t>without undue burden or expense or (2) after the Borrower Representative’s use of commercially reasonable efforts to do so, then the provision, delivery and/or perfection of such security interest(s) or deliverable shall not constitute a condition precedent to the availability of the Revolver Facility on the Fourth Restatement Date but shall be required to be delivered no later than 90 days after the Fourth Restatement Date (or such later date as may be reasonably agreed by the Administrative Agent). This paragraph, and the provisions herein, shall be referred to as the “</w:t>
      </w:r>
      <w:r>
        <w:rPr>
          <w:rFonts w:ascii="Arial" w:cs="Arial" w:eastAsia="Arial" w:hAnsi="Arial"/>
          <w:sz w:val="16"/>
          <w:szCs w:val="16"/>
          <w:u w:val="single" w:color="auto"/>
          <w:color w:val="auto"/>
        </w:rPr>
        <w:t>Certain Funds Provisions</w:t>
      </w:r>
      <w:r>
        <w:rPr>
          <w:rFonts w:ascii="Arial" w:cs="Arial" w:eastAsia="Arial" w:hAnsi="Arial"/>
          <w:sz w:val="16"/>
          <w:szCs w:val="16"/>
          <w:color w:val="auto"/>
        </w:rPr>
        <w:t>”.</w:t>
      </w:r>
    </w:p>
    <w:p>
      <w:pPr>
        <w:spacing w:after="0" w:line="161"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The Administrative Agent shall notify the Borrowers and the Lenders of the Fourth Restatement Date on the Fourth Restatement Date, and such notice shall be conclusive and binding.</w:t>
      </w:r>
    </w:p>
    <w:p>
      <w:pPr>
        <w:spacing w:after="0" w:line="170"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Loan on the occasion of any Borrowing, and of each Issuing Bank to issue, amend, renew or extend any Letter of Credit (other than any Loan made or Letter of Credit issued, amended, renewed or extended on the Fourth Restatement Date), is subject to the satisfaction of the following conditions:</w:t>
      </w:r>
    </w:p>
    <w:p>
      <w:pPr>
        <w:spacing w:after="0" w:line="76" w:lineRule="exact"/>
        <w:rPr>
          <w:sz w:val="20"/>
          <w:szCs w:val="20"/>
          <w:color w:val="auto"/>
        </w:rPr>
      </w:pPr>
    </w:p>
    <w:p>
      <w:pPr>
        <w:ind w:left="4" w:firstLine="436"/>
        <w:spacing w:after="0" w:line="255" w:lineRule="auto"/>
        <w:tabs>
          <w:tab w:leader="none" w:pos="68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representations and warranties of the Loan Parties set forth in this Agreement shall be true and correct in all material respects (except that such materiality qualifier shall not be applicable to any representations and warranties that already are qualified or modified by materiality in the text thereof) on and as of the date of such Borrowing or the date of issuance, amendment, renewal or extension of such Letter of Credit, as applicable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spacing w:after="0" w:line="84" w:lineRule="exact"/>
        <w:rPr>
          <w:rFonts w:ascii="Arial" w:cs="Arial" w:eastAsia="Arial" w:hAnsi="Arial"/>
          <w:sz w:val="18"/>
          <w:szCs w:val="18"/>
          <w:color w:val="auto"/>
        </w:rPr>
      </w:pPr>
    </w:p>
    <w:p>
      <w:pPr>
        <w:ind w:left="4" w:right="440" w:firstLine="436"/>
        <w:spacing w:after="0" w:line="277" w:lineRule="auto"/>
        <w:tabs>
          <w:tab w:leader="none" w:pos="69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applicable, no Default or Event of Default shall have occurred and be continuing.</w:t>
      </w:r>
    </w:p>
    <w:p>
      <w:pPr>
        <w:spacing w:after="0" w:line="62" w:lineRule="exact"/>
        <w:rPr>
          <w:rFonts w:ascii="Arial" w:cs="Arial" w:eastAsia="Arial" w:hAnsi="Arial"/>
          <w:sz w:val="18"/>
          <w:szCs w:val="18"/>
          <w:color w:val="auto"/>
        </w:rPr>
      </w:pPr>
    </w:p>
    <w:p>
      <w:pPr>
        <w:ind w:left="4" w:firstLine="436"/>
        <w:spacing w:after="0" w:line="277" w:lineRule="auto"/>
        <w:tabs>
          <w:tab w:leader="none" w:pos="68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After giving effect to any Borrowing or the issuance, amendment, renewal or extension of any Letter of Credit (i) U.S. Availability shall not be less than zero, (ii) Canadian Availability shall not be less than zero, and (iii) Aggregate Availability shall not be less than zero.</w:t>
      </w:r>
    </w:p>
    <w:p>
      <w:pPr>
        <w:spacing w:after="0" w:line="170" w:lineRule="exact"/>
        <w:rPr>
          <w:sz w:val="20"/>
          <w:szCs w:val="20"/>
          <w:color w:val="auto"/>
        </w:rPr>
      </w:pPr>
    </w:p>
    <w:p>
      <w:pPr>
        <w:ind w:left="4" w:right="160"/>
        <w:spacing w:after="0" w:line="308" w:lineRule="auto"/>
        <w:rPr>
          <w:sz w:val="20"/>
          <w:szCs w:val="20"/>
          <w:color w:val="auto"/>
        </w:rPr>
      </w:pPr>
      <w:r>
        <w:rPr>
          <w:rFonts w:ascii="Arial" w:cs="Arial" w:eastAsia="Arial" w:hAnsi="Arial"/>
          <w:sz w:val="17"/>
          <w:szCs w:val="17"/>
          <w:color w:val="auto"/>
        </w:rPr>
        <w:t>Each Borrowing and each issuance, amendment, renewal or extension of a Letter of Credit shall be deemed to constitute a representation and warranty by the Borrowers on the date thereof as to the matters specified in paragraphs (a), (b) and (c) of this Section.</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4"/>
          </w:cols>
          <w:pgMar w:left="436" w:top="274" w:right="47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ARTICLE V. </w:t>
      </w: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right="280" w:firstLine="440"/>
        <w:spacing w:after="0" w:line="257" w:lineRule="auto"/>
        <w:rPr>
          <w:sz w:val="20"/>
          <w:szCs w:val="20"/>
          <w:color w:val="auto"/>
        </w:rPr>
      </w:pPr>
      <w:r>
        <w:rPr>
          <w:rFonts w:ascii="Arial" w:cs="Arial" w:eastAsia="Arial" w:hAnsi="Arial"/>
          <w:sz w:val="18"/>
          <w:szCs w:val="18"/>
          <w:color w:val="auto"/>
        </w:rPr>
        <w:t>Until all the Revolving Commitments have expired or been terminated and the principal of and interest on each Loan and all fees payable hereunder shall have been paid in full and all Letters of Credit shall have expired or terminated (or have been cash collateralized in accordance with Section 2.06(k)) and all LC Disbursements shall have been reimbursed, Holdings and each Borrower covenants and agrees, and Holdings shall cause each other Loan Party to covenant and agree, in each case (subject to Section 12.01) jointly and severally with all of the other Loan Parties, with the Lender Parties that: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Financial Statements; Canadian Borrowing Base; U.S. Borrowing Base and Other Information</w:t>
      </w:r>
      <w:r>
        <w:rPr>
          <w:rFonts w:ascii="Arial" w:cs="Arial" w:eastAsia="Arial" w:hAnsi="Arial"/>
          <w:sz w:val="16"/>
          <w:szCs w:val="16"/>
          <w:color w:val="auto"/>
        </w:rPr>
        <w:t>. The Borrowers will furnish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(for distribution to each Lender):</w:t>
      </w:r>
    </w:p>
    <w:p>
      <w:pPr>
        <w:spacing w:after="0" w:line="103" w:lineRule="exact"/>
        <w:rPr>
          <w:sz w:val="20"/>
          <w:szCs w:val="20"/>
          <w:color w:val="auto"/>
        </w:rPr>
      </w:pPr>
    </w:p>
    <w:p>
      <w:pPr>
        <w:ind w:firstLine="436"/>
        <w:spacing w:after="0" w:line="268" w:lineRule="auto"/>
        <w:tabs>
          <w:tab w:leader="none" w:pos="68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within 90 days after the end of each fiscal year of Holdings, (i) the audited consolidated balance sheet of Holdings and its Subsidiaries and related statements of operations, stockholders’ equity and cash flows as of the end of and for such year (in the same format as the financial statements historically filed with the Securities and Exchange Commission),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other than any such qualification, commentary or exception resulting solely from any upcoming maturity date of any of the Indebtedness occurring within one year from the end of the fiscal year to which such audit applies or with respect to any prospective, potential or actual breach of a financial covenant set forth in any agreement governing Indebtedness) to the effect that such consolidated financial statements present fairly in all material respects the financial condition and results of operations of Holdings and its consolidated Subsidiaries on a consolidated basis in accordance with GAAP consistently applied, accompanied by any management letter prepared by said accountants, and (ii) the unaudited consolidating balance sheets of Holdings and its Subsidiaries and related consolidating statements of operations as of the end of and for such year (which unaudited consolidating financial statements shall be in a format reasonably satisfactory to the Administrative Agent, it being understood that such financial statements may be delivered to the Administrative Agent in electronic format), all certified by one of the Financial Officers of the Borrower Representative as presenting fairly in all material respects the financial condition and results of operations of Holdings and its Subsidiaries on a consolidating basis;</w:t>
      </w:r>
    </w:p>
    <w:p>
      <w:pPr>
        <w:spacing w:after="0" w:line="76" w:lineRule="exact"/>
        <w:rPr>
          <w:rFonts w:ascii="Arial" w:cs="Arial" w:eastAsia="Arial" w:hAnsi="Arial"/>
          <w:sz w:val="17"/>
          <w:szCs w:val="17"/>
          <w:color w:val="auto"/>
        </w:rPr>
      </w:pPr>
    </w:p>
    <w:p>
      <w:pPr>
        <w:ind w:firstLine="436"/>
        <w:spacing w:after="0" w:line="291" w:lineRule="auto"/>
        <w:tabs>
          <w:tab w:leader="none" w:pos="69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within 45 days after the end of each fiscal quarter of Holdings (other than the last fiscal quarter of a fiscal year), its consolidated balance sheet and related statements of operations, stockholders’ equity and cash flows as of the end of and for such fiscal quarter and the then elapsed portion of the fiscal year (in the same format as the financial statements historically filed with the Securities and Exchange Commission), setting forth in each case in comparative form the figures for the corresponding period or periods of (or, in the case of the balance sheet, as of the end of) the previous fiscal year and showing all adjustments necessary to eliminate the results of all Unrestricted Subsidiaries, all certified by one of the Financial Officers of the Borrower Representative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w:t>
      </w:r>
    </w:p>
    <w:p>
      <w:pPr>
        <w:spacing w:after="0" w:line="58" w:lineRule="exact"/>
        <w:rPr>
          <w:rFonts w:ascii="Arial" w:cs="Arial" w:eastAsia="Arial" w:hAnsi="Arial"/>
          <w:sz w:val="16"/>
          <w:szCs w:val="16"/>
          <w:color w:val="auto"/>
        </w:rPr>
      </w:pPr>
    </w:p>
    <w:p>
      <w:pPr>
        <w:ind w:firstLine="436"/>
        <w:spacing w:after="0" w:line="272" w:lineRule="auto"/>
        <w:tabs>
          <w:tab w:leader="none" w:pos="68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during any Monthly Financial Statement Trigger Period, within 30 days after the end of each fiscal month of Holdings (other than months which are the last month of a fiscal quarter), its consolidated balance sheet and related statements of operations, cash flows, and other reports, as of the end of and for such fiscal month and the then elapsed portion of the fiscal year, setting forth in each case in comparative form the figures for the corresponding period or periods of (or, in the case of the balance sheet, as of the end of) the previous fiscal year and showing all adjustments necessary to eliminate the results of all Unrestricted Subsidiaries, all certified by one of its Financial Officers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w:t>
      </w:r>
    </w:p>
    <w:p>
      <w:pPr>
        <w:spacing w:after="0" w:line="69" w:lineRule="exact"/>
        <w:rPr>
          <w:rFonts w:ascii="Arial" w:cs="Arial" w:eastAsia="Arial" w:hAnsi="Arial"/>
          <w:sz w:val="17"/>
          <w:szCs w:val="17"/>
          <w:color w:val="auto"/>
        </w:rPr>
      </w:pPr>
    </w:p>
    <w:p>
      <w:pPr>
        <w:ind w:right="60" w:firstLine="436"/>
        <w:spacing w:after="0" w:line="263" w:lineRule="auto"/>
        <w:tabs>
          <w:tab w:leader="none" w:pos="69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concurrently with any delivery of financial statements under clause (a), (b) or (c) above, a certificate of a Financial Officer of the Borrower Representative in substantially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(i) certifying, in the case of the financial statements delivered under clause (b) or (c), as presenting fairly in all material respects the financial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126" w:name="page127"/>
    <w:bookmarkEnd w:id="126"/>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 and results of operations of Holdings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in the case of certificates provided concurrently with the delivery of financial statements under clauses (a) and (b) above, setting forth reasonably detailed calculations of the Fixed Charge Coverage Ratio (x) demonstrating compliance with Section 6.12 if a Fixed Charge Coverage Trigger Period is then in effect or (y) for informational purposes only if a Fixed Charge Coverage Trigger Period is not then in effect, (iv) in the case of the financial statements delivered under clause (b), setting forth a reasonably detailed calculation of the Secured Leverage Ratio, (v) stating whether any change in GAAP or in the application thereof has occurred since the date of the audited financial statements referred to in Section 4.01(b)(i) and, if any such change has occurred, specifying the effect of such change on the financial statements accompanying such certificate, and (vi) certifying, in the case of the certificate delivered concurrently with the financial statements under clause (a) above, a list of names of all Excluded Subsidiaries and Unrestricted Subsidiaries at such time and that each Subsidiary set forth on such list qualifies as an Excluded Subsidiary or Unrestricted Subsidiary, as the case may be;</w:t>
      </w:r>
    </w:p>
    <w:p>
      <w:pPr>
        <w:spacing w:after="0" w:line="64" w:lineRule="exact"/>
        <w:rPr>
          <w:sz w:val="20"/>
          <w:szCs w:val="20"/>
          <w:color w:val="auto"/>
        </w:rPr>
      </w:pPr>
    </w:p>
    <w:p>
      <w:pPr>
        <w:jc w:val="both"/>
        <w:ind w:right="500" w:firstLine="436"/>
        <w:spacing w:after="0" w:line="311" w:lineRule="auto"/>
        <w:tabs>
          <w:tab w:leader="none" w:pos="68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as soon as available, but in any event not more than 45 days after the end of each fiscal year of Holdings, a copy of the plan and forecast (including a projected consolidated and consolidating balance sheet, income statement and statement of cash flows) of Holdings and its Restricted Subsidiaries for each quarter of the upcoming fiscal year (the “</w:t>
      </w:r>
      <w:r>
        <w:rPr>
          <w:rFonts w:ascii="Arial" w:cs="Arial" w:eastAsia="Arial" w:hAnsi="Arial"/>
          <w:sz w:val="16"/>
          <w:szCs w:val="16"/>
          <w:u w:val="single" w:color="auto"/>
          <w:color w:val="auto"/>
        </w:rPr>
        <w:t>Projections</w:t>
      </w:r>
      <w:r>
        <w:rPr>
          <w:rFonts w:ascii="Arial" w:cs="Arial" w:eastAsia="Arial" w:hAnsi="Arial"/>
          <w:sz w:val="16"/>
          <w:szCs w:val="16"/>
          <w:color w:val="auto"/>
        </w:rPr>
        <w:t>”) in form reasonably satisfactory to the Administrative Agent;</w:t>
      </w:r>
    </w:p>
    <w:p>
      <w:pPr>
        <w:spacing w:after="0" w:line="40" w:lineRule="exact"/>
        <w:rPr>
          <w:rFonts w:ascii="Arial" w:cs="Arial" w:eastAsia="Arial" w:hAnsi="Arial"/>
          <w:sz w:val="16"/>
          <w:szCs w:val="16"/>
          <w:color w:val="auto"/>
        </w:rPr>
      </w:pPr>
    </w:p>
    <w:p>
      <w:pPr>
        <w:ind w:right="100" w:firstLine="436"/>
        <w:spacing w:after="0" w:line="255" w:lineRule="auto"/>
        <w:tabs>
          <w:tab w:leader="none" w:pos="66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soon as available but in any event within 20 days after the end of each calendar quarter (or, (i) within 20 days after the end of each calendar month during any Monthly Reporting Trigger Period or (ii) by Wednesday of each week, with respect to the most recently ended calendar week during any Weekly Reporting Trigger Period), and at such other times as may be requested by the Administrative Agent, as of the period then ended, Borrowing Base Certificates which calculate the Aggregate Borrowing Base, the U.S. Borrowing Base, and the Canadian Borrowing Base, and supporting information in connection therewith, together with any additional reports with respect to the Canadian Borrowing Base and the U.S. Borrowing Base as the Administrative Agent may reasonably request;</w:t>
      </w:r>
    </w:p>
    <w:p>
      <w:pPr>
        <w:spacing w:after="0" w:line="84" w:lineRule="exact"/>
        <w:rPr>
          <w:rFonts w:ascii="Arial" w:cs="Arial" w:eastAsia="Arial" w:hAnsi="Arial"/>
          <w:sz w:val="18"/>
          <w:szCs w:val="18"/>
          <w:color w:val="auto"/>
        </w:rPr>
      </w:pPr>
    </w:p>
    <w:p>
      <w:pPr>
        <w:ind w:right="300" w:firstLine="436"/>
        <w:spacing w:after="0" w:line="311" w:lineRule="auto"/>
        <w:tabs>
          <w:tab w:leader="none" w:pos="69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as soon as available but in any event within 20 days after the end of each calendar quarter (or, within 20 days after the end of each calendar month during any Monthly Reporting Trigger Period), and at such other times as may be reasonably requested by the Administrative Agent in its Permitted Discretion, as of the period then ended, all delivered electronically in a text formatted file acceptable to the Administrative Agent:</w:t>
      </w:r>
    </w:p>
    <w:p>
      <w:pPr>
        <w:spacing w:after="0" w:line="40" w:lineRule="exact"/>
        <w:rPr>
          <w:rFonts w:ascii="Arial" w:cs="Arial" w:eastAsia="Arial" w:hAnsi="Arial"/>
          <w:sz w:val="16"/>
          <w:szCs w:val="16"/>
          <w:color w:val="auto"/>
        </w:rPr>
      </w:pPr>
    </w:p>
    <w:p>
      <w:pPr>
        <w:ind w:left="440" w:right="180" w:firstLine="419"/>
        <w:spacing w:after="0" w:line="263" w:lineRule="auto"/>
        <w:tabs>
          <w:tab w:leader="none" w:pos="107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summary aging of the Canadian Borrowers’ Accounts, including all invoices aged by invoice date or due date (with an explanation of the terms offered) prepared in a manner reasonably acceptable to the Administrative Agent, together with a detailed aging specifying the name, address, and balance due for each Account Debtor, if requested by the Administrative Agent;</w:t>
      </w:r>
    </w:p>
    <w:p>
      <w:pPr>
        <w:spacing w:after="0" w:line="75" w:lineRule="exact"/>
        <w:rPr>
          <w:rFonts w:ascii="Arial" w:cs="Arial" w:eastAsia="Arial" w:hAnsi="Arial"/>
          <w:sz w:val="18"/>
          <w:szCs w:val="18"/>
          <w:color w:val="auto"/>
        </w:rPr>
      </w:pPr>
    </w:p>
    <w:p>
      <w:pPr>
        <w:ind w:left="440" w:firstLine="419"/>
        <w:spacing w:after="0" w:line="271" w:lineRule="auto"/>
        <w:tabs>
          <w:tab w:leader="none" w:pos="1128"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 schedule detailing the Borrowers’ Inventory, in form satisfactory to the Administrative Agent by location (showing Inventory in transit, any Inventory located with a third party under any consignment, bailee arrangement, or warehouse agreement) which Inventory shall be valued at the lower of cost (determined on a first-in, first-out basis) or market and adjusted for Reserves as the Administrative Agent has previously indicated to the Borrower Representative are deemed by the Administrative Agent to be appropriate, and, if requested by the Administrative Agent, such schedule to also provide detailing of the Borrowers’ Inventory by class (raw material, work-in-process and finished goods), by product type, and by volume on hand and include a report of any variances or other results of Inventory counts performed by the Borrowers since the last Inventory schedule (including information regarding sales or other reductions, additions, returns, credits issued by Borrowers and complaints and claims made against the Borrowers);</w:t>
      </w:r>
    </w:p>
    <w:p>
      <w:pPr>
        <w:spacing w:after="0" w:line="70" w:lineRule="exact"/>
        <w:rPr>
          <w:rFonts w:ascii="Arial" w:cs="Arial" w:eastAsia="Arial" w:hAnsi="Arial"/>
          <w:sz w:val="17"/>
          <w:szCs w:val="17"/>
          <w:color w:val="auto"/>
        </w:rPr>
      </w:pPr>
    </w:p>
    <w:p>
      <w:pPr>
        <w:ind w:left="440" w:right="20" w:firstLine="419"/>
        <w:spacing w:after="0" w:line="308" w:lineRule="auto"/>
        <w:tabs>
          <w:tab w:leader="none" w:pos="1178"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 worksheet of calculations prepared by the Borrowers to determine Eligible Accounts and Eligible Inventory, such worksheets detailing the Accounts and Inventory excluded from Eligible Accounts and Eligible Inventory and the reason for such exclusion;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127" w:name="page128"/>
    <w:bookmarkEnd w:id="127"/>
    <w:p>
      <w:pPr>
        <w:ind w:right="300" w:firstLine="436"/>
        <w:spacing w:after="0" w:line="286" w:lineRule="auto"/>
        <w:tabs>
          <w:tab w:leader="none" w:pos="695" w:val="left"/>
        </w:tabs>
        <w:numPr>
          <w:ilvl w:val="0"/>
          <w:numId w:val="1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soon as available but in any event within 30 days after the end of each calendar quarter (or, within 20 days after the end of each calendar month during any Monthly Reporting Trigger Period), and at such other times as may be requested by the Administrative Agent in its Permitted Discretion, as of the period then ended, all delivered electronically in a text formatted file acceptable to the Administrative Agent:</w:t>
      </w:r>
    </w:p>
    <w:p>
      <w:pPr>
        <w:spacing w:after="0" w:line="57" w:lineRule="exact"/>
        <w:rPr>
          <w:rFonts w:ascii="Arial" w:cs="Arial" w:eastAsia="Arial" w:hAnsi="Arial"/>
          <w:sz w:val="17"/>
          <w:szCs w:val="17"/>
          <w:color w:val="auto"/>
        </w:rPr>
      </w:pPr>
    </w:p>
    <w:p>
      <w:pPr>
        <w:ind w:left="440" w:right="280" w:firstLine="419"/>
        <w:spacing w:after="0" w:line="263" w:lineRule="auto"/>
        <w:tabs>
          <w:tab w:leader="none" w:pos="107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 summary aging of the U.S. Borrowers’ Accounts, including all invoices aged by invoice date or due date (with an explanation of the terms offered) prepared in a manner reasonably acceptable to the Administrative Agent, together with a detailed aging specifying the name, address, and balance due for each Account Debtor, if requested by the Administrative Agent;</w:t>
      </w:r>
    </w:p>
    <w:p>
      <w:pPr>
        <w:spacing w:after="0" w:line="75" w:lineRule="exact"/>
        <w:rPr>
          <w:rFonts w:ascii="Arial" w:cs="Arial" w:eastAsia="Arial" w:hAnsi="Arial"/>
          <w:sz w:val="18"/>
          <w:szCs w:val="18"/>
          <w:color w:val="auto"/>
        </w:rPr>
      </w:pPr>
    </w:p>
    <w:p>
      <w:pPr>
        <w:ind w:left="440" w:right="220" w:firstLine="419"/>
        <w:spacing w:after="0" w:line="277" w:lineRule="auto"/>
        <w:tabs>
          <w:tab w:leader="none" w:pos="112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 reconciliation of the Borrowers’ Accounts and Inventory between the amounts shown in the Borrowers’ general ledger and financial statements and the reports delivered pursuant to clauses (i) and (ii) above; and</w:t>
      </w:r>
    </w:p>
    <w:p>
      <w:pPr>
        <w:spacing w:after="0" w:line="62" w:lineRule="exact"/>
        <w:rPr>
          <w:rFonts w:ascii="Arial" w:cs="Arial" w:eastAsia="Arial" w:hAnsi="Arial"/>
          <w:sz w:val="18"/>
          <w:szCs w:val="18"/>
          <w:color w:val="auto"/>
        </w:rPr>
      </w:pPr>
    </w:p>
    <w:p>
      <w:pPr>
        <w:ind w:left="1180" w:hanging="321"/>
        <w:spacing w:after="0"/>
        <w:tabs>
          <w:tab w:leader="none" w:pos="11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 reconciliation of the loan balance per the Borrowers’ general ledger to the loan balance under this Agreement;</w:t>
      </w:r>
    </w:p>
    <w:p>
      <w:pPr>
        <w:spacing w:after="0" w:line="117" w:lineRule="exact"/>
        <w:rPr>
          <w:rFonts w:ascii="Arial" w:cs="Arial" w:eastAsia="Arial" w:hAnsi="Arial"/>
          <w:sz w:val="18"/>
          <w:szCs w:val="18"/>
          <w:color w:val="auto"/>
        </w:rPr>
      </w:pPr>
    </w:p>
    <w:p>
      <w:pPr>
        <w:ind w:right="340" w:firstLine="436"/>
        <w:spacing w:after="0" w:line="311" w:lineRule="auto"/>
        <w:tabs>
          <w:tab w:leader="none" w:pos="65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as soon as available but in any event within 20 days after the end of each calendar quarter (or, within 20 days after the end of each calendar month during any Monthly Reporting Trigger Period), and at such other times as may be requested by the Administrative Agent, a summary of the Borrowers’ accounts payable, delivered electronically in a text formatted file acceptable to the Administrative Agent in its Permitted Discretion;</w:t>
      </w:r>
    </w:p>
    <w:p>
      <w:pPr>
        <w:spacing w:after="0" w:line="40" w:lineRule="exact"/>
        <w:rPr>
          <w:rFonts w:ascii="Arial" w:cs="Arial" w:eastAsia="Arial" w:hAnsi="Arial"/>
          <w:sz w:val="16"/>
          <w:szCs w:val="16"/>
          <w:color w:val="auto"/>
        </w:rPr>
      </w:pPr>
    </w:p>
    <w:p>
      <w:pPr>
        <w:ind w:right="500" w:firstLine="436"/>
        <w:spacing w:after="0" w:line="277" w:lineRule="auto"/>
        <w:tabs>
          <w:tab w:leader="none" w:pos="6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promptly upon the Administrative Agent’s request during a Weekly Reporting Trigger Period, the Borrowers’ sales journal, cash receipts journal (identifying trade and non-trade cash receipts) and debt memo/credit journal;</w:t>
      </w:r>
    </w:p>
    <w:p>
      <w:pPr>
        <w:spacing w:after="0" w:line="62" w:lineRule="exact"/>
        <w:rPr>
          <w:rFonts w:ascii="Arial" w:cs="Arial" w:eastAsia="Arial" w:hAnsi="Arial"/>
          <w:sz w:val="18"/>
          <w:szCs w:val="18"/>
          <w:color w:val="auto"/>
        </w:rPr>
      </w:pPr>
    </w:p>
    <w:p>
      <w:pPr>
        <w:ind w:right="100" w:firstLine="436"/>
        <w:spacing w:after="0" w:line="263" w:lineRule="auto"/>
        <w:tabs>
          <w:tab w:leader="none" w:pos="69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within 20 days after each June 30, an updated list of customers from certain divisions of the Borrowers as requested by the Administrative Agent in form and with such details that are satisfactory to the Administrative Agent, which shall be certified as true and correct in all material respects by a senior officer of the Borrower Representative;</w:t>
      </w:r>
    </w:p>
    <w:p>
      <w:pPr>
        <w:spacing w:after="0" w:line="75" w:lineRule="exact"/>
        <w:rPr>
          <w:rFonts w:ascii="Arial" w:cs="Arial" w:eastAsia="Arial" w:hAnsi="Arial"/>
          <w:sz w:val="18"/>
          <w:szCs w:val="18"/>
          <w:color w:val="auto"/>
        </w:rPr>
      </w:pPr>
    </w:p>
    <w:p>
      <w:pPr>
        <w:ind w:left="660" w:hanging="224"/>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right="60" w:firstLine="436"/>
        <w:spacing w:after="0" w:line="263" w:lineRule="auto"/>
        <w:tabs>
          <w:tab w:leader="none" w:pos="74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promptly upon the Administrative Agent’s request but no more frequently than once each calendar quarter, a list of all Swap Agreements and amendments to Swap Agreements, in each case, having a term of 60 or more days, entered into by any Loan Party, which list shall include the estimated exposure of the Loan Parties under each such Swap Agreement and the counterparty party thereto;</w:t>
      </w:r>
    </w:p>
    <w:p>
      <w:pPr>
        <w:spacing w:after="0" w:line="75" w:lineRule="exact"/>
        <w:rPr>
          <w:rFonts w:ascii="Arial" w:cs="Arial" w:eastAsia="Arial" w:hAnsi="Arial"/>
          <w:sz w:val="18"/>
          <w:szCs w:val="18"/>
          <w:color w:val="auto"/>
        </w:rPr>
      </w:pPr>
    </w:p>
    <w:p>
      <w:pPr>
        <w:jc w:val="both"/>
        <w:ind w:firstLine="436"/>
        <w:spacing w:after="0" w:line="259" w:lineRule="auto"/>
        <w:tabs>
          <w:tab w:leader="none" w:pos="69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proxy statements and other materials filed by any Loan Party with the Securities and Exchange Commission, the Ontario Securities Commission or any Governmental Authority succeeding to any or all of the functions of said Commissions, or with any national securities exchange, or distributed by any Loan Party to its shareholders generally, as the case may be;</w:t>
      </w:r>
    </w:p>
    <w:p>
      <w:pPr>
        <w:spacing w:after="0" w:line="78" w:lineRule="exact"/>
        <w:rPr>
          <w:rFonts w:ascii="Arial" w:cs="Arial" w:eastAsia="Arial" w:hAnsi="Arial"/>
          <w:sz w:val="18"/>
          <w:szCs w:val="18"/>
          <w:color w:val="auto"/>
        </w:rPr>
      </w:pPr>
    </w:p>
    <w:p>
      <w:pPr>
        <w:ind w:right="60" w:firstLine="436"/>
        <w:spacing w:after="0" w:line="263" w:lineRule="auto"/>
        <w:tabs>
          <w:tab w:leader="none" w:pos="69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promptly after the request by any Lender, all documentation and other information that such Lender reasonably requests in order to comply with its ongoing obligations under (i) applicable “know your customer” and anti-money laundering rules and regulations, including the USA Patriot Act and the AML Legislation, and (ii) the Beneficial Ownership Regulation; and</w:t>
      </w:r>
    </w:p>
    <w:p>
      <w:pPr>
        <w:spacing w:after="0" w:line="75" w:lineRule="exact"/>
        <w:rPr>
          <w:rFonts w:ascii="Arial" w:cs="Arial" w:eastAsia="Arial" w:hAnsi="Arial"/>
          <w:sz w:val="18"/>
          <w:szCs w:val="18"/>
          <w:color w:val="auto"/>
        </w:rPr>
      </w:pPr>
    </w:p>
    <w:p>
      <w:pPr>
        <w:ind w:right="80" w:firstLine="436"/>
        <w:spacing w:after="0" w:line="308" w:lineRule="auto"/>
        <w:tabs>
          <w:tab w:leader="none" w:pos="69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promptly following any request therefor, such other information regarding the operations, business affairs and financial condition of any Loan Party or any Restricted Subsidiary, or compliance with the terms of this Agreement, as the Administrative Agent may reasonably request.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128" w:name="page129"/>
    <w:bookmarkEnd w:id="128"/>
    <w:p>
      <w:pPr>
        <w:ind w:left="4"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5.02 </w:t>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The Borrowers will furnish to the Administrative Agent (for distribution to each Lender) prompt (but in any event within any time period specified below) written notice of the following:</w:t>
      </w:r>
    </w:p>
    <w:p>
      <w:pPr>
        <w:spacing w:after="0" w:line="62" w:lineRule="exact"/>
        <w:rPr>
          <w:sz w:val="20"/>
          <w:szCs w:val="20"/>
          <w:color w:val="auto"/>
        </w:rPr>
      </w:pPr>
    </w:p>
    <w:p>
      <w:pPr>
        <w:ind w:left="684" w:hanging="244"/>
        <w:spacing w:after="0"/>
        <w:tabs>
          <w:tab w:leader="none" w:pos="68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occurrence of any Default or Event of Default;</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126"/>
        </w:numPr>
        <w:rPr>
          <w:rFonts w:ascii="Arial" w:cs="Arial" w:eastAsia="Arial" w:hAnsi="Arial"/>
          <w:sz w:val="16"/>
          <w:szCs w:val="16"/>
          <w:color w:val="auto"/>
        </w:rPr>
      </w:pPr>
      <w:r>
        <w:rPr>
          <w:rFonts w:ascii="Arial" w:cs="Arial" w:eastAsia="Arial" w:hAnsi="Arial"/>
          <w:sz w:val="16"/>
          <w:szCs w:val="16"/>
          <w:color w:val="auto"/>
        </w:rPr>
        <w:t>receipt of any notice of any governmental investigation or any litigation or proceeding commenced or threatened against any Loan Party that</w:t>
      </w:r>
    </w:p>
    <w:p>
      <w:pPr>
        <w:spacing w:after="0" w:line="46" w:lineRule="exact"/>
        <w:rPr>
          <w:rFonts w:ascii="Arial" w:cs="Arial" w:eastAsia="Arial" w:hAnsi="Arial"/>
          <w:sz w:val="16"/>
          <w:szCs w:val="16"/>
          <w:color w:val="auto"/>
        </w:rPr>
      </w:pPr>
    </w:p>
    <w:p>
      <w:pPr>
        <w:ind w:left="4" w:hanging="4"/>
        <w:spacing w:after="0" w:line="273" w:lineRule="auto"/>
        <w:tabs>
          <w:tab w:leader="none" w:pos="219" w:val="left"/>
        </w:tabs>
        <w:numPr>
          <w:ilvl w:val="0"/>
          <w:numId w:val="127"/>
        </w:numPr>
        <w:rPr>
          <w:rFonts w:ascii="Arial" w:cs="Arial" w:eastAsia="Arial" w:hAnsi="Arial"/>
          <w:sz w:val="17"/>
          <w:szCs w:val="17"/>
          <w:color w:val="auto"/>
        </w:rPr>
      </w:pPr>
      <w:r>
        <w:rPr>
          <w:rFonts w:ascii="Arial" w:cs="Arial" w:eastAsia="Arial" w:hAnsi="Arial"/>
          <w:sz w:val="17"/>
          <w:szCs w:val="17"/>
          <w:color w:val="auto"/>
        </w:rPr>
        <w:t>seeks damages in excess of $75,000,000, (ii) is asserted or instituted against any Plan or any Canadian Pension Plan, its fiduciaries or its assets an amount in excess of $75,000,000, (iii) alleges criminal misconduct by any Loan Party, (iv) alleges the violation of any law regarding, or seeks remedies in connection with, any Environmental Laws to the extent such results in, or could reasonably be expected to result in, damages or liabilities in excess of $75,000,000, or (v) contests any tax, fee, assessment, or other governmental charge in excess of $75,000,000;</w:t>
      </w:r>
    </w:p>
    <w:p>
      <w:pPr>
        <w:spacing w:after="0" w:line="68" w:lineRule="exact"/>
        <w:rPr>
          <w:rFonts w:ascii="Arial" w:cs="Arial" w:eastAsia="Arial" w:hAnsi="Arial"/>
          <w:sz w:val="17"/>
          <w:szCs w:val="17"/>
          <w:color w:val="auto"/>
        </w:rPr>
      </w:pPr>
    </w:p>
    <w:p>
      <w:pPr>
        <w:ind w:left="4" w:right="420" w:firstLine="436"/>
        <w:spacing w:after="0" w:line="263" w:lineRule="auto"/>
        <w:tabs>
          <w:tab w:leader="none" w:pos="689"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Lien (other than Permitted Encumbrances and Liens in favor of the Administrative Agent (for the benefit of the Lender Parties or the Canadian Lender Parties, as the case may be)) or claim made or asserted in writing against ABL Priority Collateral having a value in excess of $75,000,000, upon any Loan Party’s knowledge of such Lien or claim;</w:t>
      </w:r>
    </w:p>
    <w:p>
      <w:pPr>
        <w:spacing w:after="0" w:line="75" w:lineRule="exact"/>
        <w:rPr>
          <w:rFonts w:ascii="Arial" w:cs="Arial" w:eastAsia="Arial" w:hAnsi="Arial"/>
          <w:sz w:val="18"/>
          <w:szCs w:val="18"/>
          <w:color w:val="auto"/>
        </w:rPr>
      </w:pPr>
    </w:p>
    <w:p>
      <w:pPr>
        <w:ind w:left="704" w:hanging="264"/>
        <w:spacing w:after="0"/>
        <w:tabs>
          <w:tab w:leader="none" w:pos="704"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any loss, damage, or destruction to the ABL Priority Collateral in the amount of $75,000,000 or more, whether or not covered by insurance;</w:t>
      </w:r>
    </w:p>
    <w:p>
      <w:pPr>
        <w:spacing w:after="0" w:line="140" w:lineRule="exact"/>
        <w:rPr>
          <w:rFonts w:ascii="Arial" w:cs="Arial" w:eastAsia="Arial" w:hAnsi="Arial"/>
          <w:sz w:val="16"/>
          <w:szCs w:val="16"/>
          <w:color w:val="auto"/>
        </w:rPr>
      </w:pPr>
    </w:p>
    <w:p>
      <w:pPr>
        <w:ind w:left="4" w:right="80" w:firstLine="436"/>
        <w:spacing w:after="0" w:line="277" w:lineRule="auto"/>
        <w:tabs>
          <w:tab w:leader="none" w:pos="689"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and all default notices in writing received with respect to any leased location or public warehouse where ABL Priority Collateral having a value in excess of $75,000,000 is located;</w:t>
      </w:r>
    </w:p>
    <w:p>
      <w:pPr>
        <w:spacing w:after="0" w:line="62" w:lineRule="exact"/>
        <w:rPr>
          <w:rFonts w:ascii="Arial" w:cs="Arial" w:eastAsia="Arial" w:hAnsi="Arial"/>
          <w:sz w:val="18"/>
          <w:szCs w:val="18"/>
          <w:color w:val="auto"/>
        </w:rPr>
      </w:pPr>
    </w:p>
    <w:p>
      <w:pPr>
        <w:ind w:left="4" w:right="60" w:firstLine="436"/>
        <w:spacing w:after="0" w:line="342" w:lineRule="auto"/>
        <w:tabs>
          <w:tab w:leader="none" w:pos="669"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occurrence of any ERISA Event or Pension Event that, alone or together with any other ERISA Events and Pension Events that have occurred, could reasonably be expected to result in liability of the Borrowers and their Subsidiaries in an aggregate amount exceeding $75,000,000; and</w:t>
      </w:r>
    </w:p>
    <w:p>
      <w:pPr>
        <w:spacing w:after="0" w:line="15" w:lineRule="exact"/>
        <w:rPr>
          <w:rFonts w:ascii="Arial" w:cs="Arial" w:eastAsia="Arial" w:hAnsi="Arial"/>
          <w:sz w:val="16"/>
          <w:szCs w:val="16"/>
          <w:color w:val="auto"/>
        </w:rPr>
      </w:pPr>
    </w:p>
    <w:p>
      <w:pPr>
        <w:ind w:left="704" w:hanging="264"/>
        <w:spacing w:after="0"/>
        <w:tabs>
          <w:tab w:leader="none" w:pos="70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225" w:lineRule="exact"/>
        <w:rPr>
          <w:sz w:val="20"/>
          <w:szCs w:val="20"/>
          <w:color w:val="auto"/>
        </w:rPr>
      </w:pPr>
    </w:p>
    <w:p>
      <w:pPr>
        <w:ind w:left="4" w:right="20"/>
        <w:spacing w:after="0" w:line="268" w:lineRule="auto"/>
        <w:rPr>
          <w:sz w:val="20"/>
          <w:szCs w:val="20"/>
          <w:color w:val="auto"/>
        </w:rPr>
      </w:pPr>
      <w:r>
        <w:rPr>
          <w:rFonts w:ascii="Arial" w:cs="Arial" w:eastAsia="Arial" w:hAnsi="Arial"/>
          <w:sz w:val="17"/>
          <w:szCs w:val="17"/>
          <w:color w:val="auto"/>
        </w:rPr>
        <w:t xml:space="preserve">Information required to be delivered pursuant to Section 5.01 or Section 5.02 (to the extent any such information is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a Borrower’s behalf on an Internet or intranet website, if any, to which each Lender and the Administrative Agent have access (whether a commercial, third-party website or whether made available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upon written request by the Administrative Agent (or any Lender through the Administrative Agent) to the Borrower Representative, the Borrower Representative shall deliver paper copies of such documents to the Administrative Agent or such Lender until a written request to cease delivering paper copies is given by the Administrative Agent or such Lender and (B) the Borrower Representative shall notify the Administrative Agent and each Lender (by fax or through Electronic Systems) of the posting of any such documents and provide to the Administrative Agent through Electronic Systems electronic versions (i.e., soft copies) of such documents. The Administrative Agent shall have no obligation to request the delivery of or to maintain paper copies of the documents referred to above, and in any event shall have no responsibility to monitor compliance by any Borrower with any such request by a Lender for delivery, and each Lender shall be solely responsible for timely accessing posted documents or requesting delivery of paper copies of such documents to it and maintaining its copies of such documents.</w:t>
      </w:r>
    </w:p>
    <w:p>
      <w:pPr>
        <w:spacing w:after="0" w:line="186" w:lineRule="exact"/>
        <w:rPr>
          <w:sz w:val="20"/>
          <w:szCs w:val="20"/>
          <w:color w:val="auto"/>
        </w:rPr>
      </w:pPr>
    </w:p>
    <w:p>
      <w:pPr>
        <w:ind w:left="4" w:right="260"/>
        <w:spacing w:after="0" w:line="275" w:lineRule="auto"/>
        <w:rPr>
          <w:sz w:val="20"/>
          <w:szCs w:val="20"/>
          <w:color w:val="auto"/>
        </w:rPr>
      </w:pPr>
      <w:r>
        <w:rPr>
          <w:rFonts w:ascii="Arial" w:cs="Arial" w:eastAsia="Arial" w:hAnsi="Arial"/>
          <w:sz w:val="17"/>
          <w:szCs w:val="17"/>
          <w:color w:val="auto"/>
        </w:rPr>
        <w:t>The Loan Parties hereby acknowledge that (a) the Administrative Agent will make available to the Lenders and the Issuing Banks materials and/or information provided by or on behalf of the Loan Parties hereunder (collectively, “</w:t>
      </w:r>
      <w:r>
        <w:rPr>
          <w:rFonts w:ascii="Arial" w:cs="Arial" w:eastAsia="Arial" w:hAnsi="Arial"/>
          <w:sz w:val="17"/>
          <w:szCs w:val="17"/>
          <w:u w:val="single" w:color="auto"/>
          <w:color w:val="auto"/>
        </w:rPr>
        <w:t>Loan Party Materials</w:t>
      </w:r>
      <w:r>
        <w:rPr>
          <w:rFonts w:ascii="Arial" w:cs="Arial" w:eastAsia="Arial" w:hAnsi="Arial"/>
          <w:sz w:val="17"/>
          <w:szCs w:val="17"/>
          <w:color w:val="auto"/>
        </w:rPr>
        <w:t>”) by posting the Loan Party Materials on the Electronic System and (b) certain of the Lenders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may have personnel who do not wish to receive material non-public information with respect to the Loan Parties or their Affiliates, or the respective securities of any of the foregoing, and who may be engaged in investment and other market-related activities with respect to such Persons’ securities. The Loan Parties hereby agree</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84"/>
          </w:cols>
          <w:pgMar w:left="436" w:top="274" w:right="479" w:bottom="1440" w:gutter="0" w:footer="0" w:header="0"/>
        </w:sectPr>
      </w:pPr>
    </w:p>
    <w:bookmarkStart w:id="129" w:name="page130"/>
    <w:bookmarkEnd w:id="129"/>
    <w:p>
      <w:pPr>
        <w:ind w:left="4"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they will use commercially reasonable efforts to identify that portion of the Loan Party Materials that may be distributed to the Public Lenders and that (w) all such Loan Party Materials shall be clearly and conspicuously marked “PUBLIC” which, at a minimum, shall mean that the word “PUBLIC” shall appear prominently on the first page thereof; (x) by marking the Loan Party Materials “PUBLIC,” the Borrower Representative shall be deemed to have authorized the Administrative Agent, the Issuing Banks and the Lenders to treat such Loan Party Materials as not containing any material non-public information (although it may be sensitive and proprietary) with respect to the Loan Parties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to the extent such Loan Party Materials constitute “Information” (as defined in Section 9.12), they shall be treated as set forth in Section 9.12); (y) all Loan Party Materials marked “PUBLIC” are permitted to be made available through a portion of the Electronic System designated “Public Investor”; and (z) the Administrative Agent shall be entitled to treat any Loan Party Materials that are not marked “PUBLIC” as being suitable only for posting on a portion of the Electronic System not designated “Public Investor.”</w:t>
      </w:r>
    </w:p>
    <w:p>
      <w:pPr>
        <w:spacing w:after="0" w:line="166"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Existence; Conduct of Business</w:t>
      </w:r>
      <w:r>
        <w:rPr>
          <w:rFonts w:ascii="Arial" w:cs="Arial" w:eastAsia="Arial" w:hAnsi="Arial"/>
          <w:sz w:val="17"/>
          <w:szCs w:val="17"/>
          <w:color w:val="auto"/>
        </w:rPr>
        <w:t xml:space="preserve">. Each Loan Party will, and will cause each Subsidiary (other than an Excluded Subsidiary or Unrestricted Subsidiary) to, (a) (i) do or cause to be done all things necessary to preserve, renew and keep in full force and effect its legal existence and to maintain December 31 as the last day of its fiscal year (or if such Subsidiary has a last day of a fiscal year other than December 31 as of the date of its acquisition, such last day of its fiscal year applicable to such Subsidiary as of the date of such acquisition), (ii) do or cause to be done all things necessary to preserve, renew and keep in full force and effect the rights, qualifications, licenses, permits, franchises, governmental authorizations, intellectual property rights, licenses and permits material to the conduct of its business, and (iii) maintain all requisite authority to conduct its business in each jurisdiction in which its business is conducted except where the failure to comply with clauses (ii) and (iii) of Section 5.03 would not reasonably be expected to result in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in this clause (a) shall not prohibit any merger, consolidation, amalgamation, sale, disposition, liquidation or dissolution permitted under Section 6.03 or otherwise permitted under this Agreement and (b) carry on and conduct its business in substantially the same manner and in substantially the same fields of enterprise as it is presently conducted and any similar or related lines of business and logical extensions thereof.</w:t>
      </w:r>
    </w:p>
    <w:p>
      <w:pPr>
        <w:spacing w:after="0" w:line="182" w:lineRule="exact"/>
        <w:rPr>
          <w:sz w:val="20"/>
          <w:szCs w:val="20"/>
          <w:color w:val="auto"/>
        </w:rPr>
      </w:pPr>
    </w:p>
    <w:p>
      <w:pPr>
        <w:ind w:left="4" w:right="400" w:firstLine="440"/>
        <w:spacing w:after="0" w:line="291"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Payment of Obligations</w:t>
      </w:r>
      <w:r>
        <w:rPr>
          <w:rFonts w:ascii="Arial" w:cs="Arial" w:eastAsia="Arial" w:hAnsi="Arial"/>
          <w:sz w:val="16"/>
          <w:szCs w:val="16"/>
          <w:color w:val="auto"/>
        </w:rPr>
        <w:t>. Each Loan Party will, and will cause each Restricted Subsidiary to, pay or discharge all Material Indebtedness and all other material liabilities and obligations, including Taxes, before the same shall become delinquent or in default, except where</w:t>
      </w:r>
    </w:p>
    <w:p>
      <w:pPr>
        <w:ind w:left="4" w:hanging="4"/>
        <w:spacing w:after="0" w:line="255" w:lineRule="auto"/>
        <w:tabs>
          <w:tab w:leader="none" w:pos="24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validity or amount thereof is being contested in good faith by appropriate proceedings and such Loan Party or such Restricted Subsidiary has set aside on its books adequate reserves with respect thereto in accordance with GAAP or (b) the failure to make payment would not reasonably be expected to result in a Material Adverse Effect.</w:t>
      </w:r>
    </w:p>
    <w:p>
      <w:pPr>
        <w:spacing w:after="0" w:line="190"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Each Loan Party will, and will cause each material Restricted Subsidiary to, keep and maintain all property material to the conduct of its business, taken as a whole, in good working order and condition, ordinary wear and tear excepted, except where the failure to do so would not reasonably be expected to result in a Material Adverse Effect.</w:t>
      </w:r>
    </w:p>
    <w:p>
      <w:pPr>
        <w:spacing w:after="0" w:line="184" w:lineRule="exact"/>
        <w:rPr>
          <w:sz w:val="20"/>
          <w:szCs w:val="20"/>
          <w:color w:val="auto"/>
        </w:rPr>
      </w:pPr>
    </w:p>
    <w:p>
      <w:pPr>
        <w:ind w:left="4" w:right="60" w:firstLine="440"/>
        <w:spacing w:after="0" w:line="269"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Books and Records; Inspection Rights</w:t>
      </w:r>
      <w:r>
        <w:rPr>
          <w:rFonts w:ascii="Arial" w:cs="Arial" w:eastAsia="Arial" w:hAnsi="Arial"/>
          <w:sz w:val="17"/>
          <w:szCs w:val="17"/>
          <w:color w:val="auto"/>
        </w:rPr>
        <w:t xml:space="preserve">. Each Loan Party will, and will cause each Restricted Subsidiary to, keep their books of record and account in accordance with GAAP and permit any representatives designated by the Administrative Agent (including employees of the Administrative Agent, or any consultants, accountants, lawyers and appraisers retained by the Administrative Agent), upon reasonable prior notice and during normal business hours, to visit and inspect its properties, to examine and make extracts from its books and records, and to discuss its affairs, finances and condition with its officers and independent accountants;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Administrative Agent shall give the Borrower Representative an opportunity to participate in any discussions with its accountants, (b) in the absence of the existence of an Event of Default, (i) only the Administrative Agent on behalf of the Lenders may exercise the rights of the Administrative Agent and the Lenders under this Section 5.06 and (ii) the Administrative Agent shall not exercise its rights under this Section 5.06 more often than two times during any period of twelve consecutive months; and (iii) when an Event of Default exists, the Administrative Agent or any Lender and its respective designees may do any of the foregoing at the expense of the Loan Parties at any time during normal business hours and upon reasonable advance notice. The Loan Parties acknowledge that the Administrative Agent, after exercising its rights of inspection, may prepare and distribute to the Lenders certain Reports pertaining to the Loan Parties and their assets for internal use by the Administrative Agent and the Lenders.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4"/>
          </w:cols>
          <w:pgMar w:left="436" w:top="274" w:right="459" w:bottom="1440" w:gutter="0" w:footer="0" w:header="0"/>
        </w:sectPr>
      </w:pPr>
    </w:p>
    <w:bookmarkStart w:id="130" w:name="page131"/>
    <w:bookmarkEnd w:id="13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117" w:lineRule="exact"/>
        <w:rPr>
          <w:sz w:val="20"/>
          <w:szCs w:val="20"/>
          <w:color w:val="auto"/>
        </w:rPr>
      </w:pPr>
    </w:p>
    <w:p>
      <w:pPr>
        <w:ind w:right="420" w:firstLine="436"/>
        <w:spacing w:after="0" w:line="263" w:lineRule="auto"/>
        <w:tabs>
          <w:tab w:leader="none" w:pos="68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Loan Party will, and will cause each Restricted Subsidiary to, comply with each Requirement of Law applicable to it or its property (including without limitation Environmental Laws), except, in each case, where the failure to do so, individually or in the aggregate, would not reasonably be expected to result in a Material Adverse Effect.</w:t>
      </w:r>
    </w:p>
    <w:p>
      <w:pPr>
        <w:spacing w:after="0" w:line="75" w:lineRule="exact"/>
        <w:rPr>
          <w:rFonts w:ascii="Arial" w:cs="Arial" w:eastAsia="Arial" w:hAnsi="Arial"/>
          <w:sz w:val="18"/>
          <w:szCs w:val="18"/>
          <w:color w:val="auto"/>
        </w:rPr>
      </w:pPr>
    </w:p>
    <w:p>
      <w:pPr>
        <w:ind w:right="120" w:firstLine="436"/>
        <w:spacing w:after="0" w:line="279" w:lineRule="auto"/>
        <w:tabs>
          <w:tab w:leader="none" w:pos="69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Subject to Section 5.07(c), each Loan Party will, and will cause each of its Subsidiaries to comply with all applicable Sanctions. Each of the Loan Parties and its Subsidiaries has implemented and will maintain in effect policies and procedures designed, in such Loan Party’s reasonable business judgment, to ensure compliance in all material respects by such Loan Party, its Subsidiaries and their respective directors, officers, employees and agents with applicable Anti-Corruption Laws and applicable Sanctions, in each case, in all material respects.</w:t>
      </w:r>
    </w:p>
    <w:p>
      <w:pPr>
        <w:spacing w:after="0" w:line="63" w:lineRule="exact"/>
        <w:rPr>
          <w:rFonts w:ascii="Arial" w:cs="Arial" w:eastAsia="Arial" w:hAnsi="Arial"/>
          <w:sz w:val="17"/>
          <w:szCs w:val="17"/>
          <w:color w:val="auto"/>
        </w:rPr>
      </w:pPr>
    </w:p>
    <w:p>
      <w:pPr>
        <w:ind w:right="80" w:firstLine="436"/>
        <w:spacing w:after="0" w:line="263" w:lineRule="auto"/>
        <w:tabs>
          <w:tab w:leader="none" w:pos="68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covenants provided for in Section 5.07(b) shall only apply to any Loan Party and its respective Subsidiaries which is bound by any Blocking Regulation insofar as the giving thereof and compliance therewith do not and will not result in a violation of or conflict with or liability under any Blocking Regulation.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Use of Proceeds</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86" w:lineRule="auto"/>
        <w:tabs>
          <w:tab w:leader="none" w:pos="68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proceeds of the Loans will be used only (i) on the Fourth Restatement Date, to finance the Transactions and pay fees and expenses related thereto and (ii) after the Fourth Restatement Date, for working capital needs and for general corporate purposes of the Borrowers and their Restricted Subsidiaries, to fund Permitted Acquisitions, to fund permitted Restricted Payments, to fund payments, repurchases and prepayments of Indebtedness permitted under this Agreement, to refinance existing Indebtedness and to fund Intercompany Loans and capital contributions to be made by Loan Parties and certain of their Restricted Subsidiaries to other Loan Parties. No part of the proceeds of any Loan and no Letter of Credit will be used, whether directly or indirectly, for any purpose that entails a violation of any of the Regulations of the Board, including Regulations T, U and X. Furthermore, the Borrowers will not directly or indirectly use the proceeds of any Loans or otherwise make available such proceeds to any Person, for the purpose of financing the activities of any Person currently subject to any U.S. sanctions administered by OFAC, or for any payments to any governmental official or employee, political party, official of a political party, candidate for political office, or anyone else acting in an official capacity, in order to obtain, retain or direct business to obtain any improper advantage, in violation of the United States Foreign Corrupt Practices Act of 1977, as amended. Notwithstanding the foregoing, the provisions of clause (t) of the definition of Eligible Accounts, Section 2.06(a), Section 3.07, Section 3.20, Section 5.07 and this Section 5.08 shall not be interpreted to contravene, or require any notification to the Attorney General of Canada under, the Foreign Extraterritorial Measures (United States) Order, 1992, by any Canadian Borrower, any Canadian Loan Guarantor or any Canadian Subsidiary.</w:t>
      </w:r>
    </w:p>
    <w:p>
      <w:pPr>
        <w:spacing w:after="0" w:line="65" w:lineRule="exact"/>
        <w:rPr>
          <w:rFonts w:ascii="Arial" w:cs="Arial" w:eastAsia="Arial" w:hAnsi="Arial"/>
          <w:sz w:val="16"/>
          <w:szCs w:val="16"/>
          <w:color w:val="auto"/>
        </w:rPr>
      </w:pPr>
    </w:p>
    <w:p>
      <w:pPr>
        <w:ind w:right="40" w:firstLine="436"/>
        <w:spacing w:after="0" w:line="296" w:lineRule="auto"/>
        <w:tabs>
          <w:tab w:leader="none" w:pos="69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No Borrower will request any Borrowing or Letter of Credit, and no Borrower shall use, and each Borrower shall procure that its Subsidiaries and its and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applicable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269"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Insurance</w:t>
      </w:r>
      <w:r>
        <w:rPr>
          <w:rFonts w:ascii="Arial" w:cs="Arial" w:eastAsia="Arial" w:hAnsi="Arial"/>
          <w:sz w:val="16"/>
          <w:szCs w:val="16"/>
          <w:color w:val="auto"/>
        </w:rPr>
        <w:t>. The Loan Parties (taken as a whole) will maintain with financially sound and reputable carriers having a financial strength rating of at least A- by A.M. Best Company (a)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Borrowers will furnish to the Lenders, upon request of the Administrative Agent in its Permitted Discretion, information in reasonable detail as to the insurance so maintained. Notwithstanding any provision to the contrary contained in this Agreement, if any Loan Party’s insurance carrier at any time becomes insolvent or its financial strength weakens such that such insurance carrier loses the ratings described herein, such event shall not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80"/>
          </w:cols>
          <w:pgMar w:left="440" w:top="274" w:right="479" w:bottom="1440" w:gutter="0" w:footer="0" w:header="0"/>
        </w:sectPr>
      </w:pPr>
    </w:p>
    <w:bookmarkStart w:id="131" w:name="page132"/>
    <w:bookmarkEnd w:id="131"/>
    <w:p>
      <w:pPr>
        <w:ind w:right="2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constitute a breach of this Section 5.09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Loan Parties replace such insurance carrier with a carrier that meets the requirements of this Section 5.09 within sixty (60) days (or such longer period as shall be agreed to by the Administrative Agent in its Permitted Discretion).</w:t>
      </w:r>
    </w:p>
    <w:p>
      <w:pPr>
        <w:spacing w:after="0" w:line="124"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Casualty and Condemnation</w:t>
      </w:r>
      <w:r>
        <w:rPr>
          <w:rFonts w:ascii="Arial" w:cs="Arial" w:eastAsia="Arial" w:hAnsi="Arial"/>
          <w:sz w:val="18"/>
          <w:szCs w:val="18"/>
          <w:color w:val="auto"/>
        </w:rPr>
        <w:t>. The Borrowers will ensure that the Net Proceeds of any casualty or other insured damage to any ABL Priority Collateral (whether in the form of insurance proceeds, condemnation awards or otherwise) are collected and applied in accordance with the applicable provisions of this Agreement and the Collateral Documents.</w:t>
      </w:r>
    </w:p>
    <w:p>
      <w:pPr>
        <w:spacing w:after="0" w:line="184" w:lineRule="exact"/>
        <w:rPr>
          <w:sz w:val="20"/>
          <w:szCs w:val="20"/>
          <w:color w:val="auto"/>
        </w:rPr>
      </w:pPr>
    </w:p>
    <w:p>
      <w:pPr>
        <w:ind w:right="60" w:firstLine="440"/>
        <w:spacing w:after="0" w:line="267"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Appraisals; Field Examinations</w:t>
      </w:r>
      <w:r>
        <w:rPr>
          <w:rFonts w:ascii="Arial" w:cs="Arial" w:eastAsia="Arial" w:hAnsi="Arial"/>
          <w:sz w:val="17"/>
          <w:szCs w:val="17"/>
          <w:color w:val="auto"/>
        </w:rPr>
        <w:t xml:space="preserve">. (a) Upon request by the Administrative Agent (in its Permitted Discretion or at the direction of the Required Lenders), the Borrowers and the other Loan Parties will provide the Administrative Agent with up to two appraisals or updates thereof of their Inventory during any period of twelve consecutive months from an appraiser selected and engaged by the Administrative Agent, and prepared on a basis satisfactory to the Administrative Agent, such appraisals and updates to include, without limitation, information required by applicable law and regulations;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(i) if Average Utilization for the most recent fiscal quarter was less than or equal to twenty percent (20%), the Required Lenders may not direct the Administrative Agent to conduct any such appraisal, (ii) if Average Utilization for the most recent fiscal quarter was greater than twenty percent (20%), the Required Lenders may direct that the Administrative Agent conduct only one such appraisal during any period of twelve consecutive months, and (iii) if Average Utilization for the most recent fiscal quarter was greater than twenty percent (20%) and Aggregate Availability falls below twenty percent (20%) of the Aggregate Revolving Commitments, the Required Lenders may direct that the Administrative Agent conduct up to two such appraisals during any period of twelve consecutive months; </w:t>
      </w:r>
      <w:r>
        <w:rPr>
          <w:rFonts w:ascii="Arial" w:cs="Arial" w:eastAsia="Arial" w:hAnsi="Arial"/>
          <w:sz w:val="17"/>
          <w:szCs w:val="17"/>
          <w:u w:val="single" w:color="auto"/>
          <w:color w:val="auto"/>
        </w:rPr>
        <w:t>provided</w:t>
      </w:r>
      <w:r>
        <w:rPr>
          <w:rFonts w:ascii="Arial" w:cs="Arial" w:eastAsia="Arial" w:hAnsi="Arial"/>
          <w:sz w:val="17"/>
          <w:szCs w:val="17"/>
          <w:b w:val="1"/>
          <w:bCs w:val="1"/>
          <w:color w:val="FF0000"/>
          <w:strike w:val="1"/>
        </w:rPr>
        <w:t>, further, that other than with</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 xml:space="preserve">respect to the appraisals with respect to the Anixter Loan Parties to be completed in connection with the Fourth Restatement Date to establish the initial Aggregate Borrowing Base (either in lieu of or subsequent to the applicability of the Temporary Borrowing Base Amount), the Administrative Agent shall not request any new appraisals until after June 22, 2021 unless the existing appraisal firms of the Borrowers do not consent to the use of their most recent appraisal by the Administrative Agent or such most recent appraisals are dated prior to June 22, 2019; provided </w:t>
      </w:r>
      <w:r>
        <w:rPr>
          <w:rFonts w:ascii="Arial" w:cs="Arial" w:eastAsia="Arial" w:hAnsi="Arial"/>
          <w:sz w:val="17"/>
          <w:szCs w:val="17"/>
          <w:color w:val="000000"/>
          <w:strike w:val="1"/>
        </w:rPr>
        <w:t>further that, if an Event of Default shall have occurred and be continuing, there shall be no limit on the number or frequency of appraisals</w:t>
      </w:r>
      <w:r>
        <w:rPr>
          <w:rFonts w:ascii="Arial" w:cs="Arial" w:eastAsia="Arial" w:hAnsi="Arial"/>
          <w:sz w:val="17"/>
          <w:szCs w:val="17"/>
          <w:b w:val="1"/>
          <w:bCs w:val="1"/>
          <w:color w:val="FF0000"/>
          <w:strike w:val="1"/>
        </w:rPr>
        <w:t xml:space="preserve"> </w:t>
      </w:r>
      <w:r>
        <w:rPr>
          <w:rFonts w:ascii="Arial" w:cs="Arial" w:eastAsia="Arial" w:hAnsi="Arial"/>
          <w:sz w:val="17"/>
          <w:szCs w:val="17"/>
          <w:color w:val="000000"/>
          <w:strike w:val="1"/>
        </w:rPr>
        <w:t>conducted</w:t>
      </w:r>
      <w:r>
        <w:rPr>
          <w:rFonts w:ascii="Arial" w:cs="Arial" w:eastAsia="Arial" w:hAnsi="Arial"/>
          <w:sz w:val="17"/>
          <w:szCs w:val="17"/>
          <w:b w:val="1"/>
          <w:bCs w:val="1"/>
          <w:color w:val="FF0000"/>
          <w:strike w:val="1"/>
        </w:rPr>
        <w:t>;</w:t>
      </w:r>
      <w:r>
        <w:rPr>
          <w:rFonts w:ascii="Arial" w:cs="Arial" w:eastAsia="Arial" w:hAnsi="Arial"/>
          <w:sz w:val="17"/>
          <w:szCs w:val="17"/>
          <w:color w:val="000000"/>
          <w:strike w:val="1"/>
        </w:rPr>
        <w:t xml:space="preserve"> </w:t>
      </w:r>
      <w:r>
        <w:rPr>
          <w:rFonts w:ascii="Arial" w:cs="Arial" w:eastAsia="Arial" w:hAnsi="Arial"/>
          <w:sz w:val="17"/>
          <w:szCs w:val="17"/>
          <w:b w:val="1"/>
          <w:bCs w:val="1"/>
          <w:u w:val="single" w:color="auto"/>
          <w:color w:val="FF0000"/>
          <w:strike w:val="1"/>
        </w:rPr>
        <w:t>provided</w:t>
      </w:r>
      <w:r>
        <w:rPr>
          <w:rFonts w:ascii="Arial" w:cs="Arial" w:eastAsia="Arial" w:hAnsi="Arial"/>
          <w:sz w:val="17"/>
          <w:szCs w:val="17"/>
          <w:b w:val="1"/>
          <w:bCs w:val="1"/>
          <w:color w:val="FF0000"/>
          <w:strike w:val="1"/>
        </w:rPr>
        <w:t>, further, that an appraisal with respect to the Anixter Loan Parties shall be completed within 150 days of the Fourth</w:t>
      </w:r>
      <w:r>
        <w:rPr>
          <w:rFonts w:ascii="Arial" w:cs="Arial" w:eastAsia="Arial" w:hAnsi="Arial"/>
          <w:sz w:val="17"/>
          <w:szCs w:val="17"/>
          <w:color w:val="000000"/>
          <w:strike w:val="1"/>
        </w:rPr>
        <w:t xml:space="preserve"> </w:t>
      </w:r>
      <w:r>
        <w:rPr>
          <w:rFonts w:ascii="Arial" w:cs="Arial" w:eastAsia="Arial" w:hAnsi="Arial"/>
          <w:sz w:val="17"/>
          <w:szCs w:val="17"/>
          <w:b w:val="1"/>
          <w:bCs w:val="1"/>
          <w:color w:val="FF0000"/>
          <w:strike w:val="1"/>
        </w:rPr>
        <w:t>Restatement Date</w:t>
      </w:r>
      <w:r>
        <w:rPr>
          <w:rFonts w:ascii="Arial" w:cs="Arial" w:eastAsia="Arial" w:hAnsi="Arial"/>
          <w:sz w:val="17"/>
          <w:szCs w:val="17"/>
          <w:color w:val="000000"/>
          <w:strike w:val="1"/>
        </w:rPr>
        <w:t>.</w:t>
      </w:r>
    </w:p>
    <w:p>
      <w:pPr>
        <w:spacing w:after="0" w:line="191" w:lineRule="exact"/>
        <w:rPr>
          <w:sz w:val="20"/>
          <w:szCs w:val="20"/>
          <w:color w:val="auto"/>
        </w:rPr>
      </w:pPr>
    </w:p>
    <w:p>
      <w:pPr>
        <w:ind w:firstLine="436"/>
        <w:spacing w:after="0" w:line="268" w:lineRule="auto"/>
        <w:tabs>
          <w:tab w:leader="none" w:pos="69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Upon request by the Administrative Agent (in its Permitted Discretion or at the direction of the Required Lenders), the Borrowers and the other Loan Parties will allow the Administrative Agent to conduct up to two field examinations or updates thereof during any period of twelve consecutive months and during normal business hours to ensure the adequacy of Collateral included in the Canadian Borrowing Base or the U.S. Borrowing Base and related reporting and control systems;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(i) if Average Utilization for the most recent fiscal quarter was less than twenty percent (20%), the Required Lenders shall not have the right to direct the Administrative Agent to conduct any such field examination, (ii) if Average Utilization for the most recent fiscal quarter was greater than twenty percent (20%), the Required Lenders may direct that the Administrative Agent conduct only one such field examination during any period of twelve consecutive months, and (iii) if Average Utilization for the most recent fiscal quarter was greater than twenty percent (20%) and Aggregate Availability falls below twenty percent (20%) of the Aggregate Revolving Commitments, the Required Lenders may direct that the Administrative Agent conduct up to two such field examinations during any period of twelve consecutive months;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w:t>
      </w:r>
      <w:r>
        <w:rPr>
          <w:rFonts w:ascii="Arial" w:cs="Arial" w:eastAsia="Arial" w:hAnsi="Arial"/>
          <w:sz w:val="17"/>
          <w:szCs w:val="17"/>
          <w:color w:val="FF0000"/>
          <w:strike w:val="1"/>
        </w:rPr>
        <w:t>other than with respect to the field examinations with respect to the Anixter Loan Parties to be completed in</w:t>
      </w:r>
      <w:r>
        <w:rPr>
          <w:rFonts w:ascii="Arial" w:cs="Arial" w:eastAsia="Arial" w:hAnsi="Arial"/>
          <w:sz w:val="17"/>
          <w:szCs w:val="17"/>
          <w:color w:val="auto"/>
        </w:rPr>
        <w:t xml:space="preserve"> </w:t>
      </w:r>
      <w:r>
        <w:rPr>
          <w:rFonts w:ascii="Arial" w:cs="Arial" w:eastAsia="Arial" w:hAnsi="Arial"/>
          <w:sz w:val="17"/>
          <w:szCs w:val="17"/>
          <w:color w:val="FF0000"/>
          <w:strike w:val="1"/>
        </w:rPr>
        <w:t xml:space="preserve">connection with the Fourth Restatement Date to establish the initial Aggregate Borrowing Base (either in lieu of or subsequent to the applicability of the Temporary Borrowing Base Amount), the Administrative Agent shall not request any new field examinations until after June 22, 2021 unless the existing field examinations firms of the Borrowers do not consent to the use of their most recent field examinations by the Administrative Agent or such most recent field examinations are dated prior to June 22, 2019;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xml:space="preserve">, further, that </w:t>
      </w:r>
      <w:r>
        <w:rPr>
          <w:rFonts w:ascii="Arial" w:cs="Arial" w:eastAsia="Arial" w:hAnsi="Arial"/>
          <w:sz w:val="17"/>
          <w:szCs w:val="17"/>
          <w:color w:val="000000"/>
          <w:strike w:val="1"/>
        </w:rPr>
        <w:t>if an Event of Default shall have occurred and be continuing,</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there shall be no limit on the number or frequency of field examinations conducted.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4" w:right="459" w:bottom="1440" w:gutter="0" w:footer="0" w:header="0"/>
        </w:sectPr>
      </w:pPr>
    </w:p>
    <w:bookmarkStart w:id="132" w:name="page133"/>
    <w:bookmarkEnd w:id="13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5.12 </w:t>
      </w:r>
      <w:r>
        <w:rPr>
          <w:rFonts w:ascii="Arial" w:cs="Arial" w:eastAsia="Arial" w:hAnsi="Arial"/>
          <w:sz w:val="18"/>
          <w:szCs w:val="18"/>
          <w:u w:val="single" w:color="auto"/>
          <w:color w:val="auto"/>
        </w:rPr>
        <w:t>Depository Banks; Control Agreements</w:t>
      </w:r>
      <w:r>
        <w:rPr>
          <w:rFonts w:ascii="Arial" w:cs="Arial" w:eastAsia="Arial" w:hAnsi="Arial"/>
          <w:sz w:val="18"/>
          <w:szCs w:val="18"/>
          <w:color w:val="auto"/>
        </w:rPr>
        <w:t>.</w:t>
      </w:r>
    </w:p>
    <w:p>
      <w:pPr>
        <w:spacing w:after="0" w:line="117" w:lineRule="exact"/>
        <w:rPr>
          <w:sz w:val="20"/>
          <w:szCs w:val="20"/>
          <w:color w:val="auto"/>
        </w:rPr>
      </w:pPr>
    </w:p>
    <w:p>
      <w:pPr>
        <w:ind w:left="4" w:right="20" w:firstLine="436"/>
        <w:spacing w:after="0" w:line="257" w:lineRule="auto"/>
        <w:tabs>
          <w:tab w:leader="none" w:pos="689"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U.S. Loan Parties (other than the Canadian Cross-Border Loan Guarantors) will at all times maintain the U.S. Cash Management Bank as their principal depository bank, including for the maintenance of operating, administrative, cash management, collection activity, and other Deposit Accounts for the conduct of their business. The Canadian Loan Parties will at all times maintain the Canadian Cash Management Bank as their principal depository bank, including for the maintenance of operating, administrative, cash management, collection activity, and other Deposit Accounts for the conduct of its business.</w:t>
      </w:r>
    </w:p>
    <w:p>
      <w:pPr>
        <w:spacing w:after="0" w:line="79" w:lineRule="exact"/>
        <w:rPr>
          <w:rFonts w:ascii="Arial" w:cs="Arial" w:eastAsia="Arial" w:hAnsi="Arial"/>
          <w:sz w:val="18"/>
          <w:szCs w:val="18"/>
          <w:color w:val="auto"/>
        </w:rPr>
      </w:pPr>
    </w:p>
    <w:p>
      <w:pPr>
        <w:ind w:left="4" w:firstLine="436"/>
        <w:spacing w:after="0" w:line="270" w:lineRule="auto"/>
        <w:tabs>
          <w:tab w:leader="none" w:pos="699" w:val="left"/>
        </w:tabs>
        <w:numPr>
          <w:ilvl w:val="1"/>
          <w:numId w:val="132"/>
        </w:numPr>
        <w:rPr>
          <w:rFonts w:ascii="Arial" w:cs="Arial" w:eastAsia="Arial" w:hAnsi="Arial"/>
          <w:sz w:val="17"/>
          <w:szCs w:val="17"/>
          <w:color w:val="auto"/>
        </w:rPr>
      </w:pPr>
      <w:r>
        <w:rPr>
          <w:rFonts w:ascii="Arial" w:cs="Arial" w:eastAsia="Arial" w:hAnsi="Arial"/>
          <w:sz w:val="17"/>
          <w:szCs w:val="17"/>
          <w:color w:val="auto"/>
        </w:rPr>
        <w:t>On or before the date which is one hundred twenty (120) days following the Fourth Restatement Date, to the extent that the Loan Parties have not already done so in connection with the Existing Credit Agreement (i) the U.S. Loan Parties (other than the Canadian Cross-Border Loan Guarantors) will cause the U.S. Cash Management Bank to enter into a Control Agreement with respect to all Deposit Accounts and Securities Accounts (other than Excluded Accounts) maintained by the U.S. Loan Parties (other than the Canadian Cross-Border Loan Guarantors) with the U.S. Cash Management Bank as of the Fourth Restatement Date, (ii) the Canadian Loan Parties will cause the Canadian Cash Management Bank to enter into a Control Agreement with respect to all Deposit Accounts and Securities Accounts (other than Excluded Accounts) maintained with the Canadian Loan Parties at the Canadian Cash Management Bank as of the Fourth Restatement Date and (iii) the Loan Parties will cause each other depository bank or other institution at which any Deposit Account or Securities Account (other than Excluded Accounts) is maintained as of the Fourth Restatement Date to enter into a Control Agreement with respect to such Deposit Account or Securities Account.</w:t>
      </w:r>
    </w:p>
    <w:p>
      <w:pPr>
        <w:spacing w:after="0" w:line="72" w:lineRule="exact"/>
        <w:rPr>
          <w:rFonts w:ascii="Arial" w:cs="Arial" w:eastAsia="Arial" w:hAnsi="Arial"/>
          <w:sz w:val="17"/>
          <w:szCs w:val="17"/>
          <w:color w:val="auto"/>
        </w:rPr>
      </w:pPr>
    </w:p>
    <w:p>
      <w:pPr>
        <w:ind w:left="4" w:right="300" w:firstLine="436"/>
        <w:spacing w:after="0" w:line="263" w:lineRule="auto"/>
        <w:tabs>
          <w:tab w:leader="none" w:pos="689"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Loan Parties will obtain, within 60 days after the establishment of any Deposit Account or Securities Account (other than an Excluded Account) or Lock Box (or such later date as agreed to by the Administrative Agent), a Control Agreement with respect to such Deposit Account, Securities Account or Lock Box.</w:t>
      </w:r>
    </w:p>
    <w:p>
      <w:pPr>
        <w:spacing w:after="0" w:line="75" w:lineRule="exact"/>
        <w:rPr>
          <w:rFonts w:ascii="Arial" w:cs="Arial" w:eastAsia="Arial" w:hAnsi="Arial"/>
          <w:sz w:val="18"/>
          <w:szCs w:val="18"/>
          <w:color w:val="auto"/>
        </w:rPr>
      </w:pPr>
    </w:p>
    <w:p>
      <w:pPr>
        <w:ind w:left="4" w:right="180" w:firstLine="436"/>
        <w:spacing w:after="0" w:line="301" w:lineRule="auto"/>
        <w:tabs>
          <w:tab w:leader="none" w:pos="699" w:val="left"/>
        </w:tabs>
        <w:numPr>
          <w:ilvl w:val="1"/>
          <w:numId w:val="132"/>
        </w:numPr>
        <w:rPr>
          <w:rFonts w:ascii="Arial" w:cs="Arial" w:eastAsia="Arial" w:hAnsi="Arial"/>
          <w:sz w:val="16"/>
          <w:szCs w:val="16"/>
          <w:color w:val="auto"/>
        </w:rPr>
      </w:pPr>
      <w:r>
        <w:rPr>
          <w:rFonts w:ascii="Arial" w:cs="Arial" w:eastAsia="Arial" w:hAnsi="Arial"/>
          <w:sz w:val="16"/>
          <w:szCs w:val="16"/>
          <w:color w:val="auto"/>
        </w:rPr>
        <w:t>If any Deposit Account, Securities Account or Lock Box is acquired in connection with a Permitted Acquisition, to the extent such Deposit Account, Securities Account or Lock Box does not constitute an Excluded Account, the Loan Parties will, within one hundred twenty (120) days after the consummation of such Permitted Acquisition (or such later date as agreed to by the Administrative Agent), either (x) obtain a Control Agreement with respect to such Deposit Account, Securities Account or Lock Box, or (y) close such Deposit Account, Securities Account or Lock Box.</w:t>
      </w:r>
    </w:p>
    <w:p>
      <w:pPr>
        <w:spacing w:after="0" w:line="49" w:lineRule="exact"/>
        <w:rPr>
          <w:rFonts w:ascii="Arial" w:cs="Arial" w:eastAsia="Arial" w:hAnsi="Arial"/>
          <w:sz w:val="16"/>
          <w:szCs w:val="16"/>
          <w:color w:val="auto"/>
        </w:rPr>
      </w:pPr>
    </w:p>
    <w:p>
      <w:pPr>
        <w:ind w:left="4" w:right="100" w:firstLine="436"/>
        <w:spacing w:after="0" w:line="279" w:lineRule="auto"/>
        <w:tabs>
          <w:tab w:leader="none" w:pos="689" w:val="left"/>
        </w:tabs>
        <w:numPr>
          <w:ilvl w:val="1"/>
          <w:numId w:val="132"/>
        </w:numPr>
        <w:rPr>
          <w:rFonts w:ascii="Arial" w:cs="Arial" w:eastAsia="Arial" w:hAnsi="Arial"/>
          <w:sz w:val="17"/>
          <w:szCs w:val="17"/>
          <w:color w:val="auto"/>
        </w:rPr>
      </w:pPr>
      <w:r>
        <w:rPr>
          <w:rFonts w:ascii="Arial" w:cs="Arial" w:eastAsia="Arial" w:hAnsi="Arial"/>
          <w:sz w:val="17"/>
          <w:szCs w:val="17"/>
          <w:color w:val="auto"/>
        </w:rPr>
        <w:t>The U.S. Loan Parties (other than the Canadian Cross-Border Loan Guarantors) will, substantially contemporaneously with any change in the U.S. Cash Management Bank, to the extent not already obtained, obtain a Control Agreement from the successor U.S. Cash Management Bank. The Canadian Loan Parties will, substantially contemporaneously with any change in the Canadian Cash Management Bank, to the extent not already obtained, obtain a Control Agreement from the successor Canadian Cash Management Bank.</w:t>
      </w:r>
    </w:p>
    <w:p>
      <w:pPr>
        <w:spacing w:after="0" w:line="63" w:lineRule="exact"/>
        <w:rPr>
          <w:rFonts w:ascii="Arial" w:cs="Arial" w:eastAsia="Arial" w:hAnsi="Arial"/>
          <w:sz w:val="17"/>
          <w:szCs w:val="17"/>
          <w:color w:val="auto"/>
        </w:rPr>
      </w:pPr>
    </w:p>
    <w:p>
      <w:pPr>
        <w:ind w:left="4" w:right="40" w:firstLine="436"/>
        <w:spacing w:after="0" w:line="283" w:lineRule="auto"/>
        <w:tabs>
          <w:tab w:leader="none" w:pos="669"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At all times during the continuance of a Cash Dominion Period (i) the U.S. Cash Management Bank shall be required to remit to the U.S. Collection Account on a daily basis (A) all available funds on deposit in any Deposit Account (other than an Excluded Account) maintained by the U.S. Loan Parties (other than the Canadian Cross-Border Loan Guarantors) with the U.S. Cash Management Bank and (B) collections and other similar payments relating to or constituting payments made in respect of Accounts of the U.S. Loan Parties (other than the Canadian Cross-Border Loan Guarantors) received by the U.S. Cash Management Bank, including any such items remitted to any Deposit Account which is subject to a Control Agreement and maintained or controlled by the U.S. Cash Management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disbursement of payments received in respect of Accounts that have been sold to WESCO Receivables shall be subject to the provisions of the Receivables Intercreditor Agreement), and (ii) the Canadian Cash Management Bank shall be required to remit to the Canadian Collection Account on a daily basis (A) all available funds on deposit in any Deposit Account (other than an Excluded Account) maintained by the Canadian Loan Parties with the Canadian Cash Management Bank and</w:t>
      </w:r>
    </w:p>
    <w:p>
      <w:pPr>
        <w:spacing w:after="0" w:line="5" w:lineRule="exact"/>
        <w:rPr>
          <w:rFonts w:ascii="Arial" w:cs="Arial" w:eastAsia="Arial" w:hAnsi="Arial"/>
          <w:sz w:val="16"/>
          <w:szCs w:val="16"/>
          <w:color w:val="auto"/>
        </w:rPr>
      </w:pPr>
    </w:p>
    <w:p>
      <w:pPr>
        <w:ind w:left="4" w:right="220" w:hanging="4"/>
        <w:spacing w:after="0" w:line="255" w:lineRule="auto"/>
        <w:tabs>
          <w:tab w:leader="none" w:pos="28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collections and other similar payments relating to or constituting payments made in respect of Accounts of the Canadian Loan Parties received by the Canadian Cash Management Bank, including any such items remitted to any Deposit Account which is subject to a Control Agreement and maintained or controlled by the Canadian Cash Management Bank.</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84"/>
          </w:cols>
          <w:pgMar w:left="436" w:top="274" w:right="479" w:bottom="1440" w:gutter="0" w:footer="0" w:header="0"/>
        </w:sectPr>
      </w:pPr>
    </w:p>
    <w:bookmarkStart w:id="133" w:name="page134"/>
    <w:bookmarkEnd w:id="133"/>
    <w:p>
      <w:pPr>
        <w:ind w:right="40" w:firstLine="436"/>
        <w:spacing w:after="0" w:line="259" w:lineRule="auto"/>
        <w:tabs>
          <w:tab w:leader="none" w:pos="6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Representative agrees that with respect to any individual Deposit Account, Securities Account or Lock Box holding an amount greater than $20,000,000, the Borrower Representative shall provide prompt written notice to the Administrative Agent of any such Deposit Account, Securities Account or Lock Box after the acquisition or establishment thereof to the extent such Deposit Account, Securities Account or Lock Box is not subject to a Control Agreement.</w:t>
      </w:r>
    </w:p>
    <w:p>
      <w:pPr>
        <w:spacing w:after="0" w:line="18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Additional Collateral; Further Assurances</w:t>
      </w:r>
      <w:r>
        <w:rPr>
          <w:rFonts w:ascii="Arial" w:cs="Arial" w:eastAsia="Arial" w:hAnsi="Arial"/>
          <w:sz w:val="16"/>
          <w:szCs w:val="16"/>
          <w:color w:val="auto"/>
        </w:rPr>
        <w:t xml:space="preserve">. (a) Subject to applicable law, each Loan Party shall cause each of its Domestic Subsidiaries (other than any Domestic Subsidiary constituting an Excluded Subsidiary, an Unrestricted Subsidiary or a CFC Subsidiary Holding Company) formed or acquired after the Fourth Restatement Date in accordance with the terms of this Agreement to become a U.S. Loan Party by executing (i) a U.S. Security Agreement (or a joinder to the U.S. Security Agreement) and (ii) in the case of such Domestic Subsidiary that is to become a U.S. Borrower, the Joinder Agreement set forth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Joinder Agreement</w:t>
      </w:r>
      <w:r>
        <w:rPr>
          <w:rFonts w:ascii="Arial" w:cs="Arial" w:eastAsia="Arial" w:hAnsi="Arial"/>
          <w:sz w:val="16"/>
          <w:szCs w:val="16"/>
          <w:color w:val="auto"/>
        </w:rPr>
        <w:t>”). In connection with the execution and delivery of any such Joinder Agreement, the Administrative Agent shall have received all documentation and other information regarding such newly formed or acquired Subsidiaries reasonably requested in writing to comply with the applicable “know your customer” rules and regulations, including the USA Patriot Act. Upon execution and delivery thereof, each such Person (i) shall automatically become a U.S. Borrower or U.S. Loan Guarantor hereunder, as specified by such Person at the time of execution of such Joinder Agreement or separate U.S. Loan Party Guaranty, and thereupon shall have all of the rights, benefits, duties, and obligations in such capacity under the Loan Documents and (ii) will grant Liens to the Administrative Agent, for the benefit of the Lender Parties, in all personal property of a type required to be encumbered pursuant to the Collateral Documents.</w:t>
      </w:r>
    </w:p>
    <w:p>
      <w:pPr>
        <w:spacing w:after="0" w:line="64" w:lineRule="exact"/>
        <w:rPr>
          <w:sz w:val="20"/>
          <w:szCs w:val="20"/>
          <w:color w:val="auto"/>
        </w:rPr>
      </w:pPr>
    </w:p>
    <w:p>
      <w:pPr>
        <w:ind w:right="20" w:firstLine="436"/>
        <w:spacing w:after="0" w:line="289" w:lineRule="auto"/>
        <w:tabs>
          <w:tab w:leader="none" w:pos="69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Subject to applicable law, Holdings, the Canadian Borrowers and each other Canadian Loan Party shall cause each of their Subsidiaries (other than any Subsidiary constituting an Excluded Subsidiary, or an Unrestricted Subsidiary) formed or acquired after the Fourth Restatement Date that is organized under the laws of Canada or any province thereof or is a CFC Subsidiary Holding Company that owns a Subsidiary organized under the laws of Canada or any province thereof to become a Canadian Loan Party by executing (A) a Canadian Guarantee and a Canadian Security Agreement (which Canadian Security Agreement shall, among other things, pledge 100% of the Equity Interests in each such Subsidiary and grant a security interest in all the personal property of a type required to be encumbered pursuant to the Collateral Documents, the foregoing to be in a form substantially similar to the Canadian Security Agreement) that secures repayment of the Canadian Obligations and (B) in the case of any Subsidiary that is to become a Canadian Borrower, a Joinder Agreement, in each case, together with such other documentation and filings that the Administrative Agent may reasonably require in order to perfect its first priority security interest in the assets subject to the terms of such security agreement.</w:t>
      </w:r>
    </w:p>
    <w:p>
      <w:pPr>
        <w:spacing w:after="0" w:line="58" w:lineRule="exact"/>
        <w:rPr>
          <w:rFonts w:ascii="Arial" w:cs="Arial" w:eastAsia="Arial" w:hAnsi="Arial"/>
          <w:sz w:val="16"/>
          <w:szCs w:val="16"/>
          <w:color w:val="auto"/>
        </w:rPr>
      </w:pPr>
    </w:p>
    <w:p>
      <w:pPr>
        <w:ind w:right="40" w:firstLine="436"/>
        <w:spacing w:after="0" w:line="269" w:lineRule="auto"/>
        <w:tabs>
          <w:tab w:leader="none" w:pos="68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To secure the prompt payment and performance of all U.S. Secured Obligations, Holdings, each Domestic Subsidiary that is a U.S. Loan Party and each Canadian Cross-Border Loan Guarantor will cause (i) 100% of the issued and outstanding Equity Interests of each Domestic Subsidiary (other than an Excluded Subsidiary, an Unrestricted Subsidiary, a CFC Subsidiary Holding Company or any other Subsidiary that is a special purpose entity which has no assets other than real property) that is formed or acquired after the Fourth Restatement Date, (ii) 65% of the Equity Interests constituting the total combined classes of Equity Interests entitled to vote in each Canadian Subsidiary and each first-tier Foreign Subsidiary (other than an Immaterial Foreign Subsidiary or an Unrestricted Subsidiary) or CFC Subsidiary Holding Company that is formed or acquired after the Fourth Restatement Date, and (iii) 100% of the non-voting Equity Interests of each first-tier Foreign Subsidiary (other than an Immaterial Foreign Subsidiary or an Unrestricted Subsidiary) or CFC Subsidiary Holding Company that is formed or acquired after the Fourth Restatement Date, to become subject to a perfected Lien in favor of the Administrative Agent (for the benefit of the U.S. Lender Parties) pursuant to the terms and conditions of the Loan Documents or other security documents as the Administrative Agent shall reasonably request within thirty (30) days of the formation or acquisition of such Subsidiary.</w:t>
      </w:r>
    </w:p>
    <w:p>
      <w:pPr>
        <w:spacing w:after="0" w:line="73" w:lineRule="exact"/>
        <w:rPr>
          <w:rFonts w:ascii="Arial" w:cs="Arial" w:eastAsia="Arial" w:hAnsi="Arial"/>
          <w:sz w:val="17"/>
          <w:szCs w:val="17"/>
          <w:color w:val="auto"/>
        </w:rPr>
      </w:pPr>
    </w:p>
    <w:p>
      <w:pPr>
        <w:ind w:right="160" w:firstLine="436"/>
        <w:spacing w:after="0" w:line="257" w:lineRule="auto"/>
        <w:tabs>
          <w:tab w:leader="none" w:pos="6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secure the prompt payment and performance of all Canadian Secured Obligations, Holdings and each Subsidiary that is a Canadian Loan Party will cause 100% of the issued and outstanding Equity Interests of each Canadian Subsidiary acquired after the Fourth Restatement Date (other than any Canadian Subsidiary constituting an Excluded Subsidiary or an Unrestricted Subsidiary), to be subject at all times to a perfected Lien in favor of the Administrative Agent (for the benefit of the Canadian Lender Parties) pursuant to the terms and conditions of the Loan Documents or other security documents as the Administrative Agent shall reasonably request.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20"/>
          </w:cols>
          <w:pgMar w:left="440" w:top="274" w:right="439" w:bottom="1440" w:gutter="0" w:footer="0" w:header="0"/>
        </w:sectPr>
      </w:pPr>
    </w:p>
    <w:bookmarkStart w:id="134" w:name="page135"/>
    <w:bookmarkEnd w:id="134"/>
    <w:p>
      <w:pPr>
        <w:ind w:firstLine="436"/>
        <w:spacing w:after="0" w:line="287" w:lineRule="auto"/>
        <w:tabs>
          <w:tab w:leader="none" w:pos="685" w:val="left"/>
        </w:tabs>
        <w:numPr>
          <w:ilvl w:val="0"/>
          <w:numId w:val="1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limiting the foregoing, each Loan Party will, and will cause each Restricted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w:t>
      </w:r>
    </w:p>
    <w:p>
      <w:pPr>
        <w:spacing w:after="0" w:line="2" w:lineRule="exact"/>
        <w:rPr>
          <w:rFonts w:ascii="Arial" w:cs="Arial" w:eastAsia="Arial" w:hAnsi="Arial"/>
          <w:sz w:val="16"/>
          <w:szCs w:val="16"/>
          <w:color w:val="auto"/>
        </w:rPr>
      </w:pPr>
    </w:p>
    <w:p>
      <w:pPr>
        <w:jc w:val="both"/>
        <w:ind w:right="160"/>
        <w:spacing w:after="0" w:line="255" w:lineRule="auto"/>
        <w:rPr>
          <w:rFonts w:ascii="Arial" w:cs="Arial" w:eastAsia="Arial" w:hAnsi="Arial"/>
          <w:sz w:val="16"/>
          <w:szCs w:val="16"/>
          <w:color w:val="auto"/>
        </w:rPr>
      </w:pPr>
      <w:r>
        <w:rPr>
          <w:rFonts w:ascii="Arial" w:cs="Arial" w:eastAsia="Arial" w:hAnsi="Arial"/>
          <w:sz w:val="18"/>
          <w:szCs w:val="18"/>
          <w:color w:val="auto"/>
        </w:rPr>
        <w:t>Section 4.01, as applicable), which may be required by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at the expense of the Loan Parties.</w:t>
      </w:r>
    </w:p>
    <w:p>
      <w:pPr>
        <w:spacing w:after="0" w:line="81" w:lineRule="exact"/>
        <w:rPr>
          <w:rFonts w:ascii="Arial" w:cs="Arial" w:eastAsia="Arial" w:hAnsi="Arial"/>
          <w:sz w:val="16"/>
          <w:szCs w:val="16"/>
          <w:color w:val="auto"/>
        </w:rPr>
      </w:pPr>
    </w:p>
    <w:p>
      <w:pPr>
        <w:ind w:right="100" w:firstLine="436"/>
        <w:spacing w:after="0" w:line="288" w:lineRule="auto"/>
        <w:tabs>
          <w:tab w:leader="none" w:pos="66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If any assets constituting personal property of a type required to be encumbered under the Collateral Documents (other than equity of a Domestic Subsidiary or Canadian Subsidiary constituting an Excluded Subsidiary, an Unrestricted Subsidiary or any other Subsidiary that is a special purpose entity which has no material assets other than real property) are acquired by any Loan Party (other than assets constituting Collateral under the U.S. Security Agreement or the Canadian Security Agreement that become subject to the Lien in favor of the Administrative Agent (for the benefit of the Lender Parties or the Canadian Lender Parties, as the case may be) upon acquisition thereof), the Borrower Representative will promptly notify the Administrative Agent and the Lenders thereof, and, if requested by the Administrative Agent or the Required Lenders, the Borrowers will cause such assets to be subjected to a Lien in favor of Administrative Agent (for the benefit of the Lender Parties or the Canadian Lender Parties, as the case may be) securing the U.S. Secured Obligations and/or the Canadian Secured Obligations, as applicable, and will take, and cause the applicable Loan Parties to take, such actions as shall be necessary or reasonably requested by the Administrative Agent to grant and perfect such Liens, including actions described in paragraph (c) of this Section, all at the expense of the Loan Parties.</w:t>
      </w:r>
    </w:p>
    <w:p>
      <w:pPr>
        <w:spacing w:after="0" w:line="60" w:lineRule="exact"/>
        <w:rPr>
          <w:rFonts w:ascii="Arial" w:cs="Arial" w:eastAsia="Arial" w:hAnsi="Arial"/>
          <w:sz w:val="16"/>
          <w:szCs w:val="16"/>
          <w:color w:val="auto"/>
        </w:rPr>
      </w:pPr>
    </w:p>
    <w:p>
      <w:pPr>
        <w:ind w:firstLine="436"/>
        <w:spacing w:after="0" w:line="284" w:lineRule="auto"/>
        <w:tabs>
          <w:tab w:leader="none" w:pos="69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If either (i) the aggregate revenues of all Immaterial Domestic Subsidiaries and Immaterial Canadian Subsidiaries, as of end of any fiscal year, constitute 15% or more of the consolidated revenues of Holdings and its Subsidiaries for such period or (ii) the aggregate consolidated assets of all Immaterial Domestic Subsidiaries and Immaterial Canadian Subsidiaries, as of end of any fiscal year, constitute 15% or more of the consolidated total assets of Holdings and its Subsidiaries as of the end of such fiscal year, in each case as reflected on the most recent annual or quarterly consolidated financial statements of Holdings and its Subsidiaries, then, the Loan Parties (A) shall submit a written notice (a “</w:t>
      </w:r>
      <w:r>
        <w:rPr>
          <w:rFonts w:ascii="Arial" w:cs="Arial" w:eastAsia="Arial" w:hAnsi="Arial"/>
          <w:sz w:val="16"/>
          <w:szCs w:val="16"/>
          <w:u w:val="single" w:color="auto"/>
          <w:color w:val="auto"/>
        </w:rPr>
        <w:t>Designated Immaterial Subsidiary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to the Administrative Agent designating one or more Immaterial Domestic Subsidiaries and/or Immaterial Canadian Subsidiaries as Subsidiaries which shall no longer constitute Excluded Subsidiaries (any such Subsidiary so designated being a “</w:t>
      </w:r>
      <w:r>
        <w:rPr>
          <w:rFonts w:ascii="Arial" w:cs="Arial" w:eastAsia="Arial" w:hAnsi="Arial"/>
          <w:sz w:val="16"/>
          <w:szCs w:val="16"/>
          <w:u w:val="single" w:color="auto"/>
          <w:color w:val="auto"/>
        </w:rPr>
        <w:t>Designated Immaterial Subsidiary</w:t>
      </w:r>
      <w:r>
        <w:rPr>
          <w:rFonts w:ascii="Arial" w:cs="Arial" w:eastAsia="Arial" w:hAnsi="Arial"/>
          <w:sz w:val="16"/>
          <w:szCs w:val="16"/>
          <w:color w:val="auto"/>
        </w:rPr>
        <w:t>”) such that, after giving effect to such designation, (x) the aggregate revenues of all Immaterial Domestic Subsidiaries and Immaterial Canadian Subsidiaries, as of end of such fiscal year (calculated for purposes of this clause (x) on a pro forma basis as if each such Designated Immaterial Subsidiary had not been an Excluded Subsidiary at any time during such fiscal year), constitute less than 15% of the consolidated revenues of Holdings and its Subsidiaries for such period and (y) the consolidated total assets of all Immaterial Domestic Subsidiaries and Immaterial Canadian Subsidiaries, as of end of such fiscal year (calculated for purposes of this clause (y) on a pro forma basis as if each such Designated Immaterial Subsidiary had not been an Excluded Subsidiary as the last day of such fiscal year), constitute less than 15% of the consolidated total assets of Holdings and its Subsidiaries as of the end of such fiscal year and (B) shall cause each such Designated Immaterial Subsidiary to become a U.S. Loan Guarantor (in the case of a Designated Immaterial Subsidiary which is a Domestic Subsidiary) or a Canadian Loan Guarantor (in the case of a Designated Immaterial Subsidiary which is a Canadian Subsidiary) and shall, and shall cause each such Designated Immaterial Subsidiary to, execute and deliver to the Administrative Agent all Joinder Agreements, guarantees, Collateral Documents and other agreements and documents and shall take, and cause each such Designated Immaterial Subsidiary to take, such other actions as shall be necessary or which the Administrative Agent may reasonably request to comply with this clause (i) and clauses (a) through (f) of this Section 5.13 as to each such Designated Immaterial Subsidiary (it being understood for avoidance of doubt that, solely for purposes of this clause (B), in determining compliance with such clauses (a) through (f) of this Section 5.13, each such Designated Immaterial Subsidiary shall be treated as if it had been acquired or formed by the Loan Parties as of the date of delivery of the Designated Immaterial Subsidiary Notice with respect thereto).</w:t>
      </w:r>
    </w:p>
    <w:p>
      <w:pPr>
        <w:spacing w:after="0" w:line="396"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Covenants Regarding Accounts</w:t>
      </w:r>
      <w:r>
        <w:rPr>
          <w:rFonts w:ascii="Arial" w:cs="Arial" w:eastAsia="Arial" w:hAnsi="Arial"/>
          <w:sz w:val="18"/>
          <w:szCs w:val="18"/>
          <w:color w:val="auto"/>
        </w:rPr>
        <w:t>. In the ordinary course of its business, the Borrowers and WESCO Receivables process their Accounts in a manner such that (i) each payment received by each Borrower or WESCO Receivables in respect of an Account is allocated to a specifically identified invoice, which invoice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80"/>
          </w:cols>
          <w:pgMar w:left="440" w:top="274" w:right="479" w:bottom="1440" w:gutter="0" w:footer="0" w:header="0"/>
        </w:sectPr>
      </w:pPr>
    </w:p>
    <w:bookmarkStart w:id="135" w:name="page136"/>
    <w:bookmarkEnd w:id="135"/>
    <w:p>
      <w:pPr>
        <w:ind w:left="4" w:right="3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corresponds to a particular Account owing to such Borrower or WESCO Receivables, and (ii) in the event that, at any time, less than 100% of the Accounts of the U.S. Borrowers are sold to WESCO Receivables under the Receivables Securitization Agreements, payments received in respect of those Accounts that are sold to WESCO Receivables under the Receivables Securitization Agreements would be identifiable and separate from payments received in respect of Accounts that are not sold to WESCO Receivables under the Receivables Securitization Agreements. No Canadian Loan Party shall enter into any Receivables Securitization or any other similar financing or transaction at any time.</w:t>
      </w:r>
    </w:p>
    <w:p>
      <w:pPr>
        <w:spacing w:after="0" w:line="176" w:lineRule="exact"/>
        <w:rPr>
          <w:sz w:val="20"/>
          <w:szCs w:val="20"/>
          <w:color w:val="auto"/>
        </w:rPr>
      </w:pPr>
    </w:p>
    <w:p>
      <w:pPr>
        <w:ind w:left="4" w:right="340" w:firstLine="440"/>
        <w:spacing w:after="0" w:line="308"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u w:val="single" w:color="auto"/>
          <w:color w:val="auto"/>
        </w:rPr>
        <w:t>Post-Closing Covenants</w:t>
      </w:r>
      <w:r>
        <w:rPr>
          <w:rFonts w:ascii="Arial" w:cs="Arial" w:eastAsia="Arial" w:hAnsi="Arial"/>
          <w:sz w:val="17"/>
          <w:szCs w:val="17"/>
          <w:color w:val="auto"/>
        </w:rPr>
        <w:t xml:space="preserve">. The Borrower Representative shall, within the time periods specified on </w:t>
      </w:r>
      <w:r>
        <w:rPr>
          <w:rFonts w:ascii="Arial" w:cs="Arial" w:eastAsia="Arial" w:hAnsi="Arial"/>
          <w:sz w:val="17"/>
          <w:szCs w:val="17"/>
          <w:u w:val="single" w:color="auto"/>
          <w:color w:val="auto"/>
        </w:rPr>
        <w:t>Schedule 5.15</w:t>
      </w:r>
      <w:r>
        <w:rPr>
          <w:rFonts w:ascii="Arial" w:cs="Arial" w:eastAsia="Arial" w:hAnsi="Arial"/>
          <w:sz w:val="17"/>
          <w:szCs w:val="17"/>
          <w:color w:val="auto"/>
        </w:rPr>
        <w:t xml:space="preserve"> (or such later date as may be agreed to by the Administrative Agent in its sole discretion), comply with the provisions set forth on </w:t>
      </w:r>
      <w:r>
        <w:rPr>
          <w:rFonts w:ascii="Arial" w:cs="Arial" w:eastAsia="Arial" w:hAnsi="Arial"/>
          <w:sz w:val="17"/>
          <w:szCs w:val="17"/>
          <w:u w:val="single" w:color="auto"/>
          <w:color w:val="auto"/>
        </w:rPr>
        <w:t>Schedule 5.15</w:t>
      </w:r>
      <w:r>
        <w:rPr>
          <w:rFonts w:ascii="Arial" w:cs="Arial" w:eastAsia="Arial" w:hAnsi="Arial"/>
          <w:sz w:val="17"/>
          <w:szCs w:val="17"/>
          <w:color w:val="auto"/>
        </w:rPr>
        <w:t>.</w:t>
      </w:r>
    </w:p>
    <w:p>
      <w:pPr>
        <w:spacing w:after="0" w:line="3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ARTICLE VI. </w:t>
      </w: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Until all of the Revolving Commitments have expired or terminated and the principal of and interest on each Loan and all fees, expenses and other amounts payable under any Loan Document have been paid in full and all Letters of Credit have expired or terminated (or have been cash collateralized in accordance with Section 2.06(k)) and all LC Disbursements shall have been reimbursed, Holdings and each Borrower covenants and agrees, and Holdings shall cause each other Loan Party to covenant and agree, in each case (subject to Section 12.01) jointly and severally with all of the other Loan Parties, with the Lender Parties that:</w:t>
      </w:r>
    </w:p>
    <w:p>
      <w:pPr>
        <w:spacing w:after="0" w:line="188"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w:t>
      </w:r>
      <w:r>
        <w:rPr>
          <w:rFonts w:ascii="Arial" w:cs="Arial" w:eastAsia="Arial" w:hAnsi="Arial"/>
          <w:sz w:val="18"/>
          <w:szCs w:val="18"/>
          <w:color w:val="auto"/>
        </w:rPr>
        <w:t>. No Loan Party will, nor will it permit any Restricted Subsidiary to, create, incur or suffer to exist any Indebtedness, except:</w:t>
      </w:r>
    </w:p>
    <w:p>
      <w:pPr>
        <w:spacing w:after="0" w:line="62" w:lineRule="exact"/>
        <w:rPr>
          <w:sz w:val="20"/>
          <w:szCs w:val="20"/>
          <w:color w:val="auto"/>
        </w:rPr>
      </w:pPr>
    </w:p>
    <w:p>
      <w:pPr>
        <w:ind w:left="684" w:hanging="244"/>
        <w:spacing w:after="0"/>
        <w:tabs>
          <w:tab w:leader="none" w:pos="68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Secured Obligations;</w:t>
      </w:r>
    </w:p>
    <w:p>
      <w:pPr>
        <w:spacing w:after="0" w:line="117" w:lineRule="exact"/>
        <w:rPr>
          <w:rFonts w:ascii="Arial" w:cs="Arial" w:eastAsia="Arial" w:hAnsi="Arial"/>
          <w:sz w:val="18"/>
          <w:szCs w:val="18"/>
          <w:color w:val="auto"/>
        </w:rPr>
      </w:pPr>
    </w:p>
    <w:p>
      <w:pPr>
        <w:jc w:val="both"/>
        <w:ind w:left="4" w:right="100" w:firstLine="436"/>
        <w:spacing w:after="0" w:line="263" w:lineRule="auto"/>
        <w:tabs>
          <w:tab w:leader="none" w:pos="699"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Indebtedness existing on the Fourth Restatement Date (i) constituting intercompany indebtedness with an outstanding principal amount not in excess of $25,000,000 or (ii) as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(which scheduled Indebtedness shall include the Senior Notes) and extensions, renewals and replacements of any such Indebtedness in accordance with clause (f) hereof;</w:t>
      </w:r>
    </w:p>
    <w:p>
      <w:pPr>
        <w:spacing w:after="0" w:line="75" w:lineRule="exact"/>
        <w:rPr>
          <w:rFonts w:ascii="Arial" w:cs="Arial" w:eastAsia="Arial" w:hAnsi="Arial"/>
          <w:sz w:val="18"/>
          <w:szCs w:val="18"/>
          <w:color w:val="auto"/>
        </w:rPr>
      </w:pPr>
    </w:p>
    <w:p>
      <w:pPr>
        <w:ind w:left="684" w:hanging="244"/>
        <w:spacing w:after="0"/>
        <w:tabs>
          <w:tab w:leader="none" w:pos="684" w:val="left"/>
        </w:tabs>
        <w:numPr>
          <w:ilvl w:val="1"/>
          <w:numId w:val="137"/>
        </w:numPr>
        <w:rPr>
          <w:rFonts w:ascii="Arial" w:cs="Arial" w:eastAsia="Arial" w:hAnsi="Arial"/>
          <w:sz w:val="17"/>
          <w:szCs w:val="17"/>
          <w:color w:val="auto"/>
        </w:rPr>
      </w:pPr>
      <w:r>
        <w:rPr>
          <w:rFonts w:ascii="Arial" w:cs="Arial" w:eastAsia="Arial" w:hAnsi="Arial"/>
          <w:sz w:val="17"/>
          <w:szCs w:val="17"/>
          <w:color w:val="auto"/>
        </w:rPr>
        <w:t>Indebtedness of WESCO Receivables under the Receivables Securitization Agreements (including for greater certainty any replacement</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102" w:lineRule="exact"/>
        <w:rPr>
          <w:rFonts w:ascii="Arial" w:cs="Arial" w:eastAsia="Arial" w:hAnsi="Arial"/>
          <w:sz w:val="17"/>
          <w:szCs w:val="17"/>
          <w:color w:val="auto"/>
        </w:rPr>
      </w:pPr>
    </w:p>
    <w:p>
      <w:pPr>
        <w:ind w:left="4" w:firstLine="436"/>
        <w:spacing w:after="0" w:line="293" w:lineRule="auto"/>
        <w:tabs>
          <w:tab w:leader="none" w:pos="699" w:val="left"/>
        </w:tabs>
        <w:numPr>
          <w:ilvl w:val="1"/>
          <w:numId w:val="137"/>
        </w:numPr>
        <w:rPr>
          <w:rFonts w:ascii="Arial" w:cs="Arial" w:eastAsia="Arial" w:hAnsi="Arial"/>
          <w:sz w:val="16"/>
          <w:szCs w:val="16"/>
          <w:color w:val="auto"/>
        </w:rPr>
      </w:pPr>
      <w:r>
        <w:rPr>
          <w:rFonts w:ascii="Arial" w:cs="Arial" w:eastAsia="Arial" w:hAnsi="Arial"/>
          <w:sz w:val="16"/>
          <w:szCs w:val="16"/>
          <w:color w:val="auto"/>
        </w:rPr>
        <w:t xml:space="preserve">Indebtedness of any Loan Party or any Restricted Subsidiary of a Loan Party incurred to finance the acquisition, construction or improvement of any fixed or capital assets, including equipment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(f)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is incurred prior to or within 180 days after such acquisition or the completion of such construction or improvement and (ii) the aggregate principal amount of Indebtedness permitted by this clause (d) shall not exceed the greater of $100,000,000 and 10% of EBITDA at any time outstanding;</w:t>
      </w:r>
    </w:p>
    <w:p>
      <w:pPr>
        <w:spacing w:after="0" w:line="56" w:lineRule="exact"/>
        <w:rPr>
          <w:rFonts w:ascii="Arial" w:cs="Arial" w:eastAsia="Arial" w:hAnsi="Arial"/>
          <w:sz w:val="16"/>
          <w:szCs w:val="16"/>
          <w:color w:val="auto"/>
        </w:rPr>
      </w:pPr>
    </w:p>
    <w:p>
      <w:pPr>
        <w:ind w:left="4" w:firstLine="436"/>
        <w:spacing w:after="0" w:line="291" w:lineRule="auto"/>
        <w:tabs>
          <w:tab w:leader="none" w:pos="689" w:val="left"/>
        </w:tabs>
        <w:numPr>
          <w:ilvl w:val="1"/>
          <w:numId w:val="137"/>
        </w:numPr>
        <w:rPr>
          <w:rFonts w:ascii="Arial" w:cs="Arial" w:eastAsia="Arial" w:hAnsi="Arial"/>
          <w:sz w:val="16"/>
          <w:szCs w:val="16"/>
          <w:color w:val="auto"/>
        </w:rPr>
      </w:pPr>
      <w:r>
        <w:rPr>
          <w:rFonts w:ascii="Arial" w:cs="Arial" w:eastAsia="Arial" w:hAnsi="Arial"/>
          <w:sz w:val="16"/>
          <w:szCs w:val="16"/>
          <w:color w:val="auto"/>
        </w:rPr>
        <w:t>Indebtedness of any Loan Party or any Restricted Subsidiary secured by a Lien on any real property (including any fixtures, equipment or other fixed or capital assets located at any such real property) and extensions, renewals and replacements of any such Indebtedness in accordance with clause</w:t>
      </w:r>
    </w:p>
    <w:p>
      <w:pPr>
        <w:ind w:left="4" w:right="40" w:hanging="4"/>
        <w:spacing w:after="0" w:line="281" w:lineRule="auto"/>
        <w:tabs>
          <w:tab w:leader="none" w:pos="22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Loan Party or Restricted Subsidiary has used commercially reasonable efforts to obtain an access agreement with respect to any such property subject to a Lien, in form and substance reasonably satisfactory to Administrative Agent, from the holder of such Indebtedness (it being understood that to the extent such an access agreement is not obtained, Administrative Agent may establish a Reserve in its Permitted Discretion);</w:t>
      </w:r>
    </w:p>
    <w:p>
      <w:pPr>
        <w:spacing w:after="0" w:line="1" w:lineRule="exact"/>
        <w:rPr>
          <w:rFonts w:ascii="Arial" w:cs="Arial" w:eastAsia="Arial" w:hAnsi="Arial"/>
          <w:sz w:val="16"/>
          <w:szCs w:val="16"/>
          <w:color w:val="auto"/>
        </w:rPr>
      </w:pPr>
    </w:p>
    <w:p>
      <w:pPr>
        <w:ind w:left="4" w:right="140" w:hanging="4"/>
        <w:spacing w:after="0" w:line="255" w:lineRule="auto"/>
        <w:tabs>
          <w:tab w:leader="none" w:pos="26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aggregate outstanding principal amount of Indebtedness permitted by this clause (e) shall not at any time exceed an amount equal to 85% of the value of real estate owned or hereafter acquired by such Loan Party or such Restricted Subsidiary; and (iii) no Event of Default has occurred and is continuing at the time any such Indebtedness is incurred, or would result therefrom;</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4"/>
          </w:cols>
          <w:pgMar w:left="436" w:top="274" w:right="459" w:bottom="1440" w:gutter="0" w:footer="0" w:header="0"/>
        </w:sectPr>
      </w:pPr>
    </w:p>
    <w:bookmarkStart w:id="136" w:name="page137"/>
    <w:bookmarkEnd w:id="136"/>
    <w:p>
      <w:pPr>
        <w:ind w:left="4" w:right="20" w:firstLine="436"/>
        <w:spacing w:after="0" w:line="286" w:lineRule="auto"/>
        <w:tabs>
          <w:tab w:leader="none" w:pos="669" w:val="left"/>
        </w:tabs>
        <w:numPr>
          <w:ilvl w:val="1"/>
          <w:numId w:val="1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Indebtedness which represents an extension, refinancing, replacement or renewal of any of the Indebtedness described in clauses (b), (c), (d), (e), (k), (n), (r), (s), (u), (v) and (x)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with respect to Indebtedness of the type described in clauses (b), (c) or (d), (i) the principal amount of such Indebtedness is not increased, other than by the amount of premiums paid thereon and the fees and expenses incurred in connection therewith and by the amount of unfunded commitments with respect thereto, (ii) any Liens securing such Indebtedness are not extended to any additional property of any Loan Party, (iii) no Loan Party that is not originally obligated with respect to repayment of such Indebtedness is required to become obligated with respect thereto, (iv) in the case of any extension, refinancing, replacement or renewal of any of the Indebtedness described in clauses (b), (c) or (d), such extension, refinancing, replacement or renewal does not result in a shortening of the average weighted maturity of the Indebtedness so extended, refinanced, replaced or renewed, (v) the terms of any such extension, refinancing, replacement or renewal are not materially less favorable to the obligor thereunder than the original terms of such Indebtedness, and (vi) if the Indebtedness that is refinanced, renewed, replaced or extended was subordinated in right of payment to the Secured Obligations, then the terms and conditions of the refinancing, renewal, replacement or extension Indebtedness must include subordination terms and conditions that are substantially similar to those that were applicable to the refinanced, renewed, replaced or extended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in the case of (A) any such extension, refinancing, replacement or renewal of the Senior Notes such extension, refinancing, replacement or renewal expires not earlier than 91 days after the Scheduled Maturity Date and (B) any such extension, refinancing, replacement or renewal of the Indebtedness described in clause (x) of this Section 6.01, such extension, refinancing, replacement or renewal does not violate and continues to be subject to the applicable Permitted Term Debt Intercreditor Agreement;</w:t>
      </w:r>
    </w:p>
    <w:p>
      <w:pPr>
        <w:spacing w:after="0" w:line="59" w:lineRule="exact"/>
        <w:rPr>
          <w:rFonts w:ascii="Arial" w:cs="Arial" w:eastAsia="Arial" w:hAnsi="Arial"/>
          <w:sz w:val="16"/>
          <w:szCs w:val="16"/>
          <w:color w:val="auto"/>
        </w:rPr>
      </w:pPr>
    </w:p>
    <w:p>
      <w:pPr>
        <w:ind w:left="4" w:right="20" w:firstLine="436"/>
        <w:spacing w:after="0" w:line="269" w:lineRule="auto"/>
        <w:tabs>
          <w:tab w:leader="none" w:pos="699" w:val="left"/>
        </w:tabs>
        <w:numPr>
          <w:ilvl w:val="1"/>
          <w:numId w:val="140"/>
        </w:numPr>
        <w:rPr>
          <w:rFonts w:ascii="Arial" w:cs="Arial" w:eastAsia="Arial" w:hAnsi="Arial"/>
          <w:sz w:val="17"/>
          <w:szCs w:val="17"/>
          <w:color w:val="auto"/>
        </w:rPr>
      </w:pPr>
      <w:r>
        <w:rPr>
          <w:rFonts w:ascii="Arial" w:cs="Arial" w:eastAsia="Arial" w:hAnsi="Arial"/>
          <w:sz w:val="17"/>
          <w:szCs w:val="17"/>
          <w:color w:val="auto"/>
        </w:rPr>
        <w:t xml:space="preserve">(i) Indebtedness owing by any U.S. Loan Party to any U.S. Loan Party and Guarantees by any U.S. Loan Party of Indebtedness of any U.S. Loan Party, (ii) Indebtedness owing by any Canadian Loan Party to any other Canadian Loan Party and Guarantees by any Canadian Loan Party of Indebtedness of any other Canadian Loan Party, and (iii) Indebtedness owing by any U.S. Loan Party to any Canadian Loan Party and Guarantees by any Canadian Loan Party of Indebtedness of any U.S.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in the case of (1) any Indebtedness owing by any U.S. Loan Party to any other U.S. Loan Party or to any Canadian Loan Party and (2) any Indebtedness owing by any Canadian Loan Party to any other Canadian Loan Party, such Indebtedness shall be subordinated to the Secured Obligations on terms reasonably satisfactory to the Administrative Agent (it being agreed that the terms of the Affiliate Subordination Agreement are satisfactory to the Administrative Agent), (B) to the extent applicable, Guarantees permitted under this clause (g) shall be subordinated to the Secured Obligations on the same terms as the Indebtedness so Guaranteed is subordinated to the Secured Obligations and (C) for purposes of this Section 6.01(g), a Canadian Cross-Border Loan Guarantor shall be treated only as a Canadian Loan Party and not as a U.S. Loan Party;</w:t>
      </w:r>
    </w:p>
    <w:p>
      <w:pPr>
        <w:spacing w:after="0" w:line="77" w:lineRule="exact"/>
        <w:rPr>
          <w:rFonts w:ascii="Arial" w:cs="Arial" w:eastAsia="Arial" w:hAnsi="Arial"/>
          <w:sz w:val="17"/>
          <w:szCs w:val="17"/>
          <w:color w:val="auto"/>
        </w:rPr>
      </w:pPr>
    </w:p>
    <w:p>
      <w:pPr>
        <w:ind w:left="4" w:right="20" w:firstLine="436"/>
        <w:spacing w:after="0" w:line="283" w:lineRule="auto"/>
        <w:tabs>
          <w:tab w:leader="none" w:pos="699" w:val="left"/>
        </w:tabs>
        <w:numPr>
          <w:ilvl w:val="1"/>
          <w:numId w:val="140"/>
        </w:numPr>
        <w:rPr>
          <w:rFonts w:ascii="Arial" w:cs="Arial" w:eastAsia="Arial" w:hAnsi="Arial"/>
          <w:sz w:val="16"/>
          <w:szCs w:val="16"/>
          <w:color w:val="auto"/>
        </w:rPr>
      </w:pPr>
      <w:r>
        <w:rPr>
          <w:rFonts w:ascii="Arial" w:cs="Arial" w:eastAsia="Arial" w:hAnsi="Arial"/>
          <w:sz w:val="16"/>
          <w:szCs w:val="16"/>
          <w:color w:val="auto"/>
        </w:rPr>
        <w:t>Indebtedness (i) owing by any Canadian Loan Party to any U.S.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this Section 6.01(h), a Canadian Cross-Border Loan Guarantor shall be treated only as a Canadian Loan Party and not as a U.S. Loan Party), (ii) owing by any Foreign Subsidiary to any Loan Party, (iii) owing by any Canadian Loan Party to any unaffiliated third party for which a U.S. Loan Party has issued a Guarantee, and (iv) owing by any Foreign Subsidiary to any unaffiliated third party for which a Loan Party has issued a Guarantee, so long as: (i) the aggregate amount of all such Indebtedness owing or Guaranteed (together with the aggregate amount of all investments made pursuant to Section 6.04(c)(iii)) does not exceed at one time outstanding the sum of (x) the greater of $250,000,000 and 25% of EBITDA and (y) the net proceeds of any issuance of Equity Interests by Holdings or incurrence of Indebtedness by any U.S. Loan Party permitted under Section 6.01 (other than Indebtedness incurred under the Receivables Securitization Agreements) which Equity Interests or Indebtedness is incurred for the purpose of funding a loan or advance by such U.S. Loan Party to a Canadian Loan Party or to a Foreign Subsidiary; (ii) no Event of Default has occurred and is continuing at the time of the incurrence of any such Indebtedness or execution of such Guarantee, or would result therefrom; (iii) in the case of Indebtedness owing by any Canadian Loan Party to any U.S. Loan Party, such Indebtedness shall be subordinated to the Secured Obligations on terms reasonably satisfactory to the Administrative Agent; and</w:t>
      </w:r>
    </w:p>
    <w:p>
      <w:pPr>
        <w:spacing w:after="0" w:line="3" w:lineRule="exact"/>
        <w:rPr>
          <w:rFonts w:ascii="Arial" w:cs="Arial" w:eastAsia="Arial" w:hAnsi="Arial"/>
          <w:sz w:val="16"/>
          <w:szCs w:val="16"/>
          <w:color w:val="auto"/>
        </w:rPr>
      </w:pPr>
    </w:p>
    <w:p>
      <w:pPr>
        <w:ind w:left="4" w:right="80" w:hanging="4"/>
        <w:spacing w:after="0" w:line="260" w:lineRule="auto"/>
        <w:tabs>
          <w:tab w:leader="none" w:pos="30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Guarantees permitted under this clause (h) shall be subordinated to the Secured Obligations on the same terms as the Indebtedness so Guaranteed is subordinated to the Secured Obligations;</w:t>
      </w:r>
    </w:p>
    <w:p>
      <w:pPr>
        <w:spacing w:after="0" w:line="77" w:lineRule="exact"/>
        <w:rPr>
          <w:rFonts w:ascii="Arial" w:cs="Arial" w:eastAsia="Arial" w:hAnsi="Arial"/>
          <w:sz w:val="18"/>
          <w:szCs w:val="18"/>
          <w:color w:val="auto"/>
        </w:rPr>
      </w:pPr>
    </w:p>
    <w:p>
      <w:pPr>
        <w:ind w:left="4" w:firstLine="436"/>
        <w:spacing w:after="0" w:line="263" w:lineRule="auto"/>
        <w:tabs>
          <w:tab w:leader="none" w:pos="659"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Indebtedness of any Loan Party under performance bonds or with respect to workers’ compensation, health, disability or other employee benefits or property, casualty or liability insurance, pursuant to reimbursement or indemnification obligations to such person, in each case incurred in the ordinary course of business;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4"/>
          </w:cols>
          <w:pgMar w:left="436" w:top="274" w:right="459" w:bottom="1440" w:gutter="0" w:footer="0" w:header="0"/>
        </w:sectPr>
      </w:pPr>
    </w:p>
    <w:bookmarkStart w:id="137" w:name="page138"/>
    <w:bookmarkEnd w:id="137"/>
    <w:p>
      <w:pPr>
        <w:ind w:left="4" w:right="300" w:firstLine="436"/>
        <w:spacing w:after="0" w:line="286" w:lineRule="auto"/>
        <w:tabs>
          <w:tab w:leader="none" w:pos="659" w:val="left"/>
        </w:tabs>
        <w:numPr>
          <w:ilvl w:val="1"/>
          <w:numId w:val="1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of any Loan Party or any Restricted Subsidiary in respect of performance bonds, bid bonds, appeal bonds, surety bonds and similar obligations, in each case provided in the ordinary course of business and so long as the aggregate amount of all Indebtedness pursuant to this clause (j) does not exceed the greater of $200,000,000 and 20% of EBITDA at any one time outstanding;</w:t>
      </w:r>
    </w:p>
    <w:p>
      <w:pPr>
        <w:spacing w:after="0" w:line="57" w:lineRule="exact"/>
        <w:rPr>
          <w:rFonts w:ascii="Arial" w:cs="Arial" w:eastAsia="Arial" w:hAnsi="Arial"/>
          <w:sz w:val="17"/>
          <w:szCs w:val="17"/>
          <w:color w:val="auto"/>
        </w:rPr>
      </w:pPr>
    </w:p>
    <w:p>
      <w:pPr>
        <w:ind w:left="4" w:right="60" w:firstLine="436"/>
        <w:spacing w:after="0" w:line="291" w:lineRule="auto"/>
        <w:tabs>
          <w:tab w:leader="none" w:pos="699"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Indebtedness of any Person that becomes a Restricted Subsidiary after the Fourth Restatement Date; provided that (i) such Indebtedness exists at the time such Person becomes a Subsidiary and is not created in contemplation of or in connection with such Person becoming a Subsidiary and</w:t>
      </w:r>
    </w:p>
    <w:p>
      <w:pPr>
        <w:ind w:left="4" w:hanging="4"/>
        <w:spacing w:after="0" w:line="260" w:lineRule="auto"/>
        <w:tabs>
          <w:tab w:leader="none" w:pos="26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aggregate principal amount of Indebtedness permitted by this clause (k) shall not exceed the greater of $100,000,000 and 10% of EBITDA at any time outstanding;</w:t>
      </w:r>
    </w:p>
    <w:p>
      <w:pPr>
        <w:spacing w:after="0" w:line="77" w:lineRule="exact"/>
        <w:rPr>
          <w:rFonts w:ascii="Arial" w:cs="Arial" w:eastAsia="Arial" w:hAnsi="Arial"/>
          <w:sz w:val="18"/>
          <w:szCs w:val="18"/>
          <w:color w:val="auto"/>
        </w:rPr>
      </w:pPr>
    </w:p>
    <w:p>
      <w:pPr>
        <w:ind w:left="4" w:firstLine="436"/>
        <w:spacing w:after="0" w:line="287" w:lineRule="auto"/>
        <w:tabs>
          <w:tab w:leader="none" w:pos="659" w:val="left"/>
        </w:tabs>
        <w:numPr>
          <w:ilvl w:val="1"/>
          <w:numId w:val="143"/>
        </w:numPr>
        <w:rPr>
          <w:rFonts w:ascii="Arial" w:cs="Arial" w:eastAsia="Arial" w:hAnsi="Arial"/>
          <w:sz w:val="16"/>
          <w:szCs w:val="16"/>
          <w:color w:val="auto"/>
        </w:rPr>
      </w:pPr>
      <w:r>
        <w:rPr>
          <w:rFonts w:ascii="Arial" w:cs="Arial" w:eastAsia="Arial" w:hAnsi="Arial"/>
          <w:sz w:val="16"/>
          <w:szCs w:val="16"/>
          <w:color w:val="auto"/>
        </w:rPr>
        <w:t xml:space="preserve">other unsecured Indebtedness of any Loan Party (including, without limitation, Subordinated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Indebtedness constitutes Material Indebtedness, (i) the stated maturity date of such Material Indebtedness is not earlier than 180 days after the Maturity Date (as such Maturity Date is in effect at the time of issuance of such Indebtedness) (other than an earlier maturity date for (1) customary bridge financings, which, subject to customary conditions (as determined by Holdings in good faith) would either be automatically converted into or required to be exchanged for permanent financing which does not provide for an earlier maturity date than 181 days after the Maturity Date (as such Maturity Date is in effect at the time of issuance of such Indebtedness) (the Indebtedness described in this clause (l), “</w:t>
      </w:r>
      <w:r>
        <w:rPr>
          <w:rFonts w:ascii="Arial" w:cs="Arial" w:eastAsia="Arial" w:hAnsi="Arial"/>
          <w:sz w:val="16"/>
          <w:szCs w:val="16"/>
          <w:u w:val="single" w:color="auto"/>
          <w:color w:val="auto"/>
        </w:rPr>
        <w:t>Bridge Debt</w:t>
      </w:r>
      <w:r>
        <w:rPr>
          <w:rFonts w:ascii="Arial" w:cs="Arial" w:eastAsia="Arial" w:hAnsi="Arial"/>
          <w:sz w:val="16"/>
          <w:szCs w:val="16"/>
          <w:color w:val="auto"/>
        </w:rPr>
        <w:t>”), or (2) pursuant to an escrow or similar arrangement with respect to the proceeds of such Indebtedness), (ii) the scheduled annual principal amortization of such Indebtedness to occur prior to the Maturity Date (excluding any payments due at maturity of such Indebtedness) does not exceed five percent (5%) of the original principal amount of such Indebtedness, (iii) the events of default and financial covenants applicable to such Material Indebtedness, taken as a whole, are not more restrictive than those set forth in this Agreement (as determined in the reasonable business judgment of the Borrowers), and (iv) no Event of Default has occurred and is continuing at the time of the incurrence of any such Material Indebtedness or shall result therefrom;</w:t>
      </w:r>
    </w:p>
    <w:p>
      <w:pPr>
        <w:spacing w:after="0" w:line="63" w:lineRule="exact"/>
        <w:rPr>
          <w:rFonts w:ascii="Arial" w:cs="Arial" w:eastAsia="Arial" w:hAnsi="Arial"/>
          <w:sz w:val="16"/>
          <w:szCs w:val="16"/>
          <w:color w:val="auto"/>
        </w:rPr>
      </w:pPr>
    </w:p>
    <w:p>
      <w:pPr>
        <w:ind w:left="4" w:right="100" w:firstLine="436"/>
        <w:spacing w:after="0" w:line="263" w:lineRule="auto"/>
        <w:tabs>
          <w:tab w:leader="none" w:pos="74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secured or unsecured Indebtedness of any Foreign Subsidiary which is a Restricted Subsidiary or any other Excluded Subsidiary to any financial institution or other Person (other than a Loan Party) that (i) is not Guaranteed by any Loan Party or (ii) if Guaranteed by any Loan Party, such Guarantee is permitted under Section 6.01(h);</w:t>
      </w:r>
    </w:p>
    <w:p>
      <w:pPr>
        <w:spacing w:after="0" w:line="75" w:lineRule="exact"/>
        <w:rPr>
          <w:rFonts w:ascii="Arial" w:cs="Arial" w:eastAsia="Arial" w:hAnsi="Arial"/>
          <w:sz w:val="18"/>
          <w:szCs w:val="18"/>
          <w:color w:val="auto"/>
        </w:rPr>
      </w:pPr>
    </w:p>
    <w:p>
      <w:pPr>
        <w:ind w:left="4" w:firstLine="436"/>
        <w:spacing w:after="0" w:line="268" w:lineRule="auto"/>
        <w:tabs>
          <w:tab w:leader="none" w:pos="699" w:val="left"/>
        </w:tabs>
        <w:numPr>
          <w:ilvl w:val="1"/>
          <w:numId w:val="143"/>
        </w:numPr>
        <w:rPr>
          <w:rFonts w:ascii="Arial" w:cs="Arial" w:eastAsia="Arial" w:hAnsi="Arial"/>
          <w:sz w:val="17"/>
          <w:szCs w:val="17"/>
          <w:color w:val="auto"/>
        </w:rPr>
      </w:pPr>
      <w:r>
        <w:rPr>
          <w:rFonts w:ascii="Arial" w:cs="Arial" w:eastAsia="Arial" w:hAnsi="Arial"/>
          <w:sz w:val="17"/>
          <w:szCs w:val="17"/>
          <w:color w:val="auto"/>
        </w:rPr>
        <w:t>other Indebtedness (i) owing by any Canadian Loan Party to any U.S.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Section 6.01(n), a Canadian Cross-Border Loan Guarantor shall be treated only as a Canadian Loan Party and not as a U.S. Loan Party), (ii) owing by any Foreign Subsidiary that is a Restricted Subsidiary to any Loan Party, (iii) owing by any Canadian Loan Party to any unaffiliated third party for which a U.S. Loan Party has issued a Guarantee, and (iv) owing by any Foreign Subsidiary that is a Restricted Subsidiary to any unaffiliated third party for which a Loan Party has issued a Guarantee, so long as at the times such Indebtedness is incurred and immediately after giving effect to such incurrence, (A) the Payment Conditions are satisfied; (B) in the case of Indebtedness owing by any Canadian Loan Party to any U.S. Loan Party or by any Foreign Subsidiary to any Loan Party, such Indebtedness shall be subordinated to the Secured Obligations on terms reasonably satisfactory to the Administrative Agent; and (C) Guarantees permitted under this clause (n) shall be subordinated to the Secured Obligations on the same terms as the Indebtedness so Guaranteed is subordinated to the Secured Obligations; provided, that the aggregate principal amount of secured Indebtedness incurred by any Loan Party pursuant to this clause (n) shall not exceed $75,000,000 at any time outstanding; and provided further that if such Indebtedness is secured by Liens on the ABL Priority Collateral, such Liens on the ABL Priority Collateral are junior in priority to the Liens on the ABL Priority Collateral securing the Obligations, pursuant to a subordination agreement in form and substance reasonably satisfactory to the Administrative Agent and the Borrower Representative;</w:t>
      </w:r>
    </w:p>
    <w:p>
      <w:pPr>
        <w:spacing w:after="0" w:line="78" w:lineRule="exact"/>
        <w:rPr>
          <w:rFonts w:ascii="Arial" w:cs="Arial" w:eastAsia="Arial" w:hAnsi="Arial"/>
          <w:sz w:val="17"/>
          <w:szCs w:val="17"/>
          <w:color w:val="auto"/>
        </w:rPr>
      </w:pPr>
    </w:p>
    <w:p>
      <w:pPr>
        <w:ind w:left="704" w:hanging="264"/>
        <w:spacing w:after="0"/>
        <w:tabs>
          <w:tab w:leader="none" w:pos="70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Indebtedness with respect to Swap Agreements permitted under Section 6.07;</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Indebtedness consisting of insurance premium financing in the ordinary course of business;</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84"/>
          </w:cols>
          <w:pgMar w:left="436" w:top="274" w:right="479" w:bottom="1440" w:gutter="0" w:footer="0" w:header="0"/>
        </w:sectPr>
      </w:pPr>
    </w:p>
    <w:bookmarkStart w:id="138" w:name="page139"/>
    <w:bookmarkEnd w:id="138"/>
    <w:p>
      <w:pPr>
        <w:ind w:left="660" w:hanging="224"/>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the extent constituting Indebtedness, Indebtedness in respect of loans constituting Investments permitted by Section 6.04;</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the extent constituting Indebtedness, judgments not constituting Events of Default under clause (l) of Article VIII;</w:t>
      </w:r>
    </w:p>
    <w:p>
      <w:pPr>
        <w:spacing w:after="0" w:line="117" w:lineRule="exact"/>
        <w:rPr>
          <w:rFonts w:ascii="Arial" w:cs="Arial" w:eastAsia="Arial" w:hAnsi="Arial"/>
          <w:sz w:val="18"/>
          <w:szCs w:val="18"/>
          <w:color w:val="auto"/>
        </w:rPr>
      </w:pPr>
    </w:p>
    <w:p>
      <w:pPr>
        <w:ind w:right="200" w:firstLine="436"/>
        <w:spacing w:after="0" w:line="277" w:lineRule="auto"/>
        <w:tabs>
          <w:tab w:leader="none" w:pos="69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the extent constituting Indebtedness, Indebtedness in an aggregate principal amount not in excess of the greater of $50,000,000 and 5% of EBITDA at any time outstanding incurred in connection with customary supply chain financing arrangements;</w:t>
      </w:r>
    </w:p>
    <w:p>
      <w:pPr>
        <w:spacing w:after="0" w:line="62" w:lineRule="exact"/>
        <w:rPr>
          <w:rFonts w:ascii="Arial" w:cs="Arial" w:eastAsia="Arial" w:hAnsi="Arial"/>
          <w:sz w:val="18"/>
          <w:szCs w:val="18"/>
          <w:color w:val="auto"/>
        </w:rPr>
      </w:pPr>
    </w:p>
    <w:p>
      <w:pPr>
        <w:ind w:right="20" w:firstLine="436"/>
        <w:spacing w:after="0" w:line="255" w:lineRule="auto"/>
        <w:tabs>
          <w:tab w:leader="none" w:pos="69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Indebtedness of Holdings and its Subsidiaries in respect of earn-outs or deferred purchase price owing to the sellers of assets or Equity Interests incurred in connection with the consummation of the Transactions, Permitted Acquisitions or Investments permitted by Section 6.04, so long as the aggregate outstanding principal amount of such Indebtedness does not exceed the greater of $70,000,000 and 7% of EBITDA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Indebtedness is secured by Liens on the ABL Priority Collateral, such Liens on the ABL Priority Collateral are junior in priority to the Liens on the ABL Priority Collateral securing the Obligations, pursuant to a subordination agreement in form and substance reasonably satisfactory to the Administrative Agent and the Borrower Representative;</w:t>
      </w:r>
    </w:p>
    <w:p>
      <w:pPr>
        <w:spacing w:after="0" w:line="84" w:lineRule="exact"/>
        <w:rPr>
          <w:rFonts w:ascii="Arial" w:cs="Arial" w:eastAsia="Arial" w:hAnsi="Arial"/>
          <w:sz w:val="18"/>
          <w:szCs w:val="18"/>
          <w:color w:val="auto"/>
        </w:rPr>
      </w:pPr>
    </w:p>
    <w:p>
      <w:pPr>
        <w:ind w:right="240" w:firstLine="436"/>
        <w:spacing w:after="0" w:line="277" w:lineRule="auto"/>
        <w:tabs>
          <w:tab w:leader="none" w:pos="73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Indebtedness not otherwise permitted by this Section 6.01 so long as the aggregate outstanding principal amount of such Indebtedness does not exceed the greater of $125,000,000 and 12.5% of EBITDA at any time; and</w:t>
      </w:r>
    </w:p>
    <w:p>
      <w:pPr>
        <w:spacing w:after="0" w:line="62" w:lineRule="exact"/>
        <w:rPr>
          <w:rFonts w:ascii="Arial" w:cs="Arial" w:eastAsia="Arial" w:hAnsi="Arial"/>
          <w:sz w:val="18"/>
          <w:szCs w:val="18"/>
          <w:color w:val="auto"/>
        </w:rPr>
      </w:pPr>
    </w:p>
    <w:p>
      <w:pPr>
        <w:ind w:right="80" w:firstLine="436"/>
        <w:spacing w:after="0" w:line="287" w:lineRule="auto"/>
        <w:tabs>
          <w:tab w:leader="none" w:pos="69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term loan Indebtedness, secured notes or other secured Indebtedness incurred after the Fourth Restatement Date, including any refinancing or replacement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at the time such Indebtedness is incurred and after giving effect thereto, (x) the Secured Leverage Ratio does not exceed 4.50 to 1.00, and (y) no Event of Default shall have occurred and be continuing, (ii) the stated maturity date of such Indebtedness is not earlier than 91 days after the Maturity Date (as such Maturity Date is in effect at the time of issuance of such Indebtedness) (other than an earlier maturity date for (1) Bridge Debt or (2) pursuant to an escrow or similar arrangement with respect to the proceeds of such Indebtedness), (iii) the scheduled annual principal amortization of such Indebtedness to occur prior to the Maturity Date (excluding any payments due at maturity of such Indebtedness) does not exceed five percent (5%) of the original principal amount of such Indebtedness, (iv) the events of default and financial covenants applicable to such Indebtedness, taken as a whole, are not more restrictive than those set forth in this Agreement, and (v) any Liens securing such Indebtedness (x) if on ABL Priority Collateral, are junior in priority to the Liens on the ABL Priority Collateral securing the Obligations and (y) if on Collateral not constituting ABL Priority Collateral, may be pari passu, senior or junior in priority to the Liens on the Collateral not constituting ABL Priority Collateral securing the Obligations, in each case in clause (x) or (y), pursuant to a Permitted Term Debt Intercreditor Agreement. Any Indebtedness incurred in reliance on this Section 6.01(x) is referred to in this Agreement as “</w:t>
      </w:r>
      <w:r>
        <w:rPr>
          <w:rFonts w:ascii="Arial" w:cs="Arial" w:eastAsia="Arial" w:hAnsi="Arial"/>
          <w:sz w:val="16"/>
          <w:szCs w:val="16"/>
          <w:u w:val="single" w:color="auto"/>
          <w:color w:val="auto"/>
        </w:rPr>
        <w:t>Permitted Term Debt.</w:t>
      </w:r>
      <w:r>
        <w:rPr>
          <w:rFonts w:ascii="Arial" w:cs="Arial" w:eastAsia="Arial" w:hAnsi="Arial"/>
          <w:sz w:val="16"/>
          <w:szCs w:val="16"/>
          <w:color w:val="auto"/>
        </w:rPr>
        <w:t>”</w:t>
      </w:r>
    </w:p>
    <w:p>
      <w:pPr>
        <w:spacing w:after="0" w:line="16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greater certainty, the Borrowers may elect from time to time to consider Indebtedness as falling within one or more of the categories above and may divide Indebtedness among two or more categories. The restrictions set forth in any subpart of this Section 6.01 by way of description of Indebtedness shall not be deemed to require that Indebtedness meeting such description be placed in such subpart for purposes of determining compliance with this Section. The accrual of interest, the accretion of accreted value, the accretion of original issue discount, the accretion of liquidation preference and increases in the amount of Indebtedness or other obligations solely as a result of fluctuations in the exchange rate of currencies shall not be deemed to be an incurrence of Indebtedness or other obligations for purposes of this Section 6.01.</w:t>
      </w:r>
    </w:p>
    <w:p>
      <w:pPr>
        <w:spacing w:after="0" w:line="178"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No Loan Party will, nor will it permit any Restricted Subsidiary to, create, incur, assume or permit to exist any Lien on any property or asset now owned or hereafter acquired by it, or assign or sell any income or revenues (including accounts receivable) or rights in respect of any thereof, except: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0"/>
          </w:cols>
          <w:pgMar w:left="440" w:top="274" w:right="459" w:bottom="1440" w:gutter="0" w:footer="0" w:header="0"/>
        </w:sectPr>
      </w:pPr>
    </w:p>
    <w:bookmarkStart w:id="139" w:name="page140"/>
    <w:bookmarkEnd w:id="139"/>
    <w:p>
      <w:pPr>
        <w:ind w:left="640" w:hanging="244"/>
        <w:spacing w:after="0"/>
        <w:tabs>
          <w:tab w:leader="none" w:pos="6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created pursuant to any Loan Document;</w:t>
      </w:r>
    </w:p>
    <w:p>
      <w:pPr>
        <w:spacing w:after="0" w:line="117" w:lineRule="exact"/>
        <w:rPr>
          <w:rFonts w:ascii="Arial" w:cs="Arial" w:eastAsia="Arial" w:hAnsi="Arial"/>
          <w:sz w:val="18"/>
          <w:szCs w:val="18"/>
          <w:color w:val="auto"/>
        </w:rPr>
      </w:pPr>
    </w:p>
    <w:p>
      <w:pPr>
        <w:ind w:left="-40" w:right="300" w:firstLine="436"/>
        <w:spacing w:after="0" w:line="279" w:lineRule="auto"/>
        <w:tabs>
          <w:tab w:leader="none" w:pos="65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any Lien on any property or asset of any Borrower or any Restricted Subsidiary existing on the Fourth Restatement Date and set forth in </w:t>
      </w:r>
      <w:r>
        <w:rPr>
          <w:rFonts w:ascii="Arial" w:cs="Arial" w:eastAsia="Arial" w:hAnsi="Arial"/>
          <w:sz w:val="17"/>
          <w:szCs w:val="17"/>
          <w:u w:val="single" w:color="auto"/>
          <w:color w:val="auto"/>
        </w:rPr>
        <w:t>Schedule 6.02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shall not apply to any other property or asset of such Borrower or Restricted Subsidiary and (ii) such Lien shall secure only those obligations which it secures on the Fourth Restatement Date and extensions, renewals and replacements thereof that do not increase the outstanding principal amount thereof to the extent permitted by Section 6.01(f);</w:t>
      </w:r>
    </w:p>
    <w:p>
      <w:pPr>
        <w:spacing w:after="0" w:line="63" w:lineRule="exact"/>
        <w:rPr>
          <w:rFonts w:ascii="Arial" w:cs="Arial" w:eastAsia="Arial" w:hAnsi="Arial"/>
          <w:sz w:val="17"/>
          <w:szCs w:val="17"/>
          <w:color w:val="auto"/>
        </w:rPr>
      </w:pPr>
    </w:p>
    <w:p>
      <w:pPr>
        <w:ind w:left="640" w:hanging="244"/>
        <w:spacing w:after="0"/>
        <w:tabs>
          <w:tab w:leader="none" w:pos="6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Liens on Accounts sold to WESCO Receivables pursuant to the Receivables Securitization Agreements;</w:t>
      </w:r>
    </w:p>
    <w:p>
      <w:pPr>
        <w:spacing w:after="0" w:line="117" w:lineRule="exact"/>
        <w:rPr>
          <w:rFonts w:ascii="Arial" w:cs="Arial" w:eastAsia="Arial" w:hAnsi="Arial"/>
          <w:sz w:val="18"/>
          <w:szCs w:val="18"/>
          <w:color w:val="auto"/>
        </w:rPr>
      </w:pPr>
    </w:p>
    <w:p>
      <w:pPr>
        <w:ind w:left="-40" w:right="20" w:firstLine="436"/>
        <w:spacing w:after="0" w:line="257" w:lineRule="auto"/>
        <w:tabs>
          <w:tab w:leader="none" w:pos="6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Liens on fixed or capital assets acquired, constructed or improved by any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security interests secure Indebtedness permitted by clause (d) of Section 6.01, (ii) such security interests and the Indebtedness secured thereby are incurred prior to or within 180 days after such acquisition or the completion of such construction or improvement, (iii) the Indebtedness secured thereby does not exceed 100% of the cost of acquiring, constructing or improving such fixed or capital assets and (iv) such security interests shall not apply to any other property or assets of such Borrower or Subsidiary or any other Borrower or Subsidiary;</w:t>
      </w:r>
    </w:p>
    <w:p>
      <w:pPr>
        <w:spacing w:after="0" w:line="79" w:lineRule="exact"/>
        <w:rPr>
          <w:rFonts w:ascii="Arial" w:cs="Arial" w:eastAsia="Arial" w:hAnsi="Arial"/>
          <w:sz w:val="18"/>
          <w:szCs w:val="18"/>
          <w:color w:val="auto"/>
        </w:rPr>
      </w:pPr>
    </w:p>
    <w:p>
      <w:pPr>
        <w:ind w:left="-40" w:right="120" w:firstLine="436"/>
        <w:spacing w:after="0" w:line="263" w:lineRule="auto"/>
        <w:tabs>
          <w:tab w:leader="none" w:pos="64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Liens on real property, and fixed and capital assets (including equipment);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security interests secure Indebtedness permitted by clause (e) of Section 6.01, and (ii) such security interests shall not apply to any other property or assets of such Borrower or Subsidiary or any other Borrower or Subsidiary;</w:t>
      </w:r>
    </w:p>
    <w:p>
      <w:pPr>
        <w:spacing w:after="0" w:line="75" w:lineRule="exact"/>
        <w:rPr>
          <w:rFonts w:ascii="Arial" w:cs="Arial" w:eastAsia="Arial" w:hAnsi="Arial"/>
          <w:sz w:val="18"/>
          <w:szCs w:val="18"/>
          <w:color w:val="auto"/>
        </w:rPr>
      </w:pPr>
    </w:p>
    <w:p>
      <w:pPr>
        <w:ind w:left="-40" w:firstLine="436"/>
        <w:spacing w:after="0" w:line="289" w:lineRule="auto"/>
        <w:tabs>
          <w:tab w:leader="none" w:pos="62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any Lien existing on any property or asset prior to the acquisition thereof by any Loan Party or existing on any property or asset of any Person that becomes a Loan Party after the Fourth Restatement Date prior to the time such Person becomes a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is not created in contemplation of or in connection with such acquisition or such Person becoming a Loan Party, as the case may be, (ii) such Lien shall not apply to any other property or assets of the Loan Party, (iii) such Lien shall secure only those obligations which it secures on the date of such acquisition or the date such Person becomes a Loan Party, as the case may be and extensions, renewals and replacements thereof to the extent permitted by Section 6.01(f), and (iv) to the extent that Accounts or Inventory are subject to any such Lien, the Loan Parties shall cause the portion of such Lien covering Accounts and/or Inventory to be released within 45 days after such Lien shall have been incurred (or such later date as the Administrative Agent in its Permitted Discretion shall agree in writing) and no Accounts or Inventory subject to such Lien shall be eligible for inclusion in any portion of the Aggregate Borrowing Base until such time as such Lien shall have been released with respect to such Accounts or Inventory;</w:t>
      </w:r>
    </w:p>
    <w:p>
      <w:pPr>
        <w:spacing w:after="0" w:line="58" w:lineRule="exact"/>
        <w:rPr>
          <w:rFonts w:ascii="Arial" w:cs="Arial" w:eastAsia="Arial" w:hAnsi="Arial"/>
          <w:sz w:val="16"/>
          <w:szCs w:val="16"/>
          <w:color w:val="auto"/>
        </w:rPr>
      </w:pPr>
    </w:p>
    <w:p>
      <w:pPr>
        <w:ind w:left="-40" w:right="340" w:firstLine="436"/>
        <w:spacing w:after="0" w:line="277" w:lineRule="auto"/>
        <w:tabs>
          <w:tab w:leader="none" w:pos="6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Liens of a collecting bank arising in the ordinary course of business under Section 4-208 of the Uniform Commercial Code in effect in the relevant jurisdiction covering only the items being collected upon;</w:t>
      </w:r>
    </w:p>
    <w:p>
      <w:pPr>
        <w:spacing w:after="0" w:line="62" w:lineRule="exact"/>
        <w:rPr>
          <w:rFonts w:ascii="Arial" w:cs="Arial" w:eastAsia="Arial" w:hAnsi="Arial"/>
          <w:sz w:val="18"/>
          <w:szCs w:val="18"/>
          <w:color w:val="auto"/>
        </w:rPr>
      </w:pPr>
    </w:p>
    <w:p>
      <w:pPr>
        <w:ind w:left="660" w:hanging="264"/>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Liens arising out of sale and leaseback transactions permitted by Section 6.06;</w:t>
      </w:r>
    </w:p>
    <w:p>
      <w:pPr>
        <w:spacing w:after="0" w:line="117" w:lineRule="exact"/>
        <w:rPr>
          <w:rFonts w:ascii="Arial" w:cs="Arial" w:eastAsia="Arial" w:hAnsi="Arial"/>
          <w:sz w:val="18"/>
          <w:szCs w:val="18"/>
          <w:color w:val="auto"/>
        </w:rPr>
      </w:pPr>
    </w:p>
    <w:p>
      <w:pPr>
        <w:ind w:left="-40" w:right="300" w:firstLine="436"/>
        <w:spacing w:after="0" w:line="277" w:lineRule="auto"/>
        <w:tabs>
          <w:tab w:leader="none" w:pos="61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interest of title of a lessor under, and Liens arising from UCC financing statements (or equivalent filings, registrations or agreements in foreign jurisdictions) relating to, leases permitted by this Agreement;</w:t>
      </w:r>
    </w:p>
    <w:p>
      <w:pPr>
        <w:spacing w:after="0" w:line="62" w:lineRule="exact"/>
        <w:rPr>
          <w:rFonts w:ascii="Arial" w:cs="Arial" w:eastAsia="Arial" w:hAnsi="Arial"/>
          <w:sz w:val="18"/>
          <w:szCs w:val="18"/>
          <w:color w:val="auto"/>
        </w:rPr>
      </w:pPr>
    </w:p>
    <w:p>
      <w:pPr>
        <w:ind w:left="620" w:hanging="224"/>
        <w:spacing w:after="0"/>
        <w:tabs>
          <w:tab w:leader="none" w:pos="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117" w:lineRule="exact"/>
        <w:rPr>
          <w:rFonts w:ascii="Arial" w:cs="Arial" w:eastAsia="Arial" w:hAnsi="Arial"/>
          <w:sz w:val="18"/>
          <w:szCs w:val="18"/>
          <w:color w:val="auto"/>
        </w:rPr>
      </w:pPr>
    </w:p>
    <w:p>
      <w:pPr>
        <w:ind w:left="-40" w:right="260" w:firstLine="436"/>
        <w:spacing w:after="0" w:line="277" w:lineRule="auto"/>
        <w:tabs>
          <w:tab w:leader="none" w:pos="6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Liens granted by a Restricted Subsidiary that is not a Loan Party in favor of any Borrower or another Loan Party in respect of Indebtedness owed by such Restricted Subsidiary;</w:t>
      </w:r>
    </w:p>
    <w:p>
      <w:pPr>
        <w:spacing w:after="0" w:line="62" w:lineRule="exact"/>
        <w:rPr>
          <w:rFonts w:ascii="Arial" w:cs="Arial" w:eastAsia="Arial" w:hAnsi="Arial"/>
          <w:sz w:val="18"/>
          <w:szCs w:val="18"/>
          <w:color w:val="auto"/>
        </w:rPr>
      </w:pPr>
    </w:p>
    <w:p>
      <w:pPr>
        <w:ind w:left="620" w:hanging="224"/>
        <w:spacing w:after="0"/>
        <w:tabs>
          <w:tab w:leader="none" w:pos="62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Liens granted by any Foreign Subsidiary which is a Restricted Subsidiary on assets of such Foreign Subsidiary not constituting Collateral;</w:t>
      </w:r>
    </w:p>
    <w:p>
      <w:pPr>
        <w:spacing w:after="0" w:line="140" w:lineRule="exact"/>
        <w:rPr>
          <w:rFonts w:ascii="Arial" w:cs="Arial" w:eastAsia="Arial" w:hAnsi="Arial"/>
          <w:sz w:val="16"/>
          <w:szCs w:val="16"/>
          <w:color w:val="auto"/>
        </w:rPr>
      </w:pPr>
    </w:p>
    <w:p>
      <w:pPr>
        <w:ind w:left="700" w:hanging="304"/>
        <w:spacing w:after="0"/>
        <w:tabs>
          <w:tab w:leader="none" w:pos="7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customary Liens on assets subject to a pending disposition prior to the effectiveness of such disposition;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40"/>
          </w:cols>
          <w:pgMar w:left="480" w:top="274" w:right="479" w:bottom="1440" w:gutter="0" w:footer="0" w:header="0"/>
        </w:sectPr>
      </w:pPr>
    </w:p>
    <w:bookmarkStart w:id="140" w:name="page141"/>
    <w:bookmarkEnd w:id="140"/>
    <w:p>
      <w:pPr>
        <w:ind w:left="4" w:right="280" w:firstLine="436"/>
        <w:spacing w:after="0" w:line="277" w:lineRule="auto"/>
        <w:tabs>
          <w:tab w:leader="none" w:pos="699" w:val="left"/>
        </w:tabs>
        <w:numPr>
          <w:ilvl w:val="0"/>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reservations in the original grant from the Crown in right of Canada or any Province or Territory thereof of any lands or interests therein and all statutory exceptions, qualifications and reservations in respect of title with respect thereto;</w:t>
      </w:r>
    </w:p>
    <w:p>
      <w:pPr>
        <w:spacing w:after="0" w:line="62" w:lineRule="exact"/>
        <w:rPr>
          <w:rFonts w:ascii="Arial" w:cs="Arial" w:eastAsia="Arial" w:hAnsi="Arial"/>
          <w:sz w:val="18"/>
          <w:szCs w:val="18"/>
          <w:color w:val="auto"/>
        </w:rPr>
      </w:pPr>
    </w:p>
    <w:p>
      <w:pPr>
        <w:ind w:left="4" w:right="120" w:firstLine="436"/>
        <w:spacing w:after="0" w:line="257" w:lineRule="auto"/>
        <w:tabs>
          <w:tab w:leader="none" w:pos="69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security given by any Loan Party or Restricted Subsidiary to a public utility or any municipality or governmental or other public authority when required by such public utility or municipality or other governmental authority in the ordinary course of business of any Loan Party or Restricted Subsidiary in connection with such Loan Party’s or Restricted Subsidiary’s operations;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security does not either alone or in the aggregate materially detract from the value of the property or assets affected thereby or materially impair its use in the conduct of such Loan Party’s or Restricted Subsidiary’s business;</w:t>
      </w:r>
    </w:p>
    <w:p>
      <w:pPr>
        <w:spacing w:after="0" w:line="79" w:lineRule="exact"/>
        <w:rPr>
          <w:rFonts w:ascii="Arial" w:cs="Arial" w:eastAsia="Arial" w:hAnsi="Arial"/>
          <w:sz w:val="18"/>
          <w:szCs w:val="18"/>
          <w:color w:val="auto"/>
        </w:rPr>
      </w:pPr>
    </w:p>
    <w:p>
      <w:pPr>
        <w:ind w:left="4" w:right="60" w:firstLine="436"/>
        <w:spacing w:after="0" w:line="263" w:lineRule="auto"/>
        <w:tabs>
          <w:tab w:leader="none" w:pos="69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governmental of other public authority by the terms of any lease, license, franchise, grant or permit acquired by any Loan Party or Restricted Subsidiary or by any statutory provision to terminate any such lease, license, franchise, grant or permit or to require annual or other periodic payments as a condition of the continuance thereof;</w:t>
      </w:r>
    </w:p>
    <w:p>
      <w:pPr>
        <w:spacing w:after="0" w:line="75" w:lineRule="exact"/>
        <w:rPr>
          <w:rFonts w:ascii="Arial" w:cs="Arial" w:eastAsia="Arial" w:hAnsi="Arial"/>
          <w:sz w:val="18"/>
          <w:szCs w:val="18"/>
          <w:color w:val="auto"/>
        </w:rPr>
      </w:pPr>
    </w:p>
    <w:p>
      <w:pPr>
        <w:ind w:left="4" w:right="360" w:firstLine="436"/>
        <w:spacing w:after="0" w:line="263" w:lineRule="auto"/>
        <w:tabs>
          <w:tab w:leader="none" w:pos="69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subdivision agreements, site plan control agreements, development agreements, servicing agreements, utility agreements and other similar agreements with a Governmental Authority or public utilities that do not materially impair the use, operation or marketability of the applicable real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have in each case been complied with in all material respects;</w:t>
      </w:r>
    </w:p>
    <w:p>
      <w:pPr>
        <w:spacing w:after="0" w:line="75" w:lineRule="exact"/>
        <w:rPr>
          <w:rFonts w:ascii="Arial" w:cs="Arial" w:eastAsia="Arial" w:hAnsi="Arial"/>
          <w:sz w:val="18"/>
          <w:szCs w:val="18"/>
          <w:color w:val="auto"/>
        </w:rPr>
      </w:pPr>
    </w:p>
    <w:p>
      <w:pPr>
        <w:ind w:left="664" w:hanging="224"/>
        <w:spacing w:after="0"/>
        <w:tabs>
          <w:tab w:leader="none" w:pos="664"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any rights of expropriation, access or user or any similar rights conferred or reserved by or in any statutes of any Governmental Authority;</w:t>
      </w:r>
    </w:p>
    <w:p>
      <w:pPr>
        <w:spacing w:after="0" w:line="128" w:lineRule="exact"/>
        <w:rPr>
          <w:rFonts w:ascii="Arial" w:cs="Arial" w:eastAsia="Arial" w:hAnsi="Arial"/>
          <w:sz w:val="17"/>
          <w:szCs w:val="17"/>
          <w:color w:val="auto"/>
        </w:rPr>
      </w:pPr>
    </w:p>
    <w:p>
      <w:pPr>
        <w:ind w:left="684" w:hanging="244"/>
        <w:spacing w:after="0"/>
        <w:tabs>
          <w:tab w:leader="none" w:pos="6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Liens securing Indebtedness permitted by Section 6.01(n);</w:t>
      </w:r>
    </w:p>
    <w:p>
      <w:pPr>
        <w:spacing w:after="0" w:line="117" w:lineRule="exact"/>
        <w:rPr>
          <w:rFonts w:ascii="Arial" w:cs="Arial" w:eastAsia="Arial" w:hAnsi="Arial"/>
          <w:sz w:val="18"/>
          <w:szCs w:val="18"/>
          <w:color w:val="auto"/>
        </w:rPr>
      </w:pPr>
    </w:p>
    <w:p>
      <w:pPr>
        <w:ind w:left="4" w:right="240" w:firstLine="436"/>
        <w:spacing w:after="0" w:line="277" w:lineRule="auto"/>
        <w:tabs>
          <w:tab w:leader="none" w:pos="65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Liens securing Indebtedness under Section 6.01(u);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shall only encumber the Accounts sold in connection with each such supply chain financing arrangement and any supporting obligations related thereto;</w:t>
      </w:r>
    </w:p>
    <w:p>
      <w:pPr>
        <w:spacing w:after="0" w:line="62" w:lineRule="exact"/>
        <w:rPr>
          <w:rFonts w:ascii="Arial" w:cs="Arial" w:eastAsia="Arial" w:hAnsi="Arial"/>
          <w:sz w:val="18"/>
          <w:szCs w:val="18"/>
          <w:color w:val="auto"/>
        </w:rPr>
      </w:pPr>
    </w:p>
    <w:p>
      <w:pPr>
        <w:ind w:left="4" w:right="60" w:firstLine="436"/>
        <w:spacing w:after="0" w:line="273" w:lineRule="auto"/>
        <w:tabs>
          <w:tab w:leader="none" w:pos="699" w:val="left"/>
        </w:tabs>
        <w:numPr>
          <w:ilvl w:val="0"/>
          <w:numId w:val="146"/>
        </w:numPr>
        <w:rPr>
          <w:rFonts w:ascii="Arial" w:cs="Arial" w:eastAsia="Arial" w:hAnsi="Arial"/>
          <w:sz w:val="17"/>
          <w:szCs w:val="17"/>
          <w:color w:val="auto"/>
        </w:rPr>
      </w:pPr>
      <w:r>
        <w:rPr>
          <w:rFonts w:ascii="Arial" w:cs="Arial" w:eastAsia="Arial" w:hAnsi="Arial"/>
          <w:sz w:val="17"/>
          <w:szCs w:val="17"/>
          <w:color w:val="auto"/>
        </w:rPr>
        <w:t>Liens not otherwise permitted by this Section 6.02 so long as (i) the aggregate outstanding principal amount of the obligations secured thereby does not at any time exceed the greater of $125,000,000 and 12.5% of EBITDA and (ii) to the extent that any ABL Priority Collateral in excess of the greater of $10,000,000 and 1% of EBITDA is subject to any such Lien, (x) the Loan Parties shall cause the portion of such Lien covering ABL Priority Collateral to be released within 45 days after such Lien shall have been incurred (or such later date as the Administrative Agent in its Permitted Discretion shall agree in writing) and (y) no Accounts or Inventory subject to such Lien shall be eligible for inclusion in any portion of the Aggregate Borrowing Base until such time as such Lien shall have been released with respect to such Accounts or Inventory; and</w:t>
      </w:r>
    </w:p>
    <w:p>
      <w:pPr>
        <w:spacing w:after="0" w:line="69" w:lineRule="exact"/>
        <w:rPr>
          <w:rFonts w:ascii="Arial" w:cs="Arial" w:eastAsia="Arial" w:hAnsi="Arial"/>
          <w:sz w:val="17"/>
          <w:szCs w:val="17"/>
          <w:color w:val="auto"/>
        </w:rPr>
      </w:pPr>
    </w:p>
    <w:p>
      <w:pPr>
        <w:ind w:left="4" w:right="20" w:firstLine="436"/>
        <w:spacing w:after="0" w:line="301" w:lineRule="auto"/>
        <w:tabs>
          <w:tab w:leader="none" w:pos="699"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under Section 6.01(x);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Liens of any Permitted Term Debt Agent on any ABL Priority Collateral shall be junior and subordinate to the Liens of the Administrative Agent on such Collateral as provided by the applicable Permitted Term Debt Intercreditor Agreement and (ii) the rights and remedies of the Permitted Term Debt Agent and the lenders party to any Permitted Term Loan Agreement with respect to such Indebtedness shall be subject to the applicable Permitted Term Debt Intercreditor Agreement.</w:t>
      </w:r>
    </w:p>
    <w:p>
      <w:pPr>
        <w:spacing w:after="0" w:line="157"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Notwithstanding the foregoing, none of the Liens permitted pursuant to this Section 6.02 may at any time attach to any Loan Party’s (A) Accounts, other than (x) those permitted under clause (a) of the definition of Permitted Encumbrance and clauses (a), (g), (m), (n), (o), (t), (u) and (v) above, and</w:t>
      </w:r>
    </w:p>
    <w:p>
      <w:pPr>
        <w:ind w:left="4" w:right="340" w:hanging="4"/>
        <w:spacing w:after="0" w:line="260" w:lineRule="auto"/>
        <w:tabs>
          <w:tab w:leader="none" w:pos="24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Accounts sold to WESCO Receivables pursuant to the Receivables Securitization Agreements or (B) Inventory, other than those permitted under clauses (a) and (b) of the definition of Permitted Encumbrance and clauses (a), (m), (n), (t), (u) and (v) above.</w:t>
      </w:r>
    </w:p>
    <w:p>
      <w:pPr>
        <w:spacing w:after="0" w:line="18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(a) No Loan Party will, nor will it permit any Restricted Subsidiary to, merge into or consolidate or amalgamate with any other Person, or permit any other Person to merge into or consolidate or amalgamate with it, or liquidate or dissolve (and distribute its assets), except that, if at the time thereof</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04"/>
          </w:cols>
          <w:pgMar w:left="436" w:top="274" w:right="459" w:bottom="1440" w:gutter="0" w:footer="0" w:header="0"/>
        </w:sectPr>
      </w:pPr>
    </w:p>
    <w:bookmarkStart w:id="141" w:name="page142"/>
    <w:bookmarkEnd w:id="14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immediately after giving effect thereto no Event of Default shall have occurred and be continuing (i) any U.S. Loan Party (other than a Canadian Cross-Border Loan Guarantor) may merge into another U.S. Loan Party (including the merger of any U.S. Borrower into another U.S. Borrower but excluding any merger involving a Canadian Cross-Border Loan Guarantor) so long as in a transaction in which a U.S. Borrower is involved, such U.S. Borrower is the surviving corporation, (ii) any Canadian Loan Party may merge or amalgamate into another Canadian Loan Party so long as in a transaction in which a Canadian Borrower is involved, such Canadian Borrower is the surviving corporation, (iii) TVC Canada Corp. may merge or amalgamate into WDCH, LP or another Canadian Loan Party or may liquidate or dissolve, (iv) any Restricted Subsidiary that is not a Loan Party may liquidate or dissolve (and distribute its assets to its immediate parent) if Holdings determines in good faith that such liquidation or dissolution is in the best interests of Holdings and is not materially disadvantageous to the Lenders, (v) any Restricted Subsidiary may transfer its assets to a Loan Party and any Restricted Subsidiary which is not a Loan Party may transfer its assets to another Restricted Subsidiary which is not a Loan Party, (vi) any Loan Party (other than Holdings or a Borrower) may liquidate or dissolve so long as the assets and properties of such Loan Party are received by or distributed to another Loan Party organized or formed in the same country as such dissolving or liquidating Loan Party and such dissolution or liquidation would not reasonably be expected to have a Material Adverse Effect and (vii) any Loan Party may merge or amalgamate with any other Person in connection with the consummation of a Permitted Acquisition so long as (A) no Change of Control results therefrom, (B) in the case of a merger of any Loan Party with any other Person, such Loan Party is the surviving entity, or, in the case such Loan Party is not Holdings or a Borrower, such other Person is the surviving entity, so long as such other Person shall be organized in the same jurisdiction as such Loan Party and shall substantially contemporaneously with the consummation of such merger become a Loan Party hereunder and otherwise comply with the requirements of Section 5.13 hereof and (C) in the case of the amalgamation of any Canadian Loan Party (the “</w:t>
      </w:r>
      <w:r>
        <w:rPr>
          <w:rFonts w:ascii="Arial" w:cs="Arial" w:eastAsia="Arial" w:hAnsi="Arial"/>
          <w:sz w:val="16"/>
          <w:szCs w:val="16"/>
          <w:u w:val="single" w:color="auto"/>
          <w:color w:val="auto"/>
        </w:rPr>
        <w:t>Constituent Canadian Loan Party</w:t>
      </w:r>
      <w:r>
        <w:rPr>
          <w:rFonts w:ascii="Arial" w:cs="Arial" w:eastAsia="Arial" w:hAnsi="Arial"/>
          <w:sz w:val="16"/>
          <w:szCs w:val="16"/>
          <w:color w:val="auto"/>
        </w:rPr>
        <w:t>”) with any other Person, the entity resulting from such amalgamation shall confirm in writing that it is a Canadian Loan Party and has succeeded to and is bound by all of the obligations of the Constituent Canadian Loan Party under the Loan Documents in the same manner and to the same extent as the Constituent Canadian Loan Party was so bound immediately prior to such amalgamation and shall take such other actions and execute and deliver such other documents as the Administrative Agent may reasonably request to ratify and confirm such obligations and the continuing validity, perfection and priority of the Administrative Agent’s Liens in the Collateral of the Constituent Canadian Loan Party after giving effect to such amalgamation, all of which shall be satisfactory in form and substance to the Administrative Agent. Notwithstanding the foregoing, (i) Holdings and its Restricted Subsidiaries may consummate the Anixter Acquisition in accordance with the Anixter Acquisition Agreement and (ii) the Anixter Merger shall be permitted.</w:t>
      </w:r>
    </w:p>
    <w:p>
      <w:pPr>
        <w:spacing w:after="0" w:line="67" w:lineRule="exact"/>
        <w:rPr>
          <w:sz w:val="20"/>
          <w:szCs w:val="20"/>
          <w:color w:val="auto"/>
        </w:rPr>
      </w:pPr>
    </w:p>
    <w:p>
      <w:pPr>
        <w:jc w:val="both"/>
        <w:ind w:right="260" w:firstLine="436"/>
        <w:spacing w:after="0" w:line="263" w:lineRule="auto"/>
        <w:tabs>
          <w:tab w:leader="none" w:pos="69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any Loan Party that is a limited liability company consummates a Division, each Division Successor shall be required to comply with the obligations set forth in Section 5.13 and the other further assurances obligations set forth in the Loan Documents and become a Loan Party under this Agreement and the other Loan Documents.</w:t>
      </w:r>
    </w:p>
    <w:p>
      <w:pPr>
        <w:spacing w:after="0" w:line="75" w:lineRule="exact"/>
        <w:rPr>
          <w:rFonts w:ascii="Arial" w:cs="Arial" w:eastAsia="Arial" w:hAnsi="Arial"/>
          <w:sz w:val="18"/>
          <w:szCs w:val="18"/>
          <w:color w:val="auto"/>
        </w:rPr>
      </w:pPr>
    </w:p>
    <w:p>
      <w:pPr>
        <w:ind w:right="460" w:firstLine="436"/>
        <w:spacing w:after="0" w:line="263" w:lineRule="auto"/>
        <w:tabs>
          <w:tab w:leader="none" w:pos="68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 Loan Party will, nor will it permit any of its Restricted Subsidiaries (other than Excluded Subsidiaries which are not Loan Parties), to engage to any material extent in any business other than businesses substantially similar to the type conducted by the Loan Parties on the date of execution of this Agreement and businesses reasonably related thereto and logical extensions thereof.</w:t>
      </w:r>
    </w:p>
    <w:p>
      <w:pPr>
        <w:spacing w:after="0" w:line="75" w:lineRule="exact"/>
        <w:rPr>
          <w:rFonts w:ascii="Arial" w:cs="Arial" w:eastAsia="Arial" w:hAnsi="Arial"/>
          <w:sz w:val="18"/>
          <w:szCs w:val="18"/>
          <w:color w:val="auto"/>
        </w:rPr>
      </w:pPr>
    </w:p>
    <w:p>
      <w:pPr>
        <w:ind w:right="280" w:firstLine="436"/>
        <w:spacing w:after="0" w:line="279" w:lineRule="auto"/>
        <w:tabs>
          <w:tab w:leader="none" w:pos="69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Holdings will not engage in any business or activity other than the ownership of Equity Interests in its Subsidiaries and activities incidental thereto. Holdings will not own or acquire any material assets (other than Equity Interests in its Subsidiaries and the cash proceeds of any Restricted Payments permitted by Section 6.08) or incur any liabilities (other than liabilities under the Loan Documents, Indebtedness permitted under Section 6.01, and liabilities reasonably incurred in connection with its maintenance of its existence).</w:t>
      </w:r>
    </w:p>
    <w:p>
      <w:pPr>
        <w:spacing w:after="0" w:line="63" w:lineRule="exact"/>
        <w:rPr>
          <w:rFonts w:ascii="Arial" w:cs="Arial" w:eastAsia="Arial" w:hAnsi="Arial"/>
          <w:sz w:val="17"/>
          <w:szCs w:val="17"/>
          <w:color w:val="auto"/>
        </w:rPr>
      </w:pPr>
    </w:p>
    <w:p>
      <w:pPr>
        <w:ind w:right="260" w:firstLine="436"/>
        <w:spacing w:after="0" w:line="275" w:lineRule="auto"/>
        <w:tabs>
          <w:tab w:leader="none" w:pos="68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WESCO Receivables will not engage in any business or activity other than the ownership of Accounts sold to WESCO Receivables by the U.S. Borrowers pursuant to the Receivables Securitization Agreements and the incurrence of Indebtedness pursuant to the Receivables Securitization Agreements and activities incidental thereto. WESCO Receivables will not own or acquire any material assets other than Accounts sold to WESCO Receivables by the U.S. Borrowers or incur any liabilities, in each case, except pursuant to and in accordance with the Receivables Securitization Agreements (other than liabilities reasonably incurred in connection with its maintenance of its existence).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00"/>
          </w:cols>
          <w:pgMar w:left="440" w:top="274" w:right="459" w:bottom="1440" w:gutter="0" w:footer="0" w:header="0"/>
        </w:sectPr>
      </w:pPr>
    </w:p>
    <w:bookmarkStart w:id="142" w:name="page143"/>
    <w:bookmarkEnd w:id="142"/>
    <w:p>
      <w:pPr>
        <w:ind w:right="80" w:firstLine="436"/>
        <w:spacing w:after="0" w:line="257" w:lineRule="auto"/>
        <w:tabs>
          <w:tab w:leader="none" w:pos="665"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Real Estate Subsidiaries will not engage in any business or activity other than the ownership and leasing of real property (and the fixtures and equipment located thereon) and the incurrence of Indebtedness permitted by Sections 6.01(e) and 6.01(x) and activities incidental thereto. The Real Estate Subsidiaries will not own or acquire any material assets other than real property (and the fixtures and equipment located thereon) or incur any liabilities, in each case, except permitted by Section 6.01(e) and 6.01(x) (other than liabilities reasonably incurred in connection with its maintenance of its existence).</w:t>
      </w:r>
    </w:p>
    <w:p>
      <w:pPr>
        <w:spacing w:after="0" w:line="79" w:lineRule="exact"/>
        <w:rPr>
          <w:rFonts w:ascii="Arial" w:cs="Arial" w:eastAsia="Arial" w:hAnsi="Arial"/>
          <w:sz w:val="18"/>
          <w:szCs w:val="18"/>
          <w:color w:val="auto"/>
        </w:rPr>
      </w:pPr>
    </w:p>
    <w:p>
      <w:pPr>
        <w:ind w:right="60" w:firstLine="436"/>
        <w:spacing w:after="0" w:line="255" w:lineRule="auto"/>
        <w:tabs>
          <w:tab w:leader="none" w:pos="69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WDINESCO II B.V. will not engage in any business or activity other than the ownership of Equity Interests in WDCH, LP and in U.S. Loan Parties and in Excluded Subsidiaries and in Unrestricted Subsidiaries and activities incidental thereto. WDINESCO II B.V. will not own or acquire any material assets (other than Equity Interests in WDCH, LP and in Excluded Subsidiaries and in Unrestricted Subsidiaries and intercompany Indebtedness owing from Holdings or one or more of its Subsidiaries to WDINESCO II B.V.) or incur any liabilities (other than liabilities reasonably incurred in connection with its maintenance of its existence and intercompany Indebtedness owing from WDINESCO II B.V. to Holdings or one or more of its Subsidiaries).</w:t>
      </w:r>
    </w:p>
    <w:p>
      <w:pPr>
        <w:spacing w:after="0" w:line="84" w:lineRule="exact"/>
        <w:rPr>
          <w:rFonts w:ascii="Arial" w:cs="Arial" w:eastAsia="Arial" w:hAnsi="Arial"/>
          <w:sz w:val="18"/>
          <w:szCs w:val="18"/>
          <w:color w:val="auto"/>
        </w:rPr>
      </w:pPr>
    </w:p>
    <w:p>
      <w:pPr>
        <w:ind w:firstLine="436"/>
        <w:spacing w:after="0" w:line="255" w:lineRule="auto"/>
        <w:tabs>
          <w:tab w:leader="none" w:pos="69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WDINESCO III B.V. will not engage in any business or activity other than the ownership of Equity Interests in EECOL Electric Corp. and in Canadian Loan Parties and in Excluded Subsidiaries and in Unrestricted Subsidiaries and activities incidental thereto. WDINESCO III B.V. will not own or acquire any material assets (other than Equity Interests in EECOL Electric Corp. and in Excluded Subsidiaries and in Unrestricted Subsidiaries and intercompany Indebtedness owing from Holdings or one or more of its Subsidiaries to WDINESCO III B.V.) or incur any liabilities (other than liabilities reasonably incurred in connection with its maintenance of its existence and intercompany Indebtedness owing from WDINESCO III B.V. to Holdings or one or more of its Subsidiaries).</w:t>
      </w:r>
    </w:p>
    <w:p>
      <w:pPr>
        <w:spacing w:after="0" w:line="192" w:lineRule="exact"/>
        <w:rPr>
          <w:sz w:val="20"/>
          <w:szCs w:val="20"/>
          <w:color w:val="auto"/>
        </w:rPr>
      </w:pPr>
    </w:p>
    <w:p>
      <w:pPr>
        <w:ind w:right="140" w:firstLine="440"/>
        <w:spacing w:after="0" w:line="293"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Investments, Loans, Advances, Guarantees and Acquisitions</w:t>
      </w:r>
      <w:r>
        <w:rPr>
          <w:rFonts w:ascii="Arial" w:cs="Arial" w:eastAsia="Arial" w:hAnsi="Arial"/>
          <w:sz w:val="16"/>
          <w:szCs w:val="16"/>
          <w:color w:val="auto"/>
        </w:rPr>
        <w:t>. No Loan Party will, nor will it permit any Restricted Subsidiary (other than Excluded Subsidiaries) to, purchase, hold or acquire (including pursuant to any merger with any Person that was not a Loan Party and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w:t>
      </w:r>
    </w:p>
    <w:p>
      <w:pPr>
        <w:spacing w:after="0" w:line="56" w:lineRule="exact"/>
        <w:rPr>
          <w:sz w:val="20"/>
          <w:szCs w:val="20"/>
          <w:color w:val="auto"/>
        </w:rPr>
      </w:pPr>
    </w:p>
    <w:p>
      <w:pPr>
        <w:ind w:left="680" w:hanging="244"/>
        <w:spacing w:after="0"/>
        <w:tabs>
          <w:tab w:leader="none" w:pos="6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117" w:lineRule="exact"/>
        <w:rPr>
          <w:rFonts w:ascii="Arial" w:cs="Arial" w:eastAsia="Arial" w:hAnsi="Arial"/>
          <w:sz w:val="18"/>
          <w:szCs w:val="18"/>
          <w:color w:val="auto"/>
        </w:rPr>
      </w:pPr>
    </w:p>
    <w:p>
      <w:pPr>
        <w:ind w:right="360" w:firstLine="436"/>
        <w:spacing w:after="0" w:line="277" w:lineRule="auto"/>
        <w:tabs>
          <w:tab w:leader="none" w:pos="69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Investments in existence on the Fourth Restatement Date (including Investments by the Loan Parties in Equity Interests in their respective Subsidiaries);</w:t>
      </w:r>
    </w:p>
    <w:p>
      <w:pPr>
        <w:spacing w:after="0" w:line="62" w:lineRule="exact"/>
        <w:rPr>
          <w:rFonts w:ascii="Arial" w:cs="Arial" w:eastAsia="Arial" w:hAnsi="Arial"/>
          <w:sz w:val="18"/>
          <w:szCs w:val="18"/>
          <w:color w:val="auto"/>
        </w:rPr>
      </w:pPr>
    </w:p>
    <w:p>
      <w:pPr>
        <w:ind w:right="80" w:firstLine="436"/>
        <w:spacing w:after="0" w:line="269" w:lineRule="auto"/>
        <w:tabs>
          <w:tab w:leader="none" w:pos="68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Investments made after the Fourth Restatement Date by: (i) a U.S. Loan Party in any other U.S. Loan Party; (ii) a Canadian Loan Party in any other Canadian Loan Party or a U.S. Loan Party; or (iii) (x) a U.S. Loan Party in a Canadian Loan Party, or (y) a Loan Party in a Foreign Subsidiary, Unrestricted Subsidiary or Intermediate Holding Company so long as, in the case of this subclause (iii): (A) the aggregate amount of such Investments (together with the aggregate Indebtedness and Guarantees outstanding pursuant to Section 6.01(h)) shall not exceed at any time outstanding (in each case determined without regarding to any write-downs or write-offs) the sum of (x) the greater of $250,000,000 and 25% of EBITDA and (y) the net proceeds of any issuance of Equity Interests by Holdings or any incurrence of Indebtedness by any U.S. Loan Party permitted under Section 6.01 (other than Indebtedness incurred under the Receivables Securitization Agreements) which Indebtedness is incurred for the purpose of funding an investment in a Canadian Loan Party or Foreign Subsidiary, and (B) no Event of Default has occurred and is continuing at the time of such Investment, or would result therefrom;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Section 6.04(c), a Canadian Cross-Border Loan Guarantor shall be treated only as a Canadian Loan Party and not as a U.S. Loan Party;</w:t>
      </w:r>
    </w:p>
    <w:p>
      <w:pPr>
        <w:spacing w:after="0" w:line="77" w:lineRule="exact"/>
        <w:rPr>
          <w:rFonts w:ascii="Arial" w:cs="Arial" w:eastAsia="Arial" w:hAnsi="Arial"/>
          <w:sz w:val="17"/>
          <w:szCs w:val="17"/>
          <w:color w:val="auto"/>
        </w:rPr>
      </w:pPr>
    </w:p>
    <w:p>
      <w:pPr>
        <w:ind w:right="40" w:firstLine="436"/>
        <w:spacing w:after="0" w:line="301" w:lineRule="auto"/>
        <w:tabs>
          <w:tab w:leader="none" w:pos="69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loans or advances made by the Loan Parties (i) to employees of the Loan Parties on an arm’s-length basis in the ordinary course of business consistent with past practices for travel and entertainment expenses, relocation costs and similar purposes up to a maximum of the greater of $5,000,000 and 0.5% of EBITDA in the aggregate at any one time outstanding and (ii) to executive officers of Holdings on an arm’s-length basis in the ordinary course of business to permit such officers to purchase Equity Interests in Holdings (or to exercise options to purchase Equity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00"/>
          </w:cols>
          <w:pgMar w:left="440" w:top="274" w:right="459" w:bottom="1440" w:gutter="0" w:footer="0" w:header="0"/>
        </w:sectPr>
      </w:pPr>
    </w:p>
    <w:bookmarkStart w:id="143" w:name="page144"/>
    <w:bookmarkEnd w:id="14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Interests in Holdings) up to a maximum of the greater of $5,000,000 and 0.5% of EBITDA in the aggregate at any one time outstanding;</w:t>
      </w:r>
    </w:p>
    <w:p>
      <w:pPr>
        <w:spacing w:after="0" w:line="117" w:lineRule="exact"/>
        <w:rPr>
          <w:sz w:val="20"/>
          <w:szCs w:val="20"/>
          <w:color w:val="auto"/>
        </w:rPr>
      </w:pPr>
    </w:p>
    <w:p>
      <w:pPr>
        <w:ind w:left="4" w:right="160" w:firstLine="436"/>
        <w:spacing w:after="0" w:line="263" w:lineRule="auto"/>
        <w:tabs>
          <w:tab w:leader="none" w:pos="689" w:val="left"/>
        </w:tabs>
        <w:numPr>
          <w:ilvl w:val="1"/>
          <w:numId w:val="151"/>
        </w:numPr>
        <w:rPr>
          <w:rFonts w:ascii="Arial" w:cs="Arial" w:eastAsia="Arial" w:hAnsi="Arial"/>
          <w:sz w:val="18"/>
          <w:szCs w:val="18"/>
          <w:color w:val="auto"/>
        </w:rPr>
      </w:pPr>
      <w:r>
        <w:rPr>
          <w:rFonts w:ascii="Arial" w:cs="Arial" w:eastAsia="Arial" w:hAnsi="Arial"/>
          <w:sz w:val="18"/>
          <w:szCs w:val="18"/>
          <w:color w:val="auto"/>
        </w:rPr>
        <w:t>subject to Sections 4.2(a) and 4.4 of the U.S. Security Agreement and the Canadian Security Agreement, notes payable, or stock or other securities issued by Account Debtors to a Loan Party pursuant to negotiated agreements with respect to settlement of such Account Debtor’s Accounts in the ordinary course of business, consistent with past practices;</w:t>
      </w:r>
    </w:p>
    <w:p>
      <w:pPr>
        <w:spacing w:after="0" w:line="75" w:lineRule="exact"/>
        <w:rPr>
          <w:rFonts w:ascii="Arial" w:cs="Arial" w:eastAsia="Arial" w:hAnsi="Arial"/>
          <w:sz w:val="18"/>
          <w:szCs w:val="18"/>
          <w:color w:val="auto"/>
        </w:rPr>
      </w:pPr>
    </w:p>
    <w:p>
      <w:pPr>
        <w:ind w:left="664" w:hanging="224"/>
        <w:spacing w:after="0"/>
        <w:tabs>
          <w:tab w:leader="none" w:pos="66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Investments in the form of Swap Agreements permitted by Section 6.07;</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Investments received in connection with the dispositions of assets permitted by Section 6.05;</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Investments constituting deposits described in clauses (c) and (d) of the definition of the term “Permitted Encumbrances;”</w:t>
      </w:r>
    </w:p>
    <w:p>
      <w:pPr>
        <w:spacing w:after="0" w:line="117" w:lineRule="exact"/>
        <w:rPr>
          <w:rFonts w:ascii="Arial" w:cs="Arial" w:eastAsia="Arial" w:hAnsi="Arial"/>
          <w:sz w:val="18"/>
          <w:szCs w:val="18"/>
          <w:color w:val="auto"/>
        </w:rPr>
      </w:pPr>
    </w:p>
    <w:p>
      <w:pPr>
        <w:ind w:left="664" w:hanging="224"/>
        <w:spacing w:after="0"/>
        <w:tabs>
          <w:tab w:leader="none" w:pos="66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117" w:lineRule="exact"/>
        <w:rPr>
          <w:rFonts w:ascii="Arial" w:cs="Arial" w:eastAsia="Arial" w:hAnsi="Arial"/>
          <w:sz w:val="18"/>
          <w:szCs w:val="18"/>
          <w:color w:val="auto"/>
        </w:rPr>
      </w:pPr>
    </w:p>
    <w:p>
      <w:pPr>
        <w:ind w:left="664" w:hanging="224"/>
        <w:spacing w:after="0"/>
        <w:tabs>
          <w:tab w:leader="none" w:pos="66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Investments constituting Indebtedness permitted under Section 6.01(j);</w:t>
      </w:r>
    </w:p>
    <w:p>
      <w:pPr>
        <w:spacing w:after="0" w:line="117" w:lineRule="exact"/>
        <w:rPr>
          <w:rFonts w:ascii="Arial" w:cs="Arial" w:eastAsia="Arial" w:hAnsi="Arial"/>
          <w:sz w:val="18"/>
          <w:szCs w:val="18"/>
          <w:color w:val="auto"/>
        </w:rPr>
      </w:pPr>
    </w:p>
    <w:p>
      <w:pPr>
        <w:jc w:val="both"/>
        <w:ind w:left="4" w:right="400" w:firstLine="436"/>
        <w:spacing w:after="0" w:line="291" w:lineRule="auto"/>
        <w:tabs>
          <w:tab w:leader="none" w:pos="699"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the formation by (i) any U.S. Loan Party of any Domestic Subsidiary, Canadian Subsidiary or Foreign Subsidiary, (ii) any Canadian Loan Party of any Canadian Subsidiary or Foreign Subsidiary, and (iii) any Foreign Subsidiary of any other Foreign Subsidiary, so long as, in each case:</w:t>
      </w:r>
    </w:p>
    <w:p>
      <w:pPr>
        <w:ind w:left="4" w:right="380" w:hanging="4"/>
        <w:spacing w:after="0" w:line="260" w:lineRule="auto"/>
        <w:tabs>
          <w:tab w:leader="none" w:pos="21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Loan Parties comply with Section 5.13, and (ii) no Event of Default has occurred and is continuing or would result after giving effect to such formation;</w:t>
      </w:r>
    </w:p>
    <w:p>
      <w:pPr>
        <w:spacing w:after="0" w:line="77" w:lineRule="exact"/>
        <w:rPr>
          <w:rFonts w:ascii="Arial" w:cs="Arial" w:eastAsia="Arial" w:hAnsi="Arial"/>
          <w:sz w:val="18"/>
          <w:szCs w:val="18"/>
          <w:color w:val="auto"/>
        </w:rPr>
      </w:pPr>
    </w:p>
    <w:p>
      <w:pPr>
        <w:ind w:left="664" w:hanging="224"/>
        <w:spacing w:after="0"/>
        <w:tabs>
          <w:tab w:leader="none" w:pos="66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Investments made by Foreign Subsidiaries which are Restricted Subsidiaries;</w:t>
      </w:r>
    </w:p>
    <w:p>
      <w:pPr>
        <w:spacing w:after="0" w:line="117" w:lineRule="exact"/>
        <w:rPr>
          <w:rFonts w:ascii="Arial" w:cs="Arial" w:eastAsia="Arial" w:hAnsi="Arial"/>
          <w:sz w:val="18"/>
          <w:szCs w:val="18"/>
          <w:color w:val="auto"/>
        </w:rPr>
      </w:pPr>
    </w:p>
    <w:p>
      <w:pPr>
        <w:ind w:left="4" w:right="140" w:firstLine="436"/>
        <w:spacing w:after="0" w:line="277" w:lineRule="auto"/>
        <w:tabs>
          <w:tab w:leader="none" w:pos="749" w:val="left"/>
        </w:tabs>
        <w:numPr>
          <w:ilvl w:val="1"/>
          <w:numId w:val="152"/>
        </w:numPr>
        <w:rPr>
          <w:rFonts w:ascii="Arial" w:cs="Arial" w:eastAsia="Arial" w:hAnsi="Arial"/>
          <w:sz w:val="18"/>
          <w:szCs w:val="18"/>
          <w:color w:val="auto"/>
        </w:rPr>
      </w:pPr>
      <w:r>
        <w:rPr>
          <w:rFonts w:ascii="Arial" w:cs="Arial" w:eastAsia="Arial" w:hAnsi="Arial"/>
          <w:sz w:val="18"/>
          <w:szCs w:val="18"/>
          <w:color w:val="auto"/>
        </w:rPr>
        <w:t>Guarantees of obligations of Canadian Subsidiaries or Foreign Subsidiaries which are Restricted Subsidiaries incurred in the ordinary course of business and not constituting Indebtedness for borrowed money;</w:t>
      </w:r>
    </w:p>
    <w:p>
      <w:pPr>
        <w:spacing w:after="0" w:line="62" w:lineRule="exact"/>
        <w:rPr>
          <w:rFonts w:ascii="Arial" w:cs="Arial" w:eastAsia="Arial" w:hAnsi="Arial"/>
          <w:sz w:val="18"/>
          <w:szCs w:val="18"/>
          <w:color w:val="auto"/>
        </w:rPr>
      </w:pPr>
    </w:p>
    <w:p>
      <w:pPr>
        <w:ind w:left="4" w:firstLine="436"/>
        <w:spacing w:after="0" w:line="263" w:lineRule="auto"/>
        <w:tabs>
          <w:tab w:leader="none" w:pos="699"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Investments (other than those made in reliance on any other paragraph of this Section 6.04) in an aggregate amount not to exceed the greater of $50,000,000 and 5% of EBITDA, so long as no Event of Default has occurred and is continuing or would result after giving effect to any such Investment;</w:t>
      </w:r>
    </w:p>
    <w:p>
      <w:pPr>
        <w:spacing w:after="0" w:line="75" w:lineRule="exact"/>
        <w:rPr>
          <w:rFonts w:ascii="Arial" w:cs="Arial" w:eastAsia="Arial" w:hAnsi="Arial"/>
          <w:sz w:val="18"/>
          <w:szCs w:val="18"/>
          <w:color w:val="auto"/>
        </w:rPr>
      </w:pPr>
    </w:p>
    <w:p>
      <w:pPr>
        <w:ind w:left="4" w:right="340" w:firstLine="436"/>
        <w:spacing w:after="0" w:line="277" w:lineRule="auto"/>
        <w:tabs>
          <w:tab w:leader="none" w:pos="699" w:val="left"/>
        </w:tabs>
        <w:numPr>
          <w:ilvl w:val="1"/>
          <w:numId w:val="152"/>
        </w:numPr>
        <w:rPr>
          <w:rFonts w:ascii="Arial" w:cs="Arial" w:eastAsia="Arial" w:hAnsi="Arial"/>
          <w:sz w:val="18"/>
          <w:szCs w:val="18"/>
          <w:color w:val="auto"/>
        </w:rPr>
      </w:pPr>
      <w:r>
        <w:rPr>
          <w:rFonts w:ascii="Arial" w:cs="Arial" w:eastAsia="Arial" w:hAnsi="Arial"/>
          <w:sz w:val="18"/>
          <w:szCs w:val="18"/>
          <w:color w:val="auto"/>
        </w:rPr>
        <w:t>other Investments (other than those made in reliance on any other paragraph of this Section 6.04), so long as at the time of and after giving effect to such Investment, the Payment Conditions are satisfied;</w:t>
      </w:r>
    </w:p>
    <w:p>
      <w:pPr>
        <w:spacing w:after="0" w:line="62" w:lineRule="exact"/>
        <w:rPr>
          <w:rFonts w:ascii="Arial" w:cs="Arial" w:eastAsia="Arial" w:hAnsi="Arial"/>
          <w:sz w:val="18"/>
          <w:szCs w:val="18"/>
          <w:color w:val="auto"/>
        </w:rPr>
      </w:pPr>
    </w:p>
    <w:p>
      <w:pPr>
        <w:ind w:left="4" w:right="240" w:firstLine="436"/>
        <w:spacing w:after="0" w:line="277" w:lineRule="auto"/>
        <w:tabs>
          <w:tab w:leader="none" w:pos="699" w:val="left"/>
        </w:tabs>
        <w:numPr>
          <w:ilvl w:val="1"/>
          <w:numId w:val="152"/>
        </w:numPr>
        <w:rPr>
          <w:rFonts w:ascii="Arial" w:cs="Arial" w:eastAsia="Arial" w:hAnsi="Arial"/>
          <w:sz w:val="18"/>
          <w:szCs w:val="18"/>
          <w:color w:val="auto"/>
        </w:rPr>
      </w:pPr>
      <w:r>
        <w:rPr>
          <w:rFonts w:ascii="Arial" w:cs="Arial" w:eastAsia="Arial" w:hAnsi="Arial"/>
          <w:sz w:val="18"/>
          <w:szCs w:val="18"/>
          <w:color w:val="auto"/>
        </w:rPr>
        <w:t>consummation of (x) the Anixter Acquisition pursuant to and in accordance with the Anixter Acquisition Agreement in all material respects and (y) the Anixter Merger;</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664" w:hanging="224"/>
        <w:spacing w:after="0"/>
        <w:tabs>
          <w:tab w:leader="none" w:pos="66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117" w:lineRule="exact"/>
        <w:rPr>
          <w:rFonts w:ascii="Arial" w:cs="Arial" w:eastAsia="Arial" w:hAnsi="Arial"/>
          <w:sz w:val="18"/>
          <w:szCs w:val="18"/>
          <w:color w:val="auto"/>
        </w:rPr>
      </w:pPr>
    </w:p>
    <w:p>
      <w:pPr>
        <w:ind w:left="4" w:firstLine="436"/>
        <w:spacing w:after="0" w:line="277" w:lineRule="auto"/>
        <w:tabs>
          <w:tab w:leader="none" w:pos="679"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Investments received in connection with bankruptcy or reorganization of, or the settlement of delinquent accounts and disputes with, customers and suppliers, in each case in the ordinary course of business.</w:t>
      </w:r>
    </w:p>
    <w:p>
      <w:pPr>
        <w:spacing w:after="0" w:line="170"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For greater certainty, the Borrowers may elect from time to time to consider Investments as falling within one or more of the categories above and may divide Investments among two or more categories. The restrictions set forth in any subpart of this Section by way of description of Investments shall not be deemed to require that Investments meeting such description be placed in such subpart for purposes of determining compliance with this Section. The accrual of interest, the accretion of accreted value, the accretion of original issue discount, the accretion of liquidation preference and increases in the amount of Investments or other obligations solely as a result of fluctuations in the exchange rate of currencies or increases in the value of such Investments shall not be deemed to be an increase in the amount of any Investment for purposes of this Section.</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04"/>
          </w:cols>
          <w:pgMar w:left="436" w:top="274" w:right="459" w:bottom="1440" w:gutter="0" w:footer="0" w:header="0"/>
        </w:sectPr>
      </w:pPr>
    </w:p>
    <w:bookmarkStart w:id="144" w:name="page145"/>
    <w:bookmarkEnd w:id="144"/>
    <w:p>
      <w:pPr>
        <w:ind w:right="1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6.05 </w:t>
      </w:r>
      <w:r>
        <w:rPr>
          <w:rFonts w:ascii="Arial" w:cs="Arial" w:eastAsia="Arial" w:hAnsi="Arial"/>
          <w:sz w:val="18"/>
          <w:szCs w:val="18"/>
          <w:u w:val="single" w:color="auto"/>
          <w:color w:val="auto"/>
        </w:rPr>
        <w:t>Asset Sales</w:t>
      </w:r>
      <w:r>
        <w:rPr>
          <w:rFonts w:ascii="Arial" w:cs="Arial" w:eastAsia="Arial" w:hAnsi="Arial"/>
          <w:sz w:val="18"/>
          <w:szCs w:val="18"/>
          <w:color w:val="auto"/>
        </w:rPr>
        <w:t>. No Loan Party will, nor will it permit any Restricted Subsidiary (other than Excluded Subsidiaries which are not Loan Parties) to, sell, transfer, lease or otherwise dispose of any asset, including any Equity Interest owned by it, nor will any Borrower permit any Restricted Subsidiary (other than Excluded Subsidiaries) to issue any additional Equity Interest in such Subsidiary (other than to another Loan Party in compliance with Section 6.04), except:</w:t>
      </w:r>
    </w:p>
    <w:p>
      <w:pPr>
        <w:spacing w:after="0" w:line="79" w:lineRule="exact"/>
        <w:rPr>
          <w:sz w:val="20"/>
          <w:szCs w:val="20"/>
          <w:color w:val="auto"/>
        </w:rPr>
      </w:pPr>
    </w:p>
    <w:p>
      <w:pPr>
        <w:ind w:left="680" w:hanging="244"/>
        <w:spacing w:after="0"/>
        <w:tabs>
          <w:tab w:leader="none" w:pos="6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sales, transfers and dispositions of Inventory in the ordinary course of business;</w:t>
      </w:r>
    </w:p>
    <w:p>
      <w:pPr>
        <w:spacing w:after="0" w:line="117" w:lineRule="exact"/>
        <w:rPr>
          <w:rFonts w:ascii="Arial" w:cs="Arial" w:eastAsia="Arial" w:hAnsi="Arial"/>
          <w:sz w:val="18"/>
          <w:szCs w:val="18"/>
          <w:color w:val="auto"/>
        </w:rPr>
      </w:pPr>
    </w:p>
    <w:p>
      <w:pPr>
        <w:jc w:val="both"/>
        <w:ind w:right="120" w:firstLine="436"/>
        <w:spacing w:after="0" w:line="263" w:lineRule="auto"/>
        <w:tabs>
          <w:tab w:leader="none" w:pos="69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sales, transfers, leases and dispositions by: (i) any U.S. Loan Party to any other U.S. Loan Party, or (ii) any Canadian Loan Party to any other Canadian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this Section 6.05(b), a Canadian Cross-Border Loan Guarantor shall be treated only as a Canadian Loan Party and not as a U.S. Loan Party;</w:t>
      </w:r>
    </w:p>
    <w:p>
      <w:pPr>
        <w:spacing w:after="0" w:line="75" w:lineRule="exact"/>
        <w:rPr>
          <w:rFonts w:ascii="Arial" w:cs="Arial" w:eastAsia="Arial" w:hAnsi="Arial"/>
          <w:sz w:val="18"/>
          <w:szCs w:val="18"/>
          <w:color w:val="auto"/>
        </w:rPr>
      </w:pPr>
    </w:p>
    <w:p>
      <w:pPr>
        <w:ind w:left="680" w:hanging="244"/>
        <w:spacing w:after="0"/>
        <w:tabs>
          <w:tab w:leader="none" w:pos="6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sales of Accounts by the U.S. Borrowers to WESCO Receivables pursuant to the Receivables Securitization Agreements;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sales, transfers and dispositions of Accounts in connection with the compromise, settlement or collection thereof;</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sales, transfers and dispositions of Permitted Investments and other investments permitted by clause (h) of Section 6.04;</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sale and leaseback transactions permitted by Section 6.06;</w:t>
      </w:r>
    </w:p>
    <w:p>
      <w:pPr>
        <w:spacing w:after="0" w:line="117" w:lineRule="exact"/>
        <w:rPr>
          <w:rFonts w:ascii="Arial" w:cs="Arial" w:eastAsia="Arial" w:hAnsi="Arial"/>
          <w:sz w:val="18"/>
          <w:szCs w:val="18"/>
          <w:color w:val="auto"/>
        </w:rPr>
      </w:pPr>
    </w:p>
    <w:p>
      <w:pPr>
        <w:ind w:right="400" w:firstLine="436"/>
        <w:spacing w:after="0" w:line="277" w:lineRule="auto"/>
        <w:tabs>
          <w:tab w:leader="none" w:pos="69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dispositions resulting from any casualty or other insured damage to, or any taking under power of eminent domain or by condemnation or similar proceeding of, any property or asset of any Borrower or any Restricted Subsidiary;</w:t>
      </w:r>
    </w:p>
    <w:p>
      <w:pPr>
        <w:spacing w:after="0" w:line="62" w:lineRule="exact"/>
        <w:rPr>
          <w:rFonts w:ascii="Arial" w:cs="Arial" w:eastAsia="Arial" w:hAnsi="Arial"/>
          <w:sz w:val="18"/>
          <w:szCs w:val="18"/>
          <w:color w:val="auto"/>
        </w:rPr>
      </w:pPr>
    </w:p>
    <w:p>
      <w:pPr>
        <w:ind w:right="360" w:firstLine="436"/>
        <w:spacing w:after="0" w:line="277" w:lineRule="auto"/>
        <w:tabs>
          <w:tab w:leader="none" w:pos="69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licensing, on a non-exclusive basis (other than with respect to licenses of the MaxCell Patents), of patents, trademarks, copyrights, and other intellectual property rights in the ordinary course of business;</w:t>
      </w:r>
    </w:p>
    <w:p>
      <w:pPr>
        <w:spacing w:after="0" w:line="62" w:lineRule="exact"/>
        <w:rPr>
          <w:rFonts w:ascii="Arial" w:cs="Arial" w:eastAsia="Arial" w:hAnsi="Arial"/>
          <w:sz w:val="18"/>
          <w:szCs w:val="18"/>
          <w:color w:val="auto"/>
        </w:rPr>
      </w:pPr>
    </w:p>
    <w:p>
      <w:pPr>
        <w:ind w:left="660" w:hanging="224"/>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granting of Permitted Liens;</w:t>
      </w:r>
    </w:p>
    <w:p>
      <w:pPr>
        <w:spacing w:after="0" w:line="117" w:lineRule="exact"/>
        <w:rPr>
          <w:rFonts w:ascii="Arial" w:cs="Arial" w:eastAsia="Arial" w:hAnsi="Arial"/>
          <w:sz w:val="18"/>
          <w:szCs w:val="18"/>
          <w:color w:val="auto"/>
        </w:rPr>
      </w:pPr>
    </w:p>
    <w:p>
      <w:pPr>
        <w:ind w:right="300" w:firstLine="436"/>
        <w:spacing w:after="0" w:line="277"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sales, transfers and dispositions to the extent constituting Investments permitted under Section 6.04 or Restricted Payments permitted under Section 6.08;</w:t>
      </w:r>
    </w:p>
    <w:p>
      <w:pPr>
        <w:spacing w:after="0" w:line="62" w:lineRule="exact"/>
        <w:rPr>
          <w:rFonts w:ascii="Arial" w:cs="Arial" w:eastAsia="Arial" w:hAnsi="Arial"/>
          <w:sz w:val="18"/>
          <w:szCs w:val="18"/>
          <w:color w:val="auto"/>
        </w:rPr>
      </w:pPr>
    </w:p>
    <w:p>
      <w:pPr>
        <w:ind w:right="360" w:firstLine="436"/>
        <w:spacing w:after="0" w:line="277" w:lineRule="auto"/>
        <w:tabs>
          <w:tab w:leader="none" w:pos="69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sales, transfers and other dispositions of real property, equipment or other assets that are damaged, worn out, obsolete or no longer used or useful to the business operations of the Loan Parties;</w:t>
      </w:r>
    </w:p>
    <w:p>
      <w:pPr>
        <w:spacing w:after="0" w:line="62" w:lineRule="exact"/>
        <w:rPr>
          <w:rFonts w:ascii="Arial" w:cs="Arial" w:eastAsia="Arial" w:hAnsi="Arial"/>
          <w:sz w:val="18"/>
          <w:szCs w:val="18"/>
          <w:color w:val="auto"/>
        </w:rPr>
      </w:pPr>
    </w:p>
    <w:p>
      <w:pPr>
        <w:ind w:left="660" w:hanging="224"/>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sales, transfers and other dispositions of Equity Interests in Excluded Subsidiaries;</w:t>
      </w:r>
    </w:p>
    <w:p>
      <w:pPr>
        <w:spacing w:after="0" w:line="117" w:lineRule="exact"/>
        <w:rPr>
          <w:rFonts w:ascii="Arial" w:cs="Arial" w:eastAsia="Arial" w:hAnsi="Arial"/>
          <w:sz w:val="18"/>
          <w:szCs w:val="18"/>
          <w:color w:val="auto"/>
        </w:rPr>
      </w:pPr>
    </w:p>
    <w:p>
      <w:pPr>
        <w:ind w:right="160" w:firstLine="436"/>
        <w:spacing w:after="0" w:line="277" w:lineRule="auto"/>
        <w:tabs>
          <w:tab w:leader="none" w:pos="74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sale, transfer and other disposition of assets (whether in an individual transaction or a series of related transactions) having a fair market value of less than the greater of $10,000,000 and 1% of EBITDA;</w:t>
      </w:r>
    </w:p>
    <w:p>
      <w:pPr>
        <w:spacing w:after="0" w:line="62" w:lineRule="exact"/>
        <w:rPr>
          <w:rFonts w:ascii="Arial" w:cs="Arial" w:eastAsia="Arial" w:hAnsi="Arial"/>
          <w:sz w:val="18"/>
          <w:szCs w:val="18"/>
          <w:color w:val="auto"/>
        </w:rPr>
      </w:pPr>
    </w:p>
    <w:p>
      <w:pPr>
        <w:ind w:right="140" w:firstLine="436"/>
        <w:spacing w:after="0" w:line="301" w:lineRule="auto"/>
        <w:tabs>
          <w:tab w:leader="none" w:pos="69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so long as no Event of Default has occurred and is continuing or would result therefrom, transfers and other dispositions of assets that are not permitted by any other paragraph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property being sold or otherwise disposed of in connection with any such transaction consists of Collateral included in the Aggregate Borrowing Base having a value in excess of the greater of $25,000,000 and 2.5% of EBITDA, the Borrowers shall have delivered to the Administrative Agent a pro forma Borrowing Base Certificate giving effect to such transfer or other disposition;</w:t>
      </w:r>
    </w:p>
    <w:p>
      <w:pPr>
        <w:spacing w:after="0" w:line="49" w:lineRule="exact"/>
        <w:rPr>
          <w:rFonts w:ascii="Arial" w:cs="Arial" w:eastAsia="Arial" w:hAnsi="Arial"/>
          <w:sz w:val="16"/>
          <w:szCs w:val="16"/>
          <w:color w:val="auto"/>
        </w:rPr>
      </w:pPr>
    </w:p>
    <w:p>
      <w:pPr>
        <w:ind w:firstLine="436"/>
        <w:spacing w:after="0" w:line="263" w:lineRule="auto"/>
        <w:tabs>
          <w:tab w:leader="none" w:pos="69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sales of Accounts in connection with factoring arrangements entered into by Loan Parties and non-Affiliates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total amount of all such Accounts sold pursuant to such factoring arrangements shall not exceed the greater of $25,000,000 and 2.5% of EBITDA in the aggregate at any one time outstanding;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0"/>
          </w:cols>
          <w:pgMar w:left="440" w:top="274" w:right="459" w:bottom="1440" w:gutter="0" w:footer="0" w:header="0"/>
        </w:sectPr>
      </w:pPr>
    </w:p>
    <w:bookmarkStart w:id="145" w:name="page146"/>
    <w:bookmarkEnd w:id="145"/>
    <w:p>
      <w:pPr>
        <w:jc w:val="both"/>
        <w:ind w:right="20" w:firstLine="436"/>
        <w:spacing w:after="0" w:line="263" w:lineRule="auto"/>
        <w:tabs>
          <w:tab w:leader="none" w:pos="695"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sale, transfer, lease or other disposition of non-core assets, including Equity Interests, acquired in connection with a Permitted Acquisition or other Investment permitted by this Agreement to the extent the Borrower Representative identified such assets to the Administrative Agent promptly after such Permitted Acquisition or Investment; and</w:t>
      </w:r>
    </w:p>
    <w:p>
      <w:pPr>
        <w:spacing w:after="0" w:line="75" w:lineRule="exact"/>
        <w:rPr>
          <w:rFonts w:ascii="Arial" w:cs="Arial" w:eastAsia="Arial" w:hAnsi="Arial"/>
          <w:sz w:val="18"/>
          <w:szCs w:val="18"/>
          <w:color w:val="auto"/>
        </w:rPr>
      </w:pPr>
    </w:p>
    <w:p>
      <w:pPr>
        <w:ind w:right="620" w:firstLine="436"/>
        <w:spacing w:after="0" w:line="277" w:lineRule="auto"/>
        <w:tabs>
          <w:tab w:leader="none" w:pos="69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the agreements between the joint venture parties set forth in the applicable joint venture arrangements and similar binding arrangements;</w:t>
      </w:r>
    </w:p>
    <w:p>
      <w:pPr>
        <w:spacing w:after="0" w:line="62" w:lineRule="exact"/>
        <w:rPr>
          <w:rFonts w:ascii="Arial" w:cs="Arial" w:eastAsia="Arial" w:hAnsi="Arial"/>
          <w:sz w:val="18"/>
          <w:szCs w:val="18"/>
          <w:color w:val="auto"/>
        </w:rPr>
      </w:pPr>
    </w:p>
    <w:p>
      <w:pPr>
        <w:ind w:right="20" w:firstLine="436"/>
        <w:spacing w:after="0" w:line="263" w:lineRule="auto"/>
        <w:tabs>
          <w:tab w:leader="none" w:pos="66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sales or other dispositions of assets (other than assets constituting ABL Priority Collateral) to the extent (i) such property is exchanged for credit against the purchase price or similar replacement property or (ii) the proceeds of such disposition are reasonably promptly applied to the purchase price of such replacement property; and</w:t>
      </w:r>
    </w:p>
    <w:p>
      <w:pPr>
        <w:spacing w:after="0" w:line="75" w:lineRule="exact"/>
        <w:rPr>
          <w:rFonts w:ascii="Arial" w:cs="Arial" w:eastAsia="Arial" w:hAnsi="Arial"/>
          <w:sz w:val="18"/>
          <w:szCs w:val="18"/>
          <w:color w:val="auto"/>
        </w:rPr>
      </w:pPr>
    </w:p>
    <w:p>
      <w:pPr>
        <w:ind w:firstLine="436"/>
        <w:spacing w:after="0" w:line="254" w:lineRule="auto"/>
        <w:tabs>
          <w:tab w:leader="none" w:pos="67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sales or other dispositions of property by Holdings or any Loan Party to any Subsidiary so long as (i) such sale or other disposition is consummated on fair and reasonable terms (taken as a whole) no less favorable to Holdings or such Loan Party than Holdings or such Loan Party would obtain in a comparable arm’s length transaction with a Person that is not an Affiliate, (ii) no Event of Default is in existence at the time of such sale or other disposition or would be caused thereby and (iii) to the extent constituting assets included in the Aggregate Borrowing Base in excess of $10,000,000, the Borrowers shall have delivered to the Administrative Agent a pro forma Borrowing Base Certificate giving effect to such transfer or other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sale or other disposition of ABL Priority Collateral from a Loan Party to a non-Loan Party shall not exceed $75,000,000 per calendar year;</w:t>
      </w:r>
    </w:p>
    <w:p>
      <w:pPr>
        <w:spacing w:after="0" w:line="1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sales, transfers, leases and other dispositions permitted hereby (other than those permitted by paragraph (b) above) shall be made for fair value.</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Sale and Leaseback Transactions</w:t>
      </w:r>
      <w:r>
        <w:rPr>
          <w:rFonts w:ascii="Arial" w:cs="Arial" w:eastAsia="Arial" w:hAnsi="Arial"/>
          <w:sz w:val="17"/>
          <w:szCs w:val="17"/>
          <w:color w:val="auto"/>
        </w:rPr>
        <w:t>. No Loan Party will, nor will it permit any Subsidiary (other than Excluded Subsidiaries which are not Loan Parties and Unrestricted Subsidiaries) to, directly or indirectly,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(a) any such sale of any fixed or capital assets by any Borrower or any Restricted Subsidiary that is made for cash consideration in an amount not less than the fair value of such fixed or capital asset and is consummated within 90 days after such Borrower or such Restricted Subsidiary acquires or completes the construction of such fixed or capital asset; and (b) other sales of any fixed or capital assets by any Borrower or any Restricted Subsidiary so long as the conditions set forth in clauses (a) and (b) of the definition of Payment Conditions are satisfied with respect to such transaction.</w:t>
      </w:r>
    </w:p>
    <w:p>
      <w:pPr>
        <w:spacing w:after="0" w:line="17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Swap Agreements</w:t>
      </w:r>
      <w:r>
        <w:rPr>
          <w:rFonts w:ascii="Arial" w:cs="Arial" w:eastAsia="Arial" w:hAnsi="Arial"/>
          <w:sz w:val="18"/>
          <w:szCs w:val="18"/>
          <w:color w:val="auto"/>
        </w:rPr>
        <w:t>. No Loan Party will, nor will it permit any Subsidiary (other than Excluded Subsidiaries which are not Loan Parties and Unrestricted Subsidiaries) to, enter into any Swap Agreement, except (a) Swap Agreements entered into to hedge or mitigate risks to which any Loan Party has actual exposure (other than those in respect of Equity Interests of any Loan Party), (b) Swap Agreements entered into in order to effectively cap, collar or exchange interest rates (from fixed to floating rates, from one floating rate to another floating rate or otherwise) with respect to any interest-bearing liability or investment of any Loan Party and (c) any Swap Agreement relating to a Permitted Forward, a Permitted TEU Capped Call Transaction or a Permitted TEU Purchase Contract.</w:t>
      </w:r>
    </w:p>
    <w:p>
      <w:pPr>
        <w:spacing w:after="0" w:line="192"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Restricted Payments; Certain Payments of Indebtedness</w:t>
      </w:r>
      <w:r>
        <w:rPr>
          <w:rFonts w:ascii="Arial" w:cs="Arial" w:eastAsia="Arial" w:hAnsi="Arial"/>
          <w:sz w:val="18"/>
          <w:szCs w:val="18"/>
          <w:color w:val="auto"/>
        </w:rPr>
        <w:t>. (a) No Loan Party will, nor will it permit any Restricted Subsidiary to, declare, make or pay, directly or indirectly, any Restricted Payment except:</w:t>
      </w:r>
    </w:p>
    <w:p>
      <w:pPr>
        <w:spacing w:after="0" w:line="62" w:lineRule="exact"/>
        <w:rPr>
          <w:sz w:val="20"/>
          <w:szCs w:val="20"/>
          <w:color w:val="auto"/>
        </w:rPr>
      </w:pPr>
    </w:p>
    <w:p>
      <w:pPr>
        <w:ind w:left="440" w:right="320" w:firstLine="419"/>
        <w:spacing w:after="0" w:line="263" w:lineRule="auto"/>
        <w:tabs>
          <w:tab w:leader="none" w:pos="107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each of Holdings and each Restricted Subsidiary may declare and pay dividends with respect to its common stock payable solely in additional shares of its common stock, and, with respect to its preferred stock, payable solely in additional shares of such preferred stock or in shares of its common stock;</w:t>
      </w:r>
    </w:p>
    <w:p>
      <w:pPr>
        <w:spacing w:after="0" w:line="75" w:lineRule="exact"/>
        <w:rPr>
          <w:rFonts w:ascii="Arial" w:cs="Arial" w:eastAsia="Arial" w:hAnsi="Arial"/>
          <w:sz w:val="18"/>
          <w:szCs w:val="18"/>
          <w:color w:val="auto"/>
        </w:rPr>
      </w:pPr>
    </w:p>
    <w:p>
      <w:pPr>
        <w:ind w:left="440" w:firstLine="419"/>
        <w:spacing w:after="0" w:line="286" w:lineRule="auto"/>
        <w:tabs>
          <w:tab w:leader="none" w:pos="112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any Loan Party (other than Holdings) or any Restricted Subsidiary may make dividends or distributions to any direct holder of its Equity Interests;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any Loan Party makes a dividend or distribution to WDINESCO II B.V. or WDINESCO III B.V., WDINESCO II B.V. or WDINESCO III B.V., as applicable, shall promptly apply such amount to (x) directly or indirectly make a</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960"/>
          </w:cols>
          <w:pgMar w:left="440" w:top="274" w:right="499" w:bottom="1440" w:gutter="0" w:footer="0" w:header="0"/>
        </w:sectPr>
      </w:pPr>
    </w:p>
    <w:bookmarkStart w:id="146" w:name="page147"/>
    <w:bookmarkEnd w:id="146"/>
    <w:p>
      <w:pPr>
        <w:ind w:left="440"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 or distribution to a U.S. Loan Party or a Canadian Loan Party, (y) repay amounts outstanding in respect of intercompany Indebtedness owing to a U.S. Loan Party or a Canadian Loan Party, or (z) make an Investment in a U.S. Loan Party or a Canadian Loan Party;</w:t>
      </w:r>
    </w:p>
    <w:p>
      <w:pPr>
        <w:spacing w:after="0" w:line="16" w:lineRule="exact"/>
        <w:rPr>
          <w:sz w:val="20"/>
          <w:szCs w:val="20"/>
          <w:color w:val="auto"/>
        </w:rPr>
      </w:pPr>
    </w:p>
    <w:p>
      <w:pPr>
        <w:ind w:left="440" w:right="80" w:firstLine="419"/>
        <w:spacing w:after="0" w:line="263" w:lineRule="auto"/>
        <w:tabs>
          <w:tab w:leader="none" w:pos="117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Holdings and each Restricted Subsidiary may declare, make or pay any Restricted Payment so long as, in each case, such Restricted Payment is made in accordance with applicable law and the conditions set forth in clauses (a), (b) and (d) of the definition of Payment Conditions are satisfied with respect to such Restricted Payment;</w:t>
      </w:r>
    </w:p>
    <w:p>
      <w:pPr>
        <w:spacing w:after="0" w:line="75" w:lineRule="exact"/>
        <w:rPr>
          <w:rFonts w:ascii="Arial" w:cs="Arial" w:eastAsia="Arial" w:hAnsi="Arial"/>
          <w:sz w:val="18"/>
          <w:szCs w:val="18"/>
          <w:color w:val="auto"/>
        </w:rPr>
      </w:pPr>
    </w:p>
    <w:p>
      <w:pPr>
        <w:ind w:left="440" w:right="400" w:firstLine="419"/>
        <w:spacing w:after="0" w:line="286" w:lineRule="auto"/>
        <w:tabs>
          <w:tab w:leader="none" w:pos="116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Holdings may declare and pay dividends (in addition to those made in reliance upon any other clause of this Section 6.08(a)) to the holders of Equity Interests in Holdings in an aggregate amount not to exceed $50,000,000 per fiscal year, so long as no Event of Default has occurred and is continuing or would result after giving effect to the declaration and payment of such dividends;</w:t>
      </w:r>
    </w:p>
    <w:p>
      <w:pPr>
        <w:spacing w:after="0" w:line="57" w:lineRule="exact"/>
        <w:rPr>
          <w:rFonts w:ascii="Arial" w:cs="Arial" w:eastAsia="Arial" w:hAnsi="Arial"/>
          <w:sz w:val="17"/>
          <w:szCs w:val="17"/>
          <w:color w:val="auto"/>
        </w:rPr>
      </w:pPr>
    </w:p>
    <w:p>
      <w:pPr>
        <w:ind w:left="440" w:right="380" w:firstLine="419"/>
        <w:spacing w:after="0" w:line="277" w:lineRule="auto"/>
        <w:tabs>
          <w:tab w:leader="none" w:pos="111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each Loan Party may grant Equity Interests in the ordinary course of business to employees, directors and contractors and make any payments related to such Equity Interests in the ordinary course of business;</w:t>
      </w:r>
    </w:p>
    <w:p>
      <w:pPr>
        <w:spacing w:after="0" w:line="62" w:lineRule="exact"/>
        <w:rPr>
          <w:rFonts w:ascii="Arial" w:cs="Arial" w:eastAsia="Arial" w:hAnsi="Arial"/>
          <w:sz w:val="18"/>
          <w:szCs w:val="18"/>
          <w:color w:val="auto"/>
        </w:rPr>
      </w:pPr>
    </w:p>
    <w:p>
      <w:pPr>
        <w:ind w:left="440" w:right="20" w:firstLine="419"/>
        <w:spacing w:after="0" w:line="263" w:lineRule="auto"/>
        <w:tabs>
          <w:tab w:leader="none" w:pos="116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Holdings may declare and pay dividends on the Preferred Equity in an amount per fiscal year not to exceed the sum of (x) $73,000,000 plus (y) any amount under clause (x) not used in any prior fiscal year, so long as no Event of Default under Section (a), (b), (i), (j) or (k) of Article VII exists; and</w:t>
      </w:r>
    </w:p>
    <w:p>
      <w:pPr>
        <w:spacing w:after="0" w:line="75" w:lineRule="exact"/>
        <w:rPr>
          <w:rFonts w:ascii="Arial" w:cs="Arial" w:eastAsia="Arial" w:hAnsi="Arial"/>
          <w:sz w:val="18"/>
          <w:szCs w:val="18"/>
          <w:color w:val="auto"/>
        </w:rPr>
      </w:pPr>
    </w:p>
    <w:p>
      <w:pPr>
        <w:ind w:left="1220" w:hanging="361"/>
        <w:spacing w:after="0"/>
        <w:tabs>
          <w:tab w:leader="none" w:pos="12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connection with the Transactions.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greater certainty, the Borrowers may elect from time to time to consider Restricted Payments as falling within one or more of the categories above and may divide Restricted Payments among two or more categories. The restrictions set forth in any subpart of this Section by way of description of any Restricted Payments shall not be deemed to require that any Restricted Payments meeting such description be placed in such subpart for purposes of determining compliance with this Section.</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restrictions set forth above shall not operate to prevent the making of dividends or repurchases previously declared by Holdings so long as (x) at the declaration date, such dividend or repurchase was permitted by the foregoing and (y) such dividend or repurchase is consummated within the earlier of 60 days and any date under applicable law on which such dividend or repurchase must be consummated.</w:t>
      </w:r>
    </w:p>
    <w:p>
      <w:pPr>
        <w:spacing w:after="0" w:line="57" w:lineRule="exact"/>
        <w:rPr>
          <w:sz w:val="20"/>
          <w:szCs w:val="20"/>
          <w:color w:val="auto"/>
        </w:rPr>
      </w:pPr>
    </w:p>
    <w:p>
      <w:pPr>
        <w:jc w:val="both"/>
        <w:ind w:firstLine="436"/>
        <w:spacing w:after="0" w:line="301" w:lineRule="auto"/>
        <w:tabs>
          <w:tab w:leader="none" w:pos="69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No Loan Party will, nor will it permit any Subsidiary (other than (i) Unrestricted Subsidiaries or (ii) Excluded Subsidiaries which are not Loan Parties) to,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w:t>
      </w:r>
    </w:p>
    <w:p>
      <w:pPr>
        <w:spacing w:after="0" w:line="49" w:lineRule="exact"/>
        <w:rPr>
          <w:rFonts w:ascii="Arial" w:cs="Arial" w:eastAsia="Arial" w:hAnsi="Arial"/>
          <w:sz w:val="16"/>
          <w:szCs w:val="16"/>
          <w:color w:val="auto"/>
        </w:rPr>
      </w:pPr>
    </w:p>
    <w:p>
      <w:pPr>
        <w:ind w:left="1080" w:hanging="221"/>
        <w:spacing w:after="0"/>
        <w:tabs>
          <w:tab w:leader="none" w:pos="10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payment of Indebtedness created under the Loan Documents;</w:t>
      </w:r>
    </w:p>
    <w:p>
      <w:pPr>
        <w:spacing w:after="0" w:line="117" w:lineRule="exact"/>
        <w:rPr>
          <w:rFonts w:ascii="Arial" w:cs="Arial" w:eastAsia="Arial" w:hAnsi="Arial"/>
          <w:sz w:val="18"/>
          <w:szCs w:val="18"/>
          <w:color w:val="auto"/>
        </w:rPr>
      </w:pPr>
    </w:p>
    <w:p>
      <w:pPr>
        <w:ind w:left="440" w:right="280" w:firstLine="419"/>
        <w:spacing w:after="0" w:line="342" w:lineRule="auto"/>
        <w:tabs>
          <w:tab w:leader="none" w:pos="1128" w:val="left"/>
        </w:tabs>
        <w:numPr>
          <w:ilvl w:val="1"/>
          <w:numId w:val="157"/>
        </w:numPr>
        <w:rPr>
          <w:rFonts w:ascii="Arial" w:cs="Arial" w:eastAsia="Arial" w:hAnsi="Arial"/>
          <w:sz w:val="16"/>
          <w:szCs w:val="16"/>
          <w:color w:val="auto"/>
        </w:rPr>
      </w:pPr>
      <w:r>
        <w:rPr>
          <w:rFonts w:ascii="Arial" w:cs="Arial" w:eastAsia="Arial" w:hAnsi="Arial"/>
          <w:sz w:val="16"/>
          <w:szCs w:val="16"/>
          <w:color w:val="auto"/>
        </w:rPr>
        <w:t>payment of regularly scheduled interest and principal payments (including any mandatory prepayment) as and when due in respect of any Indebtedness, other than payments in respect of the Subordinated Indebtedness prohibited by the subordination provisions thereof;</w:t>
      </w:r>
    </w:p>
    <w:p>
      <w:pPr>
        <w:spacing w:after="0" w:line="15" w:lineRule="exact"/>
        <w:rPr>
          <w:rFonts w:ascii="Arial" w:cs="Arial" w:eastAsia="Arial" w:hAnsi="Arial"/>
          <w:sz w:val="16"/>
          <w:szCs w:val="16"/>
          <w:color w:val="auto"/>
        </w:rPr>
      </w:pPr>
    </w:p>
    <w:p>
      <w:pPr>
        <w:ind w:left="1180" w:hanging="321"/>
        <w:spacing w:after="0"/>
        <w:tabs>
          <w:tab w:leader="none" w:pos="11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refinancings of Indebtedness to the extent permitted by Section 6.01;</w:t>
      </w:r>
    </w:p>
    <w:p>
      <w:pPr>
        <w:spacing w:after="0" w:line="117" w:lineRule="exact"/>
        <w:rPr>
          <w:rFonts w:ascii="Arial" w:cs="Arial" w:eastAsia="Arial" w:hAnsi="Arial"/>
          <w:sz w:val="18"/>
          <w:szCs w:val="18"/>
          <w:color w:val="auto"/>
        </w:rPr>
      </w:pPr>
    </w:p>
    <w:p>
      <w:pPr>
        <w:ind w:left="440" w:right="280" w:firstLine="419"/>
        <w:spacing w:after="0" w:line="277" w:lineRule="auto"/>
        <w:tabs>
          <w:tab w:leader="none" w:pos="1168" w:val="left"/>
        </w:tabs>
        <w:numPr>
          <w:ilvl w:val="1"/>
          <w:numId w:val="157"/>
        </w:numPr>
        <w:rPr>
          <w:rFonts w:ascii="Arial" w:cs="Arial" w:eastAsia="Arial" w:hAnsi="Arial"/>
          <w:sz w:val="18"/>
          <w:szCs w:val="18"/>
          <w:color w:val="auto"/>
        </w:rPr>
      </w:pPr>
      <w:r>
        <w:rPr>
          <w:rFonts w:ascii="Arial" w:cs="Arial" w:eastAsia="Arial" w:hAnsi="Arial"/>
          <w:sz w:val="18"/>
          <w:szCs w:val="18"/>
          <w:color w:val="auto"/>
        </w:rPr>
        <w:t>payment of secured Indebtedness that becomes due as a result of the voluntary sale or transfer of the property or assets securing such Indebtedness;</w:t>
      </w:r>
    </w:p>
    <w:p>
      <w:pPr>
        <w:spacing w:after="0" w:line="62" w:lineRule="exact"/>
        <w:rPr>
          <w:rFonts w:ascii="Arial" w:cs="Arial" w:eastAsia="Arial" w:hAnsi="Arial"/>
          <w:sz w:val="18"/>
          <w:szCs w:val="18"/>
          <w:color w:val="auto"/>
        </w:rPr>
      </w:pPr>
    </w:p>
    <w:p>
      <w:pPr>
        <w:ind w:left="440" w:right="40" w:firstLine="419"/>
        <w:spacing w:after="0" w:line="277" w:lineRule="auto"/>
        <w:tabs>
          <w:tab w:leader="none" w:pos="1118"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payment of Indebtedness owed by a Loan Party or Restricted Subsidiary of a Loan Party to any other Loan Party or Subsidiary of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Indebtedness is permitted by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00"/>
          </w:cols>
          <w:pgMar w:left="440" w:top="274" w:right="459" w:bottom="1440" w:gutter="0" w:footer="0" w:header="0"/>
        </w:sectPr>
      </w:pPr>
    </w:p>
    <w:bookmarkStart w:id="147" w:name="page148"/>
    <w:bookmarkEnd w:id="147"/>
    <w:p>
      <w:pPr>
        <w:ind w:left="44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6.01 and (B) no Loan Party shall be permitted to make any payment in respect of any Indebtedness to any Subsidiary which is not a Loan Party if (x) an Event of Default has occurred and is continuing or would result therefrom or (y) such payment would be prohibited by the subordination provisions of such Indebtedness;</w:t>
      </w:r>
    </w:p>
    <w:p>
      <w:pPr>
        <w:spacing w:after="0" w:line="76" w:lineRule="exact"/>
        <w:rPr>
          <w:sz w:val="20"/>
          <w:szCs w:val="20"/>
          <w:color w:val="auto"/>
        </w:rPr>
      </w:pPr>
    </w:p>
    <w:p>
      <w:pPr>
        <w:ind w:left="444" w:right="140" w:firstLine="419"/>
        <w:spacing w:after="0" w:line="263" w:lineRule="auto"/>
        <w:tabs>
          <w:tab w:leader="none" w:pos="117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payment of Indebtedness of a Loan Party or Restricted Subsidiary (other than those made in reliance on any other paragraph of this Section 6.08), so long as at the time of and after giving effect to such payment, the conditions set forth in clauses (a), (b) and (d) of the definition of Payment Conditions are satisfied with respect to such payment;</w:t>
      </w:r>
    </w:p>
    <w:p>
      <w:pPr>
        <w:spacing w:after="0" w:line="75" w:lineRule="exact"/>
        <w:rPr>
          <w:rFonts w:ascii="Arial" w:cs="Arial" w:eastAsia="Arial" w:hAnsi="Arial"/>
          <w:sz w:val="18"/>
          <w:szCs w:val="18"/>
          <w:color w:val="auto"/>
        </w:rPr>
      </w:pPr>
    </w:p>
    <w:p>
      <w:pPr>
        <w:ind w:left="444" w:right="80" w:firstLine="419"/>
        <w:spacing w:after="0" w:line="263" w:lineRule="auto"/>
        <w:tabs>
          <w:tab w:leader="none" w:pos="122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payments and prepayments of Indebtedness (other than those made in reliance on any other paragraph of this Section 6.08) in an aggregate amount not to exceed the greater of $50,000,000 and 5% of EBITDA per fiscal year, so long as no Event of Default has occurred and is continuing or would result after giving effect to any such payment or prepayment;</w:t>
      </w:r>
    </w:p>
    <w:p>
      <w:pPr>
        <w:spacing w:after="0" w:line="75" w:lineRule="exact"/>
        <w:rPr>
          <w:rFonts w:ascii="Arial" w:cs="Arial" w:eastAsia="Arial" w:hAnsi="Arial"/>
          <w:sz w:val="18"/>
          <w:szCs w:val="18"/>
          <w:color w:val="auto"/>
        </w:rPr>
      </w:pPr>
    </w:p>
    <w:p>
      <w:pPr>
        <w:ind w:left="444" w:right="200" w:firstLine="419"/>
        <w:spacing w:after="0" w:line="263" w:lineRule="auto"/>
        <w:tabs>
          <w:tab w:leader="none" w:pos="127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payments and prepayments of Indebtedness made with the proceeds of the issuance of Equity Interests by Holdings or any of its subsidiaries (to the extent such proceeds are contributed to the Borrower or any Restricted Subsidiary) within nine months of the receipt of such proceeds; and</w:t>
      </w:r>
    </w:p>
    <w:p>
      <w:pPr>
        <w:spacing w:after="0" w:line="75" w:lineRule="exact"/>
        <w:rPr>
          <w:rFonts w:ascii="Arial" w:cs="Arial" w:eastAsia="Arial" w:hAnsi="Arial"/>
          <w:sz w:val="18"/>
          <w:szCs w:val="18"/>
          <w:color w:val="auto"/>
        </w:rPr>
      </w:pPr>
    </w:p>
    <w:p>
      <w:pPr>
        <w:ind w:left="1164" w:hanging="301"/>
        <w:spacing w:after="0"/>
        <w:tabs>
          <w:tab w:leader="none" w:pos="116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connection with the Transactions.</w:t>
      </w:r>
    </w:p>
    <w:p>
      <w:pPr>
        <w:spacing w:after="0" w:line="225"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For greater certainty, the Borrowers may elect from time to time to consider payments in respective of Indebtedness as falling within one or more of the categories above and may divide such payments among two or more categories. The restrictions set forth in any subpart of this Section by way of description of any such payments shall not be deemed to require that any payments meeting such description be placed in such subpart for purposes of determining compliance with this Section.</w:t>
      </w:r>
    </w:p>
    <w:p>
      <w:pPr>
        <w:spacing w:after="0" w:line="187"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Except as otherwise permitted by this Agreement, no Loan Party will, nor will it permit any Restricted Subsidiary to, sell, lease or otherwise transfer any property or assets to, or purchase, lease or otherwise acquire any property or assets from, or otherwise engage in any other transactions with, any of its Affiliates, except (a) transactions that are on terms and conditions, when taken as a whole, not less favorable to such Loan Party or such Restricted Subsidiary than could be obtained on an arm’s-length basis from unrelated third parties,</w:t>
      </w:r>
    </w:p>
    <w:p>
      <w:pPr>
        <w:spacing w:after="0" w:line="1" w:lineRule="exact"/>
        <w:rPr>
          <w:sz w:val="20"/>
          <w:szCs w:val="20"/>
          <w:color w:val="auto"/>
        </w:rPr>
      </w:pPr>
    </w:p>
    <w:p>
      <w:pPr>
        <w:ind w:left="264" w:hanging="264"/>
        <w:spacing w:after="0"/>
        <w:tabs>
          <w:tab w:leader="none" w:pos="264"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transactions between or among: (i) any U.S. Loan Parties; or (ii) any Canadian Loan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clause (b), a</w:t>
      </w:r>
    </w:p>
    <w:p>
      <w:pPr>
        <w:spacing w:after="0" w:line="20" w:lineRule="exact"/>
        <w:rPr>
          <w:rFonts w:ascii="Arial" w:cs="Arial" w:eastAsia="Arial" w:hAnsi="Arial"/>
          <w:sz w:val="17"/>
          <w:szCs w:val="17"/>
          <w:color w:val="auto"/>
        </w:rPr>
      </w:pPr>
    </w:p>
    <w:p>
      <w:pPr>
        <w:ind w:left="4" w:right="80"/>
        <w:spacing w:after="0" w:line="269" w:lineRule="auto"/>
        <w:rPr>
          <w:rFonts w:ascii="Arial" w:cs="Arial" w:eastAsia="Arial" w:hAnsi="Arial"/>
          <w:sz w:val="17"/>
          <w:szCs w:val="17"/>
          <w:color w:val="auto"/>
        </w:rPr>
      </w:pPr>
      <w:r>
        <w:rPr>
          <w:rFonts w:ascii="Arial" w:cs="Arial" w:eastAsia="Arial" w:hAnsi="Arial"/>
          <w:sz w:val="17"/>
          <w:szCs w:val="17"/>
          <w:color w:val="auto"/>
        </w:rPr>
        <w:t>Canadian Cross-Border Loan Guarantor shall be treated only as a Canadian Loan Party and not as a U.S. Loan Party), (c) investments permitted by Section 6.04, (d) Indebtedness permitted under Section 6.01, (e) asset sales (including sale and lease back transactions permitted by Section 6.06) permitted by Section 6.05; (f) Restricted Payments permitted by Section 6.08, (g) loans or advances to employees permitted under Section 6.04, (h) the payment of reasonable fees to directors of any Loan Party who are not employees of such Loan Party, and compensation and employee benefit arrangements paid to, and indemnities provided for the benefit of, directors, officers or employees of the Loan Parties in the ordinary course of business and (i) any issuances of securities or other payments, awards or grants in cash, securities or otherwise pursuant to, or the funding of, employment agreements, stock options and stock ownership plans approved by a Loan Party’s board of directors.</w:t>
      </w:r>
    </w:p>
    <w:p>
      <w:pPr>
        <w:spacing w:after="0" w:line="180"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Restrictive Agreements</w:t>
      </w:r>
      <w:r>
        <w:rPr>
          <w:rFonts w:ascii="Arial" w:cs="Arial" w:eastAsia="Arial" w:hAnsi="Arial"/>
          <w:sz w:val="17"/>
          <w:szCs w:val="17"/>
          <w:color w:val="auto"/>
        </w:rPr>
        <w:t xml:space="preserve">. No Loan Party will, nor will it permit any Restricted Subsidiary to, directly or indirectly, enter into, incur or permit to exist any agreement or other arrangement that prohibits, restricts or imposes any condition upon (a) the ability of such Loan Party or any of its Restricted Subsidiaries to create, incur or permit to exist any Lien upon any of the Collateral, or (b) the ability of any Restricted Subsidiary to pay dividends or other distributions with respect to any shares of its capital stock or to make or repay loans or advances to any Borrower or any other Subsidiary or to Guarantee Indebtedness of any Borrower or any other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foregoing shall not apply to restrictions and conditions imposed by law or by any Loan Document, (ii) the foregoing shall not apply to restrictions and conditions existing on the Fourth Restatement Date with respect to documents identified on </w:t>
      </w:r>
      <w:r>
        <w:rPr>
          <w:rFonts w:ascii="Arial" w:cs="Arial" w:eastAsia="Arial" w:hAnsi="Arial"/>
          <w:sz w:val="17"/>
          <w:szCs w:val="17"/>
          <w:u w:val="single" w:color="auto"/>
          <w:color w:val="auto"/>
        </w:rPr>
        <w:t>Schedule 6.10</w:t>
      </w:r>
      <w:r>
        <w:rPr>
          <w:rFonts w:ascii="Arial" w:cs="Arial" w:eastAsia="Arial" w:hAnsi="Arial"/>
          <w:sz w:val="17"/>
          <w:szCs w:val="17"/>
          <w:color w:val="auto"/>
        </w:rPr>
        <w:t xml:space="preserve"> or any extension or renewal of, or any amendment, modification or replacement of such documents (to the extent such extension, renewal, amendment, modification or replacement is not prohibited by this Agreement) which does not expand the scope of, any such restriction or condition, (iii) the foregoing shall not apply to customary restrictions and conditions contained in agreements relating to the purchase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4"/>
          </w:cols>
          <w:pgMar w:left="436" w:top="274" w:right="459" w:bottom="1440" w:gutter="0" w:footer="0" w:header="0"/>
        </w:sectPr>
      </w:pPr>
    </w:p>
    <w:bookmarkStart w:id="148" w:name="page149"/>
    <w:bookmarkEnd w:id="148"/>
    <w:p>
      <w:pPr>
        <w:jc w:val="both"/>
        <w:ind w:left="4" w:right="3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agreements pending such sale or purchase, as applicable, (iv) the foregoing shall not apply to customary restrictions and conditions contained in any agreement relating to Indebtedness of a special purpose entity if such restriction applies to the creation of Liens on the assets of such special purpose entity or limits such special purpose entity from paying dividends or distributions in respect of such special purpose entity’s income or property,</w:t>
      </w:r>
    </w:p>
    <w:p>
      <w:pPr>
        <w:spacing w:after="0" w:line="2" w:lineRule="exact"/>
        <w:rPr>
          <w:sz w:val="20"/>
          <w:szCs w:val="20"/>
          <w:color w:val="auto"/>
        </w:rPr>
      </w:pPr>
    </w:p>
    <w:p>
      <w:pPr>
        <w:ind w:left="4" w:hanging="4"/>
        <w:spacing w:after="0" w:line="281" w:lineRule="auto"/>
        <w:tabs>
          <w:tab w:leader="none" w:pos="25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clause (a) of the foregoing shall not apply to restrictions or conditions imposed by any agreement relating to secured Indebtedness permitted by this Agreement if such restrictions or conditions apply only to the property or assets securing such Indebtedness, (vi) clause (a) of the foregoing shall not apply to customary provisions in leases restricting the assignment thereof, and (vii) the foregoing shall not apply to restrictions imposed by any Senior Notes Indenture, any Permitted Term Loan Agreement or any agreement governing Indebtedness entered into after the Fourth Restatement Date and permitted under Section 6.01(l);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contained in such Senior Notes Indenture, such Permitted Term Loan Agreement or other agreement (x) taken as a whole, in the good faith judgment of the Borrower Representative, are no more restrictive with respect to the Loan Parties than customary market terms for Indebtedness of such type (and, in any event, are no more restrictive than the restrictions contained in this Agreement), and</w:t>
      </w:r>
    </w:p>
    <w:p>
      <w:pPr>
        <w:spacing w:after="0" w:line="4" w:lineRule="exact"/>
        <w:rPr>
          <w:rFonts w:ascii="Arial" w:cs="Arial" w:eastAsia="Arial" w:hAnsi="Arial"/>
          <w:sz w:val="16"/>
          <w:szCs w:val="16"/>
          <w:color w:val="auto"/>
        </w:rPr>
      </w:pPr>
    </w:p>
    <w:p>
      <w:pPr>
        <w:ind w:left="4" w:right="760" w:hanging="4"/>
        <w:spacing w:after="0" w:line="260" w:lineRule="auto"/>
        <w:tabs>
          <w:tab w:leader="none" w:pos="25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do not adversely affect the ability of the Loan Parties (A) to make any payments required to be paid by the Loan Parties with respect to the Obligations or (B) to grant Liens on the Collateral in favor of the Administrative Agent.</w:t>
      </w:r>
    </w:p>
    <w:p>
      <w:pPr>
        <w:spacing w:after="0" w:line="185" w:lineRule="exact"/>
        <w:rPr>
          <w:sz w:val="20"/>
          <w:szCs w:val="20"/>
          <w:color w:val="auto"/>
        </w:rPr>
      </w:pPr>
    </w:p>
    <w:p>
      <w:pPr>
        <w:ind w:left="4" w:right="80" w:firstLine="440"/>
        <w:spacing w:after="0" w:line="284"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Amendment of Material Documents</w:t>
      </w:r>
      <w:r>
        <w:rPr>
          <w:rFonts w:ascii="Arial" w:cs="Arial" w:eastAsia="Arial" w:hAnsi="Arial"/>
          <w:sz w:val="16"/>
          <w:szCs w:val="16"/>
          <w:color w:val="auto"/>
        </w:rPr>
        <w:t>. No Loan Party will, nor will it permit any Restricted Subsidiary to, amend, modify or waive any term or provision of (a) the Receivables Securitization Agreements, except for amendments to the Receivable Securitization Agreements which do not adversely affect the Collateral, the Receivables Intercreditor Agreement or the Administrative Agent’s rights thereunder; (b) any Permitted Term Debt Documents in any manner which would violate the applicable Permitted Term Debt Intercreditor Agreement; (c) any Senior Notes Indentures, or its certificate of incorporation, by-laws, operating, memorandum of association, management or partnership agreement or other organizational documents, to the extent any such amendment, modification or waiver of any instrument, contract or agreement described in this clause (c) would be materially adverse to the Lenders, or (d) any other document evidencing any Material Indebtedness (other than Indebtedness described in clauses (a),</w:t>
      </w:r>
    </w:p>
    <w:p>
      <w:pPr>
        <w:spacing w:after="0" w:line="2" w:lineRule="exact"/>
        <w:rPr>
          <w:sz w:val="20"/>
          <w:szCs w:val="20"/>
          <w:color w:val="auto"/>
        </w:rPr>
      </w:pPr>
    </w:p>
    <w:p>
      <w:pPr>
        <w:ind w:left="4" w:right="440" w:hanging="4"/>
        <w:spacing w:after="0" w:line="253" w:lineRule="auto"/>
        <w:tabs>
          <w:tab w:leader="none" w:pos="25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or (c) of this Section 6.11), to the extent any such amendment, modification or waiver would be materially adverse to the Lenders (it being understood and agreed that no such amendment, modification or waiver shall be deemed adverse to the Lenders if, after giving effect to such amendment, modification or waiver, assuming such Indebtedness was not outstanding, the Borrowers and their Subsidiaries would be able to incur Indebtedness on such terms pursuant to Section 6.01).</w:t>
      </w:r>
    </w:p>
    <w:p>
      <w:pPr>
        <w:spacing w:after="0" w:line="193" w:lineRule="exact"/>
        <w:rPr>
          <w:sz w:val="20"/>
          <w:szCs w:val="20"/>
          <w:color w:val="auto"/>
        </w:rPr>
      </w:pPr>
    </w:p>
    <w:p>
      <w:pPr>
        <w:ind w:left="4" w:right="120" w:firstLine="440"/>
        <w:spacing w:after="0" w:line="301"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u w:val="single" w:color="auto"/>
          <w:color w:val="auto"/>
        </w:rPr>
        <w:t>Fixed Charge Coverage Ratio</w:t>
      </w:r>
      <w:r>
        <w:rPr>
          <w:rFonts w:ascii="Arial" w:cs="Arial" w:eastAsia="Arial" w:hAnsi="Arial"/>
          <w:sz w:val="16"/>
          <w:szCs w:val="16"/>
          <w:color w:val="auto"/>
        </w:rPr>
        <w:t>. If a Fixed Charge Coverage Trigger Event shall occur, the Loan Parties will not permit the Fixed Charge Coverage Ratio to be less than 1.00 to 1.00 (a) as of the last day of the fiscal quarter which has ended immediately prior to such Fixed Charge Coverage Trigger Event and for which financial statements are available or are required to be delivered hereunder (the “</w:t>
      </w:r>
      <w:r>
        <w:rPr>
          <w:rFonts w:ascii="Arial" w:cs="Arial" w:eastAsia="Arial" w:hAnsi="Arial"/>
          <w:sz w:val="16"/>
          <w:szCs w:val="16"/>
          <w:u w:val="single" w:color="auto"/>
          <w:color w:val="auto"/>
        </w:rPr>
        <w:t>Initial Test Date</w:t>
      </w:r>
      <w:r>
        <w:rPr>
          <w:rFonts w:ascii="Arial" w:cs="Arial" w:eastAsia="Arial" w:hAnsi="Arial"/>
          <w:sz w:val="16"/>
          <w:szCs w:val="16"/>
          <w:color w:val="auto"/>
        </w:rPr>
        <w:t>”) and (b) as of the last day of each fiscal quarter ending after such Initial Test Date until the Fixed Charge Coverage Trigger Period shall no longer be continuing.</w:t>
      </w:r>
    </w:p>
    <w:p>
      <w:pPr>
        <w:spacing w:after="0" w:line="157"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Designation of Subsidiaries</w:t>
      </w:r>
      <w:r>
        <w:rPr>
          <w:rFonts w:ascii="Arial" w:cs="Arial" w:eastAsia="Arial" w:hAnsi="Arial"/>
          <w:sz w:val="16"/>
          <w:szCs w:val="16"/>
          <w:color w:val="auto"/>
        </w:rPr>
        <w:t>. No Loan Party will designate any Restricted Subsidiary as an Unrestricted Subsidiary unless (i) the Borrower Representative delivers a written notice to the Administrative Agent of such designation, (ii) immediately before and after such designation, no Default or Event of Default shall have occurred and be continuing, (iii) immediately after giving effect to such designation, the Total Leverage Ratio is less than 4.75 to 1.00 as of the last day of the most recently completed period of four consecutive fiscal quarters ending prior to the date of such designation for which the financial statements and certificates required by Section 5.01(a) or 5.01(b), as the case may be, and Section 5.01(d), have been delivered and, as a condition precedent to the effectiveness of any such designation, the Borrower Representative shall deliver to the Administrative Agent a certificate setting forth in reasonable detail the calculations demonstrating such compliance, (iv) such Subsidiary is not designated as a “Restricted Subsidiary” (or the equivalent) for the purpose of any Senior Notes, any Subordinated Indebtedness of the Loan Parties or any Permitted Term Debt Documents and is not otherwise generally subject to the representations, warranties, covenants and events of default under any Senior Notes, any Subordinated Indebtedness of the Loan Parties or such Permitted Term Debt Documents, (v) such Restricted Subsidiary and its subsidiaries do not own any Equity Interests or Indebtedness of, or own or hold any Lien on, any property of any Loan Party, (vi) such Subsidiary or such Subsidiary’s subsidiaries have not at the time of designation, and do not, thereafter, create, incur, issue, assume, guarantee, or otherwise become directly or indirectly liable with respect to any Indebtedness pursuant to which the</w:t>
      </w:r>
    </w:p>
    <w:p>
      <w:pPr>
        <w:spacing w:after="0" w:line="10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04"/>
          </w:cols>
          <w:pgMar w:left="436" w:top="274" w:right="459" w:bottom="1440" w:gutter="0" w:footer="0" w:header="0"/>
        </w:sectPr>
      </w:pPr>
    </w:p>
    <w:bookmarkStart w:id="149" w:name="page150"/>
    <w:bookmarkEnd w:id="14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has recourse to any of the assets of any Loan Party, (vii) such Subsidiary is not WESCO Receivables or any Subsidiary which holds any Equity Interests or Indebtedness of WESCO Receivables, (viii) the revenues of such Subsidiary, as of end of any fiscal year, for the period of four consecutive fiscal quarters then ended, were less than 5% of the consolidated revenues of Holdings and its Subsidiaries for such period, (ix) the revenues of such Subsidiary, as of end of any fiscal year, for the period of four consecutive fiscal quarters then ended, when taken together with the revenues of all Unrestricted Subsidiaries were less than 15% of the consolidated revenues of Holdings and its Subsidiaries for such period, (x) the consolidated assets of such Subsidiary, as of end of any fiscal year, were less than 5% of the consolidated total assets of Holdings and its Subsidiaries as of the end of such fiscal year, and (xi) the consolidated assets of such Subsidiary, as of end of any fiscal year, when taken together with the consolidated assets of all Unrestricted Subsidiaries were less than 15% of the consolidated total assets of Holdings and its Subsidiaries as of the end of such fiscal year (in the case of each of the foregoing clauses (viii) through (xi), as reflected on the most recent annual or quarterly consolidated financial statements of Holdings and its Subsidiaries). The designation of any Subsidiary as an Unrestricted Subsidiary shall constitute an Investment therein by such Borrower and its Restricted Subsidiaries, as applicable, at the date of designation in an amount equal to the fair market value of the applicable parties’ investment therein (the fair market value of such investment to be calculated without regard to any guarantee provided by such designated or re designated Unrestricted Subsidiary). The designation of any Unrestricted Subsidiary as a Restricted Subsidiary shall constitute (A) the incurrence at the time of designation of any Investment, Indebtedness or Liens of such Subsidiary existing at such time and (B) a return on any Investment by such Borrower or any Restricted Subsidiary in Unrestricted Subsidiaries pursuant to the preceding sentence in an amount equal to the fair market value at the date of such designation of such Borrower’s and its Restricted Subsidiaries’ (as applicable) Investment in such Subsidiary. Notwithstanding anything to the contrary herein, any Unrestricted Subsidiary that has been redesignated as a Restricted Subsidiary may not be subsequently redesignated as an Unrestricted Subsidiary.</w:t>
      </w:r>
    </w:p>
    <w:p>
      <w:pPr>
        <w:spacing w:after="0" w:line="174" w:lineRule="exact"/>
        <w:rPr>
          <w:sz w:val="20"/>
          <w:szCs w:val="20"/>
          <w:color w:val="auto"/>
        </w:rPr>
      </w:pPr>
    </w:p>
    <w:p>
      <w:pPr>
        <w:ind w:right="160" w:firstLine="440"/>
        <w:spacing w:after="0" w:line="272" w:lineRule="auto"/>
        <w:rPr>
          <w:sz w:val="20"/>
          <w:szCs w:val="20"/>
          <w:color w:val="auto"/>
        </w:rPr>
      </w:pPr>
      <w:r>
        <w:rPr>
          <w:rFonts w:ascii="Arial" w:cs="Arial" w:eastAsia="Arial" w:hAnsi="Arial"/>
          <w:sz w:val="17"/>
          <w:szCs w:val="17"/>
          <w:color w:val="auto"/>
        </w:rPr>
        <w:t xml:space="preserve">SECTION 6.14 </w:t>
      </w:r>
      <w:r>
        <w:rPr>
          <w:rFonts w:ascii="Arial" w:cs="Arial" w:eastAsia="Arial" w:hAnsi="Arial"/>
          <w:sz w:val="17"/>
          <w:szCs w:val="17"/>
          <w:u w:val="single" w:color="auto"/>
          <w:color w:val="auto"/>
        </w:rPr>
        <w:t>Canadian Defined Benefit Plans</w:t>
      </w:r>
      <w:r>
        <w:rPr>
          <w:rFonts w:ascii="Arial" w:cs="Arial" w:eastAsia="Arial" w:hAnsi="Arial"/>
          <w:sz w:val="17"/>
          <w:szCs w:val="17"/>
          <w:color w:val="auto"/>
        </w:rPr>
        <w:t xml:space="preserve">. None of the Canadian Loan Parties shall, (a) without the consent of the Administrative Agent (not to be unreasonably withheld) maintain, administer, contribute or have any liability in respect of any Canadian Pension Plan which contains a “defined benefit provision,” as defined in subsection 147.1(1) of the </w:t>
      </w:r>
      <w:r>
        <w:rPr>
          <w:rFonts w:ascii="Arial" w:cs="Arial" w:eastAsia="Arial" w:hAnsi="Arial"/>
          <w:sz w:val="17"/>
          <w:szCs w:val="17"/>
          <w:i w:val="1"/>
          <w:iCs w:val="1"/>
          <w:color w:val="auto"/>
        </w:rPr>
        <w:t>Income Tax Act</w:t>
      </w:r>
      <w:r>
        <w:rPr>
          <w:rFonts w:ascii="Arial" w:cs="Arial" w:eastAsia="Arial" w:hAnsi="Arial"/>
          <w:sz w:val="17"/>
          <w:szCs w:val="17"/>
          <w:color w:val="auto"/>
        </w:rPr>
        <w:t xml:space="preserve"> (Canada) (“</w:t>
      </w:r>
      <w:r>
        <w:rPr>
          <w:rFonts w:ascii="Arial" w:cs="Arial" w:eastAsia="Arial" w:hAnsi="Arial"/>
          <w:sz w:val="17"/>
          <w:szCs w:val="17"/>
          <w:u w:val="single" w:color="auto"/>
          <w:color w:val="auto"/>
        </w:rPr>
        <w:t>Canadian Defined Benefit Plan</w:t>
      </w:r>
      <w:r>
        <w:rPr>
          <w:rFonts w:ascii="Arial" w:cs="Arial" w:eastAsia="Arial" w:hAnsi="Arial"/>
          <w:sz w:val="17"/>
          <w:szCs w:val="17"/>
          <w:color w:val="auto"/>
        </w:rPr>
        <w:t xml:space="preserve">”) (other than the Canadian Defined Benefit Plans listed in </w:t>
      </w:r>
      <w:r>
        <w:rPr>
          <w:rFonts w:ascii="Arial" w:cs="Arial" w:eastAsia="Arial" w:hAnsi="Arial"/>
          <w:sz w:val="17"/>
          <w:szCs w:val="17"/>
          <w:u w:val="single" w:color="auto"/>
          <w:color w:val="auto"/>
        </w:rPr>
        <w:t>Schedule 3.10</w:t>
      </w:r>
      <w:r>
        <w:rPr>
          <w:rFonts w:ascii="Arial" w:cs="Arial" w:eastAsia="Arial" w:hAnsi="Arial"/>
          <w:sz w:val="17"/>
          <w:szCs w:val="17"/>
          <w:color w:val="auto"/>
        </w:rPr>
        <w:t xml:space="preserve"> on the Fourth Restatement Date or any Canadian Defined Benefit Plan sponsored, maintained, administered or contributed to by a Person described in clause (b) of this Section 6.14) or (b) acquire an interest in any Person if such Person sponsors, maintains, administers or contributes to, or has any liability in respect of any Canadian Defined Benefit Plan if such acquisition would, or could reasonably be expected to, result in a Material Adverse Effect.</w:t>
      </w:r>
    </w:p>
    <w:p>
      <w:pPr>
        <w:spacing w:after="0" w:line="39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xml:space="preserve">ARTICLE VII. </w:t>
      </w: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w:t>
      </w:r>
    </w:p>
    <w:p>
      <w:pPr>
        <w:spacing w:after="0" w:line="117" w:lineRule="exact"/>
        <w:rPr>
          <w:sz w:val="20"/>
          <w:szCs w:val="20"/>
          <w:color w:val="auto"/>
        </w:rPr>
      </w:pPr>
    </w:p>
    <w:p>
      <w:pPr>
        <w:ind w:right="100" w:firstLine="436"/>
        <w:spacing w:after="0" w:line="308" w:lineRule="auto"/>
        <w:tabs>
          <w:tab w:leader="none" w:pos="68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38" w:lineRule="exact"/>
        <w:rPr>
          <w:rFonts w:ascii="Arial" w:cs="Arial" w:eastAsia="Arial" w:hAnsi="Arial"/>
          <w:sz w:val="17"/>
          <w:szCs w:val="17"/>
          <w:color w:val="auto"/>
        </w:rPr>
      </w:pPr>
    </w:p>
    <w:p>
      <w:pPr>
        <w:ind w:right="120" w:firstLine="436"/>
        <w:spacing w:after="0" w:line="263" w:lineRule="auto"/>
        <w:tabs>
          <w:tab w:leader="none" w:pos="69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three Business Days;</w:t>
      </w:r>
    </w:p>
    <w:p>
      <w:pPr>
        <w:spacing w:after="0" w:line="75" w:lineRule="exact"/>
        <w:rPr>
          <w:rFonts w:ascii="Arial" w:cs="Arial" w:eastAsia="Arial" w:hAnsi="Arial"/>
          <w:sz w:val="18"/>
          <w:szCs w:val="18"/>
          <w:color w:val="auto"/>
        </w:rPr>
      </w:pPr>
    </w:p>
    <w:p>
      <w:pPr>
        <w:ind w:firstLine="436"/>
        <w:spacing w:after="0" w:line="259" w:lineRule="auto"/>
        <w:tabs>
          <w:tab w:leader="none" w:pos="68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representation or warranty made by or on behalf of any Loan Party or any Restricted Subsidiary in or in connection with this Agreement or any Loan Document or any amendment or modification thereof or waiver thereunder, or in any report, certificate, financial statement or other document furnished pursuant to or in connection with this Agreement or any Loan Document or any amendment or modification thereof or waiver thereunder, shall prove to have been materially incorrect when made;</w:t>
      </w:r>
    </w:p>
    <w:p>
      <w:pPr>
        <w:spacing w:after="0" w:line="78" w:lineRule="exact"/>
        <w:rPr>
          <w:rFonts w:ascii="Arial" w:cs="Arial" w:eastAsia="Arial" w:hAnsi="Arial"/>
          <w:sz w:val="18"/>
          <w:szCs w:val="18"/>
          <w:color w:val="auto"/>
        </w:rPr>
      </w:pPr>
    </w:p>
    <w:p>
      <w:pPr>
        <w:ind w:right="420" w:firstLine="436"/>
        <w:spacing w:after="0" w:line="263" w:lineRule="auto"/>
        <w:tabs>
          <w:tab w:leader="none" w:pos="69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Loan Party shall fail to observe or perform any covenant, condition or agreement contained in: (i) Section 5.02(a), Section 5.03 (with respect to a Loan Party’s existence), Section 5.08 or in Article VI of this Agreement, or (ii) Article IV or Article VII of the Canadian Security Agreement or the U.S. Security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00"/>
          </w:cols>
          <w:pgMar w:left="440" w:top="274" w:right="459" w:bottom="1440" w:gutter="0" w:footer="0" w:header="0"/>
        </w:sectPr>
      </w:pPr>
    </w:p>
    <w:bookmarkStart w:id="150" w:name="page151"/>
    <w:bookmarkEnd w:id="150"/>
    <w:p>
      <w:pPr>
        <w:ind w:left="684" w:hanging="244"/>
        <w:spacing w:after="0"/>
        <w:tabs>
          <w:tab w:leader="none" w:pos="684" w:val="left"/>
        </w:tabs>
        <w:numPr>
          <w:ilvl w:val="1"/>
          <w:numId w:val="1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Loan Party shall fail to observe or perform any covenant, condition or agreement contained in this Agreement or any other Loan</w:t>
      </w:r>
    </w:p>
    <w:p>
      <w:pPr>
        <w:spacing w:after="0" w:line="34" w:lineRule="exact"/>
        <w:rPr>
          <w:rFonts w:ascii="Arial" w:cs="Arial" w:eastAsia="Arial" w:hAnsi="Arial"/>
          <w:sz w:val="17"/>
          <w:szCs w:val="17"/>
          <w:color w:val="auto"/>
        </w:rPr>
      </w:pPr>
    </w:p>
    <w:p>
      <w:pPr>
        <w:ind w:left="4" w:right="20"/>
        <w:spacing w:after="0" w:line="251" w:lineRule="auto"/>
        <w:rPr>
          <w:rFonts w:ascii="Arial" w:cs="Arial" w:eastAsia="Arial" w:hAnsi="Arial"/>
          <w:sz w:val="17"/>
          <w:szCs w:val="17"/>
          <w:color w:val="auto"/>
        </w:rPr>
      </w:pPr>
      <w:r>
        <w:rPr>
          <w:rFonts w:ascii="Arial" w:cs="Arial" w:eastAsia="Arial" w:hAnsi="Arial"/>
          <w:sz w:val="18"/>
          <w:szCs w:val="18"/>
          <w:color w:val="auto"/>
        </w:rPr>
        <w:t>Document (other than those which constitute an event of default under another Section of this Article), and such failure shall continue unremedied for a period of (i) 5 days after the earlier of any Loan Party’s knowledge of such failure or notice thereof from the Administrative Agent if such failure relates to terms or provisions of Section 5.01(a), (b), (c), (d), (f), (g) or (h), (ii) 5 days after the earlier of any Loan Party’s knowledge of such failure or notice thereof from the Administrative Agent if such failure relates to terms or provisions of Section 5.01 (other than those which constitute an event of default under clause (e)(i) of this Article VII), (iii) 10 days after the earlier of any Loan Party’s knowledge of such failure or notice thereof from the Administrative Agent if such failure relates to terms or provisions of Section 5.02 (other than Section 5.02(a)), 5.03 (other than with respect to a Loan Party’s existence) through 5.06, 5.09, 5.10, 5.12 or 5.14 of this Agreement or (iv) 30 days after the earlier of any Loan Party’s knowledge of such failure or notice thereof from the Administrative Agent if such failure relates to terms or provisions of any other Section of this Agreement or any other Loan Document;</w:t>
      </w:r>
    </w:p>
    <w:p>
      <w:pPr>
        <w:spacing w:after="0" w:line="89" w:lineRule="exact"/>
        <w:rPr>
          <w:rFonts w:ascii="Arial" w:cs="Arial" w:eastAsia="Arial" w:hAnsi="Arial"/>
          <w:sz w:val="17"/>
          <w:szCs w:val="17"/>
          <w:color w:val="auto"/>
        </w:rPr>
      </w:pPr>
    </w:p>
    <w:p>
      <w:pPr>
        <w:ind w:left="4" w:right="40" w:firstLine="436"/>
        <w:spacing w:after="0" w:line="263" w:lineRule="auto"/>
        <w:tabs>
          <w:tab w:leader="none" w:pos="669"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Loan Party or any Restricted Subsidiary shall fail to make any payment (whether of principal or interest and regardless of amount) in respect of any Material Indebtedness, when and as the same shall become due and payable (after giving effect to any applicable grace period set forth in the documents governing such Material Indebtedness);</w:t>
      </w:r>
    </w:p>
    <w:p>
      <w:pPr>
        <w:spacing w:after="0" w:line="75" w:lineRule="exact"/>
        <w:rPr>
          <w:rFonts w:ascii="Arial" w:cs="Arial" w:eastAsia="Arial" w:hAnsi="Arial"/>
          <w:sz w:val="18"/>
          <w:szCs w:val="18"/>
          <w:color w:val="auto"/>
        </w:rPr>
      </w:pPr>
    </w:p>
    <w:p>
      <w:pPr>
        <w:ind w:left="4" w:right="400" w:firstLine="436"/>
        <w:spacing w:after="0" w:line="277" w:lineRule="auto"/>
        <w:tabs>
          <w:tab w:leader="none" w:pos="699"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“Termination Event” (or any other similar event) occurs under the Receivables Securitization Agreements (as “Termination Event” is defined therein);</w:t>
      </w:r>
    </w:p>
    <w:p>
      <w:pPr>
        <w:spacing w:after="0" w:line="62" w:lineRule="exact"/>
        <w:rPr>
          <w:rFonts w:ascii="Arial" w:cs="Arial" w:eastAsia="Arial" w:hAnsi="Arial"/>
          <w:sz w:val="18"/>
          <w:szCs w:val="18"/>
          <w:color w:val="auto"/>
        </w:rPr>
      </w:pPr>
    </w:p>
    <w:p>
      <w:pPr>
        <w:ind w:left="4" w:firstLine="436"/>
        <w:spacing w:after="0" w:line="257" w:lineRule="auto"/>
        <w:tabs>
          <w:tab w:leader="none" w:pos="699" w:val="left"/>
        </w:tabs>
        <w:numPr>
          <w:ilvl w:val="1"/>
          <w:numId w:val="164"/>
        </w:numPr>
        <w:rPr>
          <w:rFonts w:ascii="Arial" w:cs="Arial" w:eastAsia="Arial" w:hAnsi="Arial"/>
          <w:sz w:val="18"/>
          <w:szCs w:val="18"/>
          <w:color w:val="auto"/>
        </w:rPr>
      </w:pPr>
      <w:r>
        <w:rPr>
          <w:rFonts w:ascii="Arial" w:cs="Arial" w:eastAsia="Arial" w:hAnsi="Arial"/>
          <w:sz w:val="18"/>
          <w:szCs w:val="18"/>
          <w:color w:val="auto"/>
        </w:rPr>
        <w:t xml:space="preserve">any event or condition occurs that results in any Material Indebtedness becoming due prior to its scheduled maturity or that enables or permits (with or without the giving of notice, the lapse of time or both) the holder or holders of any such Material Indebtedness or any trustee or agent on its or their behalf to cause any such Material Indebtedness to become due, or to require the prepayment, repurchase, redemption or defeasance thereof, prior to its scheduled maturity;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(g) shall not apply to secured Indebtedness that becomes due as a result of the voluntary sale or transfer of the property or assets securing such Indebtedness;</w:t>
      </w:r>
    </w:p>
    <w:p>
      <w:pPr>
        <w:spacing w:after="0" w:line="79" w:lineRule="exact"/>
        <w:rPr>
          <w:rFonts w:ascii="Arial" w:cs="Arial" w:eastAsia="Arial" w:hAnsi="Arial"/>
          <w:sz w:val="18"/>
          <w:szCs w:val="18"/>
          <w:color w:val="auto"/>
        </w:rPr>
      </w:pPr>
    </w:p>
    <w:p>
      <w:pPr>
        <w:ind w:left="4" w:firstLine="436"/>
        <w:spacing w:after="0" w:line="273" w:lineRule="auto"/>
        <w:tabs>
          <w:tab w:leader="none" w:pos="659" w:val="left"/>
        </w:tabs>
        <w:numPr>
          <w:ilvl w:val="1"/>
          <w:numId w:val="164"/>
        </w:numPr>
        <w:rPr>
          <w:rFonts w:ascii="Arial" w:cs="Arial" w:eastAsia="Arial" w:hAnsi="Arial"/>
          <w:sz w:val="17"/>
          <w:szCs w:val="17"/>
          <w:color w:val="auto"/>
        </w:rPr>
      </w:pPr>
      <w:r>
        <w:rPr>
          <w:rFonts w:ascii="Arial" w:cs="Arial" w:eastAsia="Arial" w:hAnsi="Arial"/>
          <w:sz w:val="17"/>
          <w:szCs w:val="17"/>
          <w:color w:val="auto"/>
        </w:rPr>
        <w:t>an involuntary proceeding shall be commenced or an involuntary petition shall be filed seeking (i) liquidation, reorganization or other relief in respect of a Loan Party, a Significant Subsidiary or WESCO Receivables or its debts, or of a substantial part of its assets, under any federal, state, provincial or foreign bankruptcy, insolvency, receivership or similar law now or hereafter in effect or (ii) the appointment of a receiver, interim receiver, trustee, custodian, sequestrator, monitor, administrator, conservator or similar official for any Loan Party, any Significant Subsidiary or WESCO Receivables or for a substantial part of its assets, and, in any such case, such proceeding or petition shall continue undismissed for 60 days or an order or decree approving or ordering any of the foregoing shall be entered;</w:t>
      </w:r>
    </w:p>
    <w:p>
      <w:pPr>
        <w:spacing w:after="0" w:line="69" w:lineRule="exact"/>
        <w:rPr>
          <w:rFonts w:ascii="Arial" w:cs="Arial" w:eastAsia="Arial" w:hAnsi="Arial"/>
          <w:sz w:val="17"/>
          <w:szCs w:val="17"/>
          <w:color w:val="auto"/>
        </w:rPr>
      </w:pPr>
    </w:p>
    <w:p>
      <w:pPr>
        <w:ind w:left="4" w:right="80" w:firstLine="436"/>
        <w:spacing w:after="0" w:line="287" w:lineRule="auto"/>
        <w:tabs>
          <w:tab w:leader="none" w:pos="659" w:val="left"/>
        </w:tabs>
        <w:numPr>
          <w:ilvl w:val="1"/>
          <w:numId w:val="164"/>
        </w:numPr>
        <w:rPr>
          <w:rFonts w:ascii="Arial" w:cs="Arial" w:eastAsia="Arial" w:hAnsi="Arial"/>
          <w:sz w:val="16"/>
          <w:szCs w:val="16"/>
          <w:color w:val="auto"/>
        </w:rPr>
      </w:pPr>
      <w:r>
        <w:rPr>
          <w:rFonts w:ascii="Arial" w:cs="Arial" w:eastAsia="Arial" w:hAnsi="Arial"/>
          <w:sz w:val="16"/>
          <w:szCs w:val="16"/>
          <w:color w:val="auto"/>
        </w:rPr>
        <w:t>any Loan Party, any Significant Subsidiary or WESCO Receivables shall (i) voluntarily commence any proceeding or file any petition seeking liquidation, reorganization or other relief under any federal, state, provincial or foreign bankruptcy, insolvency, receivership or similar law now or hereafter in effect, (ii) consent to the institution of, or fail to contest in a timely and appropriate manner, any proceeding or petition described in clause</w:t>
      </w:r>
    </w:p>
    <w:p>
      <w:pPr>
        <w:spacing w:after="0" w:line="2" w:lineRule="exact"/>
        <w:rPr>
          <w:rFonts w:ascii="Arial" w:cs="Arial" w:eastAsia="Arial" w:hAnsi="Arial"/>
          <w:sz w:val="16"/>
          <w:szCs w:val="16"/>
          <w:color w:val="auto"/>
        </w:rPr>
      </w:pPr>
    </w:p>
    <w:p>
      <w:pPr>
        <w:ind w:left="4" w:right="100" w:hanging="4"/>
        <w:spacing w:after="0" w:line="253" w:lineRule="auto"/>
        <w:tabs>
          <w:tab w:leader="none" w:pos="25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of this Article, (iii) apply for or consent to the appointment of a receiver, interim receiver, trustee, custodian, sequestrator, monitor, administrator, conservator or similar official for such Loan Party, such Significant Subsidiary or WESCO Receivables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84" w:lineRule="exact"/>
        <w:rPr>
          <w:rFonts w:ascii="Arial" w:cs="Arial" w:eastAsia="Arial" w:hAnsi="Arial"/>
          <w:sz w:val="18"/>
          <w:szCs w:val="18"/>
          <w:color w:val="auto"/>
        </w:rPr>
      </w:pPr>
    </w:p>
    <w:p>
      <w:pPr>
        <w:ind w:left="4" w:right="120" w:firstLine="436"/>
        <w:spacing w:after="0" w:line="277" w:lineRule="auto"/>
        <w:tabs>
          <w:tab w:leader="none" w:pos="699"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Loan Party, any Significant Subsidiary or WESCO Receivables shall become unable, admit in writing its inability or fail generally to pay its debts as they become due;</w:t>
      </w:r>
    </w:p>
    <w:p>
      <w:pPr>
        <w:spacing w:after="0" w:line="62" w:lineRule="exact"/>
        <w:rPr>
          <w:rFonts w:ascii="Arial" w:cs="Arial" w:eastAsia="Arial" w:hAnsi="Arial"/>
          <w:sz w:val="18"/>
          <w:szCs w:val="18"/>
          <w:color w:val="auto"/>
        </w:rPr>
      </w:pPr>
    </w:p>
    <w:p>
      <w:pPr>
        <w:jc w:val="both"/>
        <w:ind w:left="4" w:firstLine="436"/>
        <w:spacing w:after="0" w:line="279" w:lineRule="auto"/>
        <w:tabs>
          <w:tab w:leader="none" w:pos="659" w:val="left"/>
        </w:tabs>
        <w:numPr>
          <w:ilvl w:val="1"/>
          <w:numId w:val="165"/>
        </w:numPr>
        <w:rPr>
          <w:rFonts w:ascii="Arial" w:cs="Arial" w:eastAsia="Arial" w:hAnsi="Arial"/>
          <w:sz w:val="17"/>
          <w:szCs w:val="17"/>
          <w:color w:val="auto"/>
        </w:rPr>
      </w:pPr>
      <w:r>
        <w:rPr>
          <w:rFonts w:ascii="Arial" w:cs="Arial" w:eastAsia="Arial" w:hAnsi="Arial"/>
          <w:sz w:val="17"/>
          <w:szCs w:val="17"/>
          <w:color w:val="auto"/>
        </w:rPr>
        <w:t>one or more judgments for the payment of money in an aggregate amount in excess of $75,000,000 (to the extent not covered by insurance as to which the relevant insurance company has not disputed coverage) shall be rendered against any Loan Party or any combination thereof and the same shall remain undischarged for a period of 30 consecutive days during which execution shall not be effectively stayed, or any action shall be legally taken by a judgment creditor to attach or levy upon any assets of any Loan Party to enforce any such judgment or any Loan</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984"/>
          </w:cols>
          <w:pgMar w:left="436" w:top="274" w:right="479" w:bottom="1440" w:gutter="0" w:footer="0" w:header="0"/>
        </w:sectPr>
      </w:pPr>
    </w:p>
    <w:bookmarkStart w:id="151" w:name="page152"/>
    <w:bookmarkEnd w:id="151"/>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 shall fail within 30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w:t>
      </w:r>
    </w:p>
    <w:p>
      <w:pPr>
        <w:spacing w:after="0" w:line="76" w:lineRule="exact"/>
        <w:rPr>
          <w:sz w:val="20"/>
          <w:szCs w:val="20"/>
          <w:color w:val="auto"/>
        </w:rPr>
      </w:pPr>
    </w:p>
    <w:p>
      <w:pPr>
        <w:ind w:right="20" w:firstLine="436"/>
        <w:spacing w:after="0" w:line="270" w:lineRule="auto"/>
        <w:tabs>
          <w:tab w:leader="none" w:pos="74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 an ERISA Event shall have occurred that, in the opinion of the Required Lenders, when taken together with all other ERISA Events that have occurred, could reasonably be expected to result in a Material Adverse Effect; or (ii) a Pension Event shall occur which, in the Administrative Agent’s determination, constitutes grounds for the termination under any applicable law, of any Canadian Pension Plan or for the appointment by the appropriate Governmental Authority of a trustee for any Canadian Pension Plan, or if any Canadian Pension Plan shall be terminated or any such trustee shall be requested or appointed, or if a Loan Party or any of its Subsidiaries is in default with respect to payments to a Multiemployer Plan or Canadian Pension Plan resulting from their complete or partial withdrawal from such Canadian Pension Plan and any such event may reasonably be expected to have a Material Adverse Effect or any Canadian Loan Party is in default of or with respect to any required contributions to a Canadian Pension Plan or a Canadian Union Plan or any Lien arises (except for contribution amounts not yet due) in connection with any Canadian Pension Plan and any such event may reasonably be expected to have a Material Adverse Effect;</w:t>
      </w:r>
    </w:p>
    <w:p>
      <w:pPr>
        <w:spacing w:after="0" w:line="72" w:lineRule="exact"/>
        <w:rPr>
          <w:rFonts w:ascii="Arial" w:cs="Arial" w:eastAsia="Arial" w:hAnsi="Arial"/>
          <w:sz w:val="17"/>
          <w:szCs w:val="17"/>
          <w:color w:val="auto"/>
        </w:rPr>
      </w:pPr>
    </w:p>
    <w:p>
      <w:pPr>
        <w:ind w:left="700" w:hanging="264"/>
        <w:spacing w:after="0"/>
        <w:tabs>
          <w:tab w:leader="none" w:pos="7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117" w:lineRule="exact"/>
        <w:rPr>
          <w:rFonts w:ascii="Arial" w:cs="Arial" w:eastAsia="Arial" w:hAnsi="Arial"/>
          <w:sz w:val="18"/>
          <w:szCs w:val="18"/>
          <w:color w:val="auto"/>
        </w:rPr>
      </w:pPr>
    </w:p>
    <w:p>
      <w:pPr>
        <w:ind w:firstLine="436"/>
        <w:spacing w:after="0" w:line="255" w:lineRule="auto"/>
        <w:tabs>
          <w:tab w:leader="none" w:pos="6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Loan Guaranty, the Canadian Guarantee or any other Guarantee shall fail to remain in full force or effect (other than in accordance with its terms) or any action shall be taken to discontinue or to assert the invalidity or unenforceability of the Loan Guaranty, the Canadian Guarantee or any other Guarantee, or any Loan Guarantor shall deny that it has any further liability under the Loan Guaranty, the Canadian Guarantee or any other Guarantee to which it is a party, or shall give notice to such effect (except, in each case, as a result of the discharge of such Loan Guarantor’s obligations under the Loan Guaranty, the Canadian Guarantee or any other Guarantee in accordance with the terms of the Loan Guaranty, the Canadian Guarantee or such other Guarantee);</w:t>
      </w:r>
    </w:p>
    <w:p>
      <w:pPr>
        <w:spacing w:after="0" w:line="84" w:lineRule="exact"/>
        <w:rPr>
          <w:rFonts w:ascii="Arial" w:cs="Arial" w:eastAsia="Arial" w:hAnsi="Arial"/>
          <w:sz w:val="18"/>
          <w:szCs w:val="18"/>
          <w:color w:val="auto"/>
        </w:rPr>
      </w:pPr>
    </w:p>
    <w:p>
      <w:pPr>
        <w:ind w:right="180" w:firstLine="436"/>
        <w:spacing w:after="0" w:line="259" w:lineRule="auto"/>
        <w:tabs>
          <w:tab w:leader="none" w:pos="6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security interest purported to be created by any Collateral Document shall cease to be, or shall be asserted by any Loan Party not to be, a valid and perfected first priority security interest in any portion of the ABL Priority Collateral having a value in excess of $75,000,000 which is purported to be covered thereby, except as permitted by the terms of this Agreement or any Collateral Document other than as a result of any action or inaction within the control of the Administrative Agent; or</w:t>
      </w:r>
    </w:p>
    <w:p>
      <w:pPr>
        <w:spacing w:after="0" w:line="78" w:lineRule="exact"/>
        <w:rPr>
          <w:rFonts w:ascii="Arial" w:cs="Arial" w:eastAsia="Arial" w:hAnsi="Arial"/>
          <w:sz w:val="18"/>
          <w:szCs w:val="18"/>
          <w:color w:val="auto"/>
        </w:rPr>
      </w:pPr>
    </w:p>
    <w:p>
      <w:pPr>
        <w:ind w:right="140" w:firstLine="436"/>
        <w:spacing w:after="0" w:line="275" w:lineRule="auto"/>
        <w:tabs>
          <w:tab w:leader="none" w:pos="69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any material provision of any Loan Document for any reason ceases to be valid, binding and enforceable in accordance with its terms (or any Loan Party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 in each case, other than in connection with a termination of such Loan Document (or, with respect to any Loan Party, the release of such Loan Party from its obligations under such Loan Document) in accordance with the terms hereof or thereof;</w:t>
      </w:r>
    </w:p>
    <w:p>
      <w:pPr>
        <w:spacing w:after="0" w:line="17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then, and in every such event (other than an event with respect to the Borrowers described in clauses (i) or (j) of this Article), and at any time thereafter during the continuance of such event, the Administrative Agent may, and at the request of the Required Lenders shall, by notice to the Borrower Representative, take either or both of the following actions, at the same or different times: (i) terminate the Revolving Commitments, and thereupon the Revolving Commitments shall terminate immediately, (ii) require the deposit of cash collateral pursuant to Section 2.06(k) hereto, or (iii) declare the Loans and other Obligations then outstanding to be due and payable in whole (or in part, in which case any Obligations not so declared to be due and payable may thereafter be declared to be due and payable), and thereupon the principal of the Loans and other Obligations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the Borrowers described in clauses (i) or (j) of this Article, the Revolving Commitments shall automatically terminate and the principal of the Loans and other Obligations then outstanding, together with accrued interest thereon and all fees and other Obligations of the Borrowers accrued hereunder, shall automatically become due and payable, without presentment, demand, protest or other notice of 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0"/>
          </w:cols>
          <w:pgMar w:left="440" w:top="274" w:right="459" w:bottom="1440" w:gutter="0" w:footer="0" w:header="0"/>
        </w:sectPr>
      </w:pPr>
    </w:p>
    <w:bookmarkStart w:id="152" w:name="page153"/>
    <w:bookmarkEnd w:id="152"/>
    <w:p>
      <w:pPr>
        <w:ind w:left="4"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kind, all of which are hereby waived by the Borrowers and the deposit of cash collateral required under Section 2.06(k) shall be automatically required. Upon the occurrence and the continuance of an Event of Default, the Administrative Agent may, and at the request of the Required Lenders shall, exercise any rights and remedies provided to it under the Loan Documents or at law or equity, including all remedies provided under the UCC and the PPSA. Notwithstanding anything herein or in any other Loan Document to the contrary, the Administrative Agent shall not deliver a notice to the U.S. Borrowers instructing such Borrowers to terminate and cease all transfers of Receivables (as defined in the Receivables Intercreditor Agreement) from the U.S. Borrowers to WESCO Receivables prior to the occurrence of one or more of the following: (A) an Event of Default under paragraphs (i), (j) or</w:t>
      </w:r>
    </w:p>
    <w:p>
      <w:pPr>
        <w:spacing w:after="0" w:line="4" w:lineRule="exact"/>
        <w:rPr>
          <w:sz w:val="20"/>
          <w:szCs w:val="20"/>
          <w:color w:val="auto"/>
        </w:rPr>
      </w:pPr>
    </w:p>
    <w:p>
      <w:pPr>
        <w:ind w:left="264" w:hanging="264"/>
        <w:spacing w:after="0"/>
        <w:tabs>
          <w:tab w:leader="none" w:pos="26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of this Article VII or (B) any declaration by the Administrative Agent that the Loans and other Obligations are due and payable pursuant to clause</w:t>
      </w:r>
    </w:p>
    <w:p>
      <w:pPr>
        <w:spacing w:after="0" w:line="32" w:lineRule="exact"/>
        <w:rPr>
          <w:rFonts w:ascii="Arial" w:cs="Arial" w:eastAsia="Arial" w:hAnsi="Arial"/>
          <w:sz w:val="16"/>
          <w:szCs w:val="16"/>
          <w:color w:val="auto"/>
        </w:rPr>
      </w:pPr>
    </w:p>
    <w:p>
      <w:pPr>
        <w:ind w:left="264" w:hanging="264"/>
        <w:spacing w:after="0"/>
        <w:tabs>
          <w:tab w:leader="none" w:pos="26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of this paragraph.</w:t>
      </w:r>
    </w:p>
    <w:p>
      <w:pPr>
        <w:spacing w:after="0" w:line="103"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 xml:space="preserve">Notwithstanding anything to the contrary in Article III or in this Article VII, during the Clean-Up Period, any representation or warranty (other than the Specified Representations and the Anixter Acquisition Agreement Representations) made by Anixter or any of its Subsidiaries in connection with the Transactions that would have been breached or inaccurate, or any other default, arising by reason of any matter or circumstance relating to Anixter or any of its Subsidiaries with respect to the Transactions (were it not for this paragraph), shall be deemed not to constitute a breach of or a default for all purposes under the Loan Documents, and for so long as the circumstances giving rise thereto (a) are capable of being remedied within the Clean-Up Period and Holdings or any of its subsidiaries is taking appropriate steps to remedy such circumstances and (b) do not have and are not reasonably likely to have a Material Adverse Effect on the business, property, operations or financial condition of Holdings and its subsidiaries, taken as a whole, or the validity or enforceability of any of the Loan Documents or the rights and remedies of the Administrative Agent and the Lender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Clean-Up Period shall not apply with respect to any representation, warranty or default in respect of the Aggregate Borrowing Base, the Canadian Borrowing Base or the U.S. Borrowing Base.</w:t>
      </w:r>
    </w:p>
    <w:p>
      <w:pPr>
        <w:spacing w:after="0" w:line="200" w:lineRule="exact"/>
        <w:rPr>
          <w:sz w:val="20"/>
          <w:szCs w:val="20"/>
          <w:color w:val="auto"/>
        </w:rPr>
      </w:pPr>
    </w:p>
    <w:p>
      <w:pPr>
        <w:spacing w:after="0" w:line="20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xml:space="preserve">ARTICLE VIII. </w:t>
      </w:r>
      <w:r>
        <w:rPr>
          <w:rFonts w:ascii="Arial" w:cs="Arial" w:eastAsia="Arial" w:hAnsi="Arial"/>
          <w:sz w:val="18"/>
          <w:szCs w:val="18"/>
          <w:u w:val="single" w:color="auto"/>
          <w:color w:val="auto"/>
        </w:rPr>
        <w:t>The Administrative Agent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Appointment of Administrative Agent.</w:t>
      </w:r>
    </w:p>
    <w:p>
      <w:pPr>
        <w:spacing w:after="0" w:line="117" w:lineRule="exact"/>
        <w:rPr>
          <w:sz w:val="20"/>
          <w:szCs w:val="20"/>
          <w:color w:val="auto"/>
        </w:rPr>
      </w:pPr>
    </w:p>
    <w:p>
      <w:pPr>
        <w:ind w:left="4" w:right="180" w:firstLine="440"/>
        <w:spacing w:after="0" w:line="279" w:lineRule="auto"/>
        <w:rPr>
          <w:sz w:val="20"/>
          <w:szCs w:val="20"/>
          <w:color w:val="auto"/>
        </w:rPr>
      </w:pPr>
      <w:r>
        <w:rPr>
          <w:rFonts w:ascii="Arial" w:cs="Arial" w:eastAsia="Arial" w:hAnsi="Arial"/>
          <w:sz w:val="17"/>
          <w:szCs w:val="17"/>
          <w:color w:val="auto"/>
        </w:rPr>
        <w:t>As of the Fourth Restatement Date, upon the consummation of the Transactions, each Existing Administrative Agent shall cease to be an “Administrative Agent,” an “Agent,” and a “Canadian Administrative Agent,” as applicable, under the Existing Credit Agreement. The Lenders, the Borrowers and Holdings hereby waive any notice requirement provided for under the Existing Credit Agreement with respect to the resignation of the Existing Administrative Agents and the appointment of Barclays as successor Administrative Agent.</w:t>
      </w:r>
    </w:p>
    <w:p>
      <w:pPr>
        <w:spacing w:after="0" w:line="171"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Each of the Lender Parties hereby irrevocably appoints the Administrative Agent as its agent hereunder and under the other Loan Documents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 Canadian Considerations.</w:t>
      </w:r>
    </w:p>
    <w:p>
      <w:pPr>
        <w:spacing w:after="0" w:line="117"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Without limiting the generality of the paragraph above, for the purposes of creating a solidarité active in accordance with Article 1541 of the Civil Code of Québec, between each Lender Party, taken individually, on the one hand, and the Administrative Agent, on the other hand, each Loan Party, each such Lender Party and the Administrative Agent acknowledge and agree with the Administrative Agent that each such Lender Party and the Administrative Agent are hereby conferred the legal status of solidary creditors of each Loan Party in respect of all Obligations, present and future, owed by each such Loan Party to the Administrative Agent and each such Lender Party hereunder and under the other Loan Documents (collectively, the “</w:t>
      </w:r>
      <w:r>
        <w:rPr>
          <w:rFonts w:ascii="Arial" w:cs="Arial" w:eastAsia="Arial" w:hAnsi="Arial"/>
          <w:sz w:val="16"/>
          <w:szCs w:val="16"/>
          <w:u w:val="single" w:color="auto"/>
          <w:color w:val="auto"/>
        </w:rPr>
        <w:t>Solidary Claim</w:t>
      </w:r>
      <w:r>
        <w:rPr>
          <w:rFonts w:ascii="Arial" w:cs="Arial" w:eastAsia="Arial" w:hAnsi="Arial"/>
          <w:sz w:val="16"/>
          <w:szCs w:val="16"/>
          <w:color w:val="auto"/>
        </w:rPr>
        <w:t>”). Each Loan Party which is not a signatory of this Agreement but is or may become a signatory to any other Loan Documents shall be deemed to have accepted the provisions contained in this paragraph by its execution of such other Loan Documents. Accordingly, but subject (for the avoidance of doubt) to Article 1542 of the Civil Code of Québec, each such Loan Party is irrevocably bound towards the Administrative Agent and each Lender Party in respect of the entire Solidary Claim of the Administrative Agent and such Lender Party. As a result of the foregoing, the parties hereto acknowledge that the Administrative Agent and each Lender Party shall at all times have a valid and effective right of action for the entire</w:t>
      </w:r>
    </w:p>
    <w:p>
      <w:pPr>
        <w:spacing w:after="0" w:line="10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84"/>
          </w:cols>
          <w:pgMar w:left="436" w:top="274" w:right="479" w:bottom="1440" w:gutter="0" w:footer="0" w:header="0"/>
        </w:sectPr>
      </w:pPr>
    </w:p>
    <w:bookmarkStart w:id="153" w:name="page154"/>
    <w:bookmarkEnd w:id="153"/>
    <w:p>
      <w:pPr>
        <w:ind w:left="4"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Solidary Claim of the Administrative Agent and such Lender Party and the right to give full acquittance for same. The parties further agree and acknowledge that the Administrative Agent’s Liens on the Collateral under the Collateral Documents shall be granted to the Administrative Agent, for its own benefit and for the benefit of the Lender Parties, as solidary creditor as hereinabove set forth.</w:t>
      </w:r>
    </w:p>
    <w:p>
      <w:pPr>
        <w:spacing w:after="0" w:line="76" w:lineRule="exact"/>
        <w:rPr>
          <w:sz w:val="20"/>
          <w:szCs w:val="20"/>
          <w:color w:val="auto"/>
        </w:rPr>
      </w:pPr>
    </w:p>
    <w:p>
      <w:pPr>
        <w:ind w:left="4" w:right="120" w:firstLine="440"/>
        <w:spacing w:after="0" w:line="282" w:lineRule="auto"/>
        <w:rPr>
          <w:sz w:val="20"/>
          <w:szCs w:val="20"/>
          <w:color w:val="auto"/>
        </w:rPr>
      </w:pPr>
      <w:r>
        <w:rPr>
          <w:rFonts w:ascii="Arial" w:cs="Arial" w:eastAsia="Arial" w:hAnsi="Arial"/>
          <w:sz w:val="16"/>
          <w:szCs w:val="16"/>
          <w:color w:val="auto"/>
        </w:rPr>
        <w:t>In addition, and without limiting any of the foregoing, for the purposes of holding any security granted by any Borrower or any other Loan Party pursuant to the laws of the Province of Quebec to secure payment of any bond issued by any Borrower or any Loan Party, each of the Lender Parties hereby irrevocably appoints and authorizes the Administrative Agent and, to the extent necessary, ratifies the appointment and authorization of the Administrative Agent, to act as the person holding the power of attorney (i.e. “fondé de pouvoir”) and hypothecary representative (in such capacity, the “</w:t>
      </w:r>
      <w:r>
        <w:rPr>
          <w:rFonts w:ascii="Arial" w:cs="Arial" w:eastAsia="Arial" w:hAnsi="Arial"/>
          <w:sz w:val="16"/>
          <w:szCs w:val="16"/>
          <w:u w:val="single" w:color="auto"/>
          <w:color w:val="auto"/>
        </w:rPr>
        <w:t>Attorney</w:t>
      </w:r>
      <w:r>
        <w:rPr>
          <w:rFonts w:ascii="Arial" w:cs="Arial" w:eastAsia="Arial" w:hAnsi="Arial"/>
          <w:sz w:val="16"/>
          <w:szCs w:val="16"/>
          <w:color w:val="auto"/>
        </w:rPr>
        <w:t>”) of the Lender Parties as contemplated under Article 2692 of the Civil Code of Québec, and to enter into, to take and to hold on its behalf, and for its benefit, any hypothec, and to exercise such powers and duties that are conferred upon the Attorney under any hypothec. Moreover, without prejudice to such appointment and authorization to act as the person holding the power of attorney as aforesaid, each of the Lender Parties hereby irrevocably appoints and authorizes the Administrative Agent (in such capacity, the “</w:t>
      </w:r>
      <w:r>
        <w:rPr>
          <w:rFonts w:ascii="Arial" w:cs="Arial" w:eastAsia="Arial" w:hAnsi="Arial"/>
          <w:sz w:val="16"/>
          <w:szCs w:val="16"/>
          <w:u w:val="single" w:color="auto"/>
          <w:color w:val="auto"/>
        </w:rPr>
        <w:t>Custodian</w:t>
      </w:r>
      <w:r>
        <w:rPr>
          <w:rFonts w:ascii="Arial" w:cs="Arial" w:eastAsia="Arial" w:hAnsi="Arial"/>
          <w:sz w:val="16"/>
          <w:szCs w:val="16"/>
          <w:color w:val="auto"/>
        </w:rPr>
        <w:t>”) to act as agent and custodian for and on behalf of the Lender Parties to hold and be the sole registered holder of any bond which may be issued under any hypothec, the whole notwithstanding Section 32 of An Act respecting the special powers of legal persons (Quebec) or any other applicable law, and to execute all related documents. Each of the Attorney and the Custodian shall: (a) have the sole and exclusive right and authority to exercise, except as may be otherwise specifically restricted by the terms hereof, all rights and remedies given to the Attorney and the Custodian (as applicable) pursuant to any hypothec, bond, pledge, applicable laws or otherwise, (b) benefit from and be subject to all provisions hereof with respect to the Administrative Agent mutatis mutandis, including, without limitation, all such provisions with respect to the liability or responsibility to and indemnification by the Lender Parties, and (c) be entitled to delegate from time to time any of its powers or duties under any hypothec, bond, or pledge on such terms and conditions as it may determine from time to time. Any person who becomes a Lender Party shall, by its execution of an Assignment and Assumption, be deemed to have consented to and confirmed:</w:t>
      </w:r>
    </w:p>
    <w:p>
      <w:pPr>
        <w:spacing w:after="0" w:line="11" w:lineRule="exact"/>
        <w:rPr>
          <w:sz w:val="20"/>
          <w:szCs w:val="20"/>
          <w:color w:val="auto"/>
        </w:rPr>
      </w:pPr>
    </w:p>
    <w:p>
      <w:pPr>
        <w:jc w:val="both"/>
        <w:ind w:left="4" w:right="160" w:hanging="4"/>
        <w:spacing w:after="0" w:line="253" w:lineRule="auto"/>
        <w:tabs>
          <w:tab w:leader="none" w:pos="21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Attorney as the person holding the power of attorney as aforesaid and to have ratified, as of the date it becomes a Lender Party, all actions taken by the Attorney in such capacity, and (ii) the Custodian as the agent and custodian as aforesaid and to have ratified, as of the date it becomes a Lender Party, all actions taken by the Custodian in such capacity. The substitution of the Administrative Agent pursuant to the provisions of this Article VIII shall also constitute the substitution of the Attorney and the Custodian.</w:t>
      </w:r>
    </w:p>
    <w:p>
      <w:pPr>
        <w:spacing w:after="0" w:line="85" w:lineRule="exact"/>
        <w:rPr>
          <w:sz w:val="20"/>
          <w:szCs w:val="20"/>
          <w:color w:val="auto"/>
        </w:rPr>
      </w:pPr>
    </w:p>
    <w:p>
      <w:pPr>
        <w:ind w:left="4" w:right="700" w:firstLine="440"/>
        <w:spacing w:after="0" w:line="308" w:lineRule="auto"/>
        <w:rPr>
          <w:sz w:val="20"/>
          <w:szCs w:val="20"/>
          <w:color w:val="auto"/>
        </w:rPr>
      </w:pPr>
      <w:r>
        <w:rPr>
          <w:rFonts w:ascii="Arial" w:cs="Arial" w:eastAsia="Arial" w:hAnsi="Arial"/>
          <w:sz w:val="17"/>
          <w:szCs w:val="17"/>
          <w:color w:val="auto"/>
        </w:rPr>
        <w:t xml:space="preserve">All services rendered in Canada under this Agreement or any other Loan Document to be performed by the Administrative Agent will be performed by a Canadian resident for purposes of the ITA or an authorized foreign bank for purposes of the </w:t>
      </w:r>
      <w:r>
        <w:rPr>
          <w:rFonts w:ascii="Arial" w:cs="Arial" w:eastAsia="Arial" w:hAnsi="Arial"/>
          <w:sz w:val="17"/>
          <w:szCs w:val="17"/>
          <w:i w:val="1"/>
          <w:iCs w:val="1"/>
          <w:color w:val="auto"/>
        </w:rPr>
        <w:t>Bank Act</w:t>
      </w:r>
      <w:r>
        <w:rPr>
          <w:rFonts w:ascii="Arial" w:cs="Arial" w:eastAsia="Arial" w:hAnsi="Arial"/>
          <w:sz w:val="17"/>
          <w:szCs w:val="17"/>
          <w:color w:val="auto"/>
        </w:rPr>
        <w:t xml:space="preserve"> (Canada).</w:t>
      </w:r>
    </w:p>
    <w:p>
      <w:pPr>
        <w:spacing w:after="0" w:line="3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 Rights as Lender Unimpaired.</w:t>
      </w:r>
    </w:p>
    <w:p>
      <w:pPr>
        <w:spacing w:after="0" w:line="117"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Loan Parties or any Subsidiary of a Loan Party or other Affiliate thereof as if it were not the Administrative Agent hereunder.</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(d) Limitation on Obligations and Duties of the Administrative Agent.</w:t>
      </w:r>
    </w:p>
    <w:p>
      <w:pPr>
        <w:spacing w:after="0" w:line="117"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under the circumstances as provided in Section 9.02), and (c) except as expressly set forth in the Loan Documents, the Administrative Agent shall not have any duty to disclose, and shall not be liable for the failure to disclose, any information relating to any Loan Party or any of the Subsidiaries that is communicated to</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04"/>
          </w:cols>
          <w:pgMar w:left="436" w:top="274" w:right="459" w:bottom="1440" w:gutter="0" w:footer="0" w:header="0"/>
        </w:sectPr>
      </w:pPr>
    </w:p>
    <w:bookmarkStart w:id="154" w:name="page155"/>
    <w:bookmarkEnd w:id="154"/>
    <w:p>
      <w:pPr>
        <w:ind w:left="4"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9.02) or in the absence of its own bad faith, gross negligence or willful misconduct. The Administrative Agent shall be deemed not to have knowledge of any Default unless and until written notice thereof is given to the Administrative Agent by the Borrower Representative or a Lender Party, and the Administrative Agent shall not be responsible for or have any duty to ascertain or inquire into</w:t>
      </w:r>
    </w:p>
    <w:p>
      <w:pPr>
        <w:spacing w:after="0" w:line="2" w:lineRule="exact"/>
        <w:rPr>
          <w:sz w:val="20"/>
          <w:szCs w:val="20"/>
          <w:color w:val="auto"/>
        </w:rPr>
      </w:pPr>
    </w:p>
    <w:p>
      <w:pPr>
        <w:ind w:left="224" w:hanging="224"/>
        <w:spacing w:after="0"/>
        <w:tabs>
          <w:tab w:leader="none" w:pos="22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any statement, warranty or representation made in or in connection with any Loan Document, (ii) the contents of any certificate, report or other</w:t>
      </w:r>
    </w:p>
    <w:p>
      <w:pPr>
        <w:spacing w:after="0" w:line="20" w:lineRule="exact"/>
        <w:rPr>
          <w:rFonts w:ascii="Arial" w:cs="Arial" w:eastAsia="Arial" w:hAnsi="Arial"/>
          <w:sz w:val="17"/>
          <w:szCs w:val="17"/>
          <w:color w:val="auto"/>
        </w:rPr>
      </w:pPr>
    </w:p>
    <w:p>
      <w:pPr>
        <w:ind w:left="4" w:right="140"/>
        <w:spacing w:after="0" w:line="270" w:lineRule="auto"/>
        <w:rPr>
          <w:rFonts w:ascii="Arial" w:cs="Arial" w:eastAsia="Arial" w:hAnsi="Arial"/>
          <w:sz w:val="17"/>
          <w:szCs w:val="17"/>
          <w:color w:val="auto"/>
        </w:rPr>
      </w:pPr>
      <w:r>
        <w:rPr>
          <w:rFonts w:ascii="Arial" w:cs="Arial" w:eastAsia="Arial" w:hAnsi="Arial"/>
          <w:sz w:val="17"/>
          <w:szCs w:val="17"/>
          <w:color w:val="auto"/>
        </w:rPr>
        <w:t>document delivered hereunder or in connection with any Loan Document, (iii) the performance or observance of any of the covenants, agreements or other terms or conditions set forth in any Loan Document, (iv) the adequacy, accuracy or completeness of any information (whether oral or written) set forth or in connection with any Loan Document, (v) the legality, the validity, enforceability, effectiveness, adequacy or genuineness of any Loan Document or any other agreement, instrument or document, (vi) the creation, perfection or priority of Liens on the Collateral or the existence of the Collateral, or (vii) the satisfaction of any condition set forth in Article IV or elsewhere in any Loan Document, other than to confirm receipt of items expressly required to be delivered to the Administrative Agent.</w:t>
      </w:r>
    </w:p>
    <w:p>
      <w:pPr>
        <w:spacing w:after="0" w:line="178"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The Administrative Agent shall be entitled to rely upon, and shall not incur any liability for relying upon, any representation, notice, request, certificate, consent, statement, instrument, document or other writing or communication believed by it to be genuine, correct and to have been authorized, signed or sent by the proper Person. The Administrative Agent also may rely upon any statement made to it orally or by telephone and believed by it to be made or authorized by the proper Person, and shall not incur any liability for relying thereon.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78"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The Administrative Agent may perform any and all its duties and exercise its rights and powers by or through any one or more sub-agents appointed by the Administrative Agent. The Administrative Agent and any such sub-agent thereof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w:t>
      </w:r>
    </w:p>
    <w:p>
      <w:pPr>
        <w:spacing w:after="0" w:line="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 Resignation of Administrative Agent.</w:t>
      </w:r>
    </w:p>
    <w:p>
      <w:pPr>
        <w:spacing w:after="0" w:line="117" w:lineRule="exact"/>
        <w:rPr>
          <w:sz w:val="20"/>
          <w:szCs w:val="20"/>
          <w:color w:val="auto"/>
        </w:rPr>
      </w:pPr>
    </w:p>
    <w:p>
      <w:pPr>
        <w:ind w:left="4" w:firstLine="440"/>
        <w:spacing w:after="0" w:line="267" w:lineRule="auto"/>
        <w:rPr>
          <w:sz w:val="20"/>
          <w:szCs w:val="20"/>
          <w:color w:val="auto"/>
        </w:rPr>
      </w:pPr>
      <w:r>
        <w:rPr>
          <w:rFonts w:ascii="Arial" w:cs="Arial" w:eastAsia="Arial" w:hAnsi="Arial"/>
          <w:sz w:val="17"/>
          <w:szCs w:val="17"/>
          <w:color w:val="auto"/>
        </w:rPr>
        <w:t xml:space="preserve">Subject to the appointment and acceptance of a successor Administrative Agent as provided in this paragraph, the Administrative Agent may resign at any time by notifying the Lenders, the Issuing Banks and the Borrower Representative. Upon any such resignation, the Required Lenders shall have the right, in consultation with the Borrowers (and, so long as no Event of Default described in clauses (a), (i), (j) or (k) of Article VII shall have occurred and be continuing, subject to the prior written consent of the Borrower Representative (such consent not to be unreasonably withheld or delayed)),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 Parties, appoint a successor Administrative Agent which shall be a commercial bank or an Affiliate of any such commercial bank and shall be reasonably acceptable to the Borrowers. Upon the acceptance of its appointment as Administrative Agent hereunder by a successor, such successor shall succeed to and become vested with all the rights, powers, privileges, obligations and duties of the retiring (or retired) Administrative Agent and the retiring Administrative Agent shall be discharged from its duties and obligations hereunder. The fees payable by the Borrowers to a successor Administrative Agent shall be the same as those payable to its predecessor unless otherwise agreed between the Borrowers and such successor. Notwithstanding the foregoing,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Borrowers, whereupon, on the date of effectiveness of such resignation stated in such notice, (a) the retiring Administrative Agent shall be discharged from its duties and obligations hereunder and under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for purposes of maintaining any security interest and hypothecs granted to the Administrative Agent under any Collateral Document for the benefit of</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4"/>
          </w:cols>
          <w:pgMar w:left="436" w:top="274" w:right="459" w:bottom="1440" w:gutter="0" w:footer="0" w:header="0"/>
        </w:sectPr>
      </w:pPr>
    </w:p>
    <w:bookmarkStart w:id="155" w:name="page156"/>
    <w:bookmarkEnd w:id="15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Lender Parties, the retiring Administrative Agent shall continue to be vested with such security interest and hypothecs as collateral agent for the benefit of the Lender Parties and, in the case of any Collateral in the possession of the Administrative Agent shall continue to hold such Collateral, in each case until such time as a successor Administrative Agent is appointed and accepts such appointment in accordance with this paragraph (it being understood and agreed that the retiring Administrative Agent shall have no duly or obligation to take any further action under any Collateral Document, including any action required to maintain the perfection of any such security interest), and (b) the Required Lenders shall succeed to and become vested with all the rights, powers, privileges and duties of the retiring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all payments required to be made hereunder or under any other Loan Document to the Administrative Agent for the account of any Person other than the Administrative Agent shall be made directly to such Person and (ii) all notices and other communications required or contemplated to be given or made to the Administrative Agent shall also directly be given or made to each Lender and each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it was acting as Administrative Agent and in respect of the matters referred to in the proviso under clause (a) above.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 Additional Lender Acknowledgements.</w:t>
      </w:r>
    </w:p>
    <w:p>
      <w:pPr>
        <w:spacing w:after="0" w:line="117"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Each Lender Party acknowledges that it has, independently and without reliance upon the Administrative Agent or any other Lender and based on such documents and information as it has deemed appropriate, made its own credit analysis and decision to enter into this Agreement. Each Lender Party also acknowledges that it will, independently and without reliance upon the Administrative Agent or any other Lender Party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Each Lender hereby agrees that (a) it has requested a copy of each Report prepared by or on behalf of the Administrative Agent; (b) the Administrative Agent (i) makes no representation or warranty, express or implied, as to the completeness or accuracy of any Report or any of the information contained therein or any inaccuracy or omission contained in or relating to a Report and (ii) shall not be liable for any information contained in any Report; (c)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 no obligation to update, correct or supplement the Reports; (d) it will keep all Reports confidential and strictly for its internal use, not share the Report with any Loan Party or any other Person except as otherwise permitted pursuant to this Agreement; and (e) without limiting the generality of any other indemnification provision contained in this Agreement, it will pay and protect, and indemnify, defend, and hold the Administrative Agent and any such other Person preparing a Report harmless from and against, the claims, actions, proceedings, damages, costs, expenses, and other amounts (including reasonable attorney fees) incurred by as the direct or indirect result of any third parties who might obtain all or part of any Report through the indemnifying Lender.</w:t>
      </w:r>
    </w:p>
    <w:p>
      <w:pPr>
        <w:spacing w:after="0" w:line="182"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The Bookrunners and the Lead Arrangers shall not have any right, power, obligation, liability, responsibility or duty under this Agreement, except in their capacities, as applicable, as the Administrative Agent, a Lender or an Issuing Bank hereunder other than those applicable to all Lenders as such. Without limiting the foregoing, none of such Lenders shall have or be deemed to have a fiduciary relationship with any Lender. Each Lender hereby makes the same acknowledgments with respect to the relevant Lenders in their respective capacities as Bookrunners and Lead Arrangers, as it makes with respect to the Administrative Agent in the preceding paragraph.</w:t>
      </w:r>
    </w:p>
    <w:p>
      <w:pPr>
        <w:spacing w:after="0" w:line="176"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00"/>
          </w:cols>
          <w:pgMar w:left="440" w:top="274" w:right="459" w:bottom="1440" w:gutter="0" w:footer="0" w:header="0"/>
        </w:sectPr>
      </w:pPr>
    </w:p>
    <w:bookmarkStart w:id="156" w:name="page157"/>
    <w:bookmarkEnd w:id="156"/>
    <w:p>
      <w:pPr>
        <w:ind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in its capacity as such, is a “representative” of the Secured Parties within the meaning of the term “secured party” as defined in the New York Uniform Commercial Code. Each Lender authorizes the Administrative Agent to enter into each of the Collateral Documents to which it is a party and to take all action contemplated by such documents. Each Lender agrees that no Secured Party (other than the Administrative Agent) shall have the right individually to seek to realize upon the security granted by any Collateral Document, it being understood and agreed that such rights and remedies may be exercised solely by the Administrative Agent for the benefit of the Lender Parties upon the terms of the Collateral Documents. In the event that any Collateral is hereafter pledged by any Person as collateral security for the Secured Obligations, the Administrative Agent is hereby authorized, and hereby granted a power of attorney, to execute and deliver on behalf of the Lender Parties any Loan Documents necessary or appropriate to grant and perfect a Lien on such Collateral in favor of the Administrative Agent on behalf of the Lender Parties.</w:t>
      </w:r>
    </w:p>
    <w:p>
      <w:pPr>
        <w:spacing w:after="0" w:line="16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Each of the Lender Parties hereby agrees that the Administrative Agent may enter into any intercreditor agreement and/or subordination agreement pursuant to, contemplated by or as requested by the Loan Parties in connection with the incurrence of debt and/or liens permitted, the terms of this Credit Agreement (including with respect to Indebtedness permitted pursuant to Section 6.01) on its behalf and agrees to be bound by the terms thereof.</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 Erroneous Payments.</w:t>
      </w:r>
    </w:p>
    <w:p>
      <w:pPr>
        <w:spacing w:after="0" w:line="117"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Each Lender and each Issuing Bank (and each Participant of any of the foregoing, by its acceptance of a participation) hereby acknowledges and agrees that if the Administrative Agent notifies such Lender or Issuing Bank that the Administrative Agent has determined in its sole discretion that any funds (or any portion thereof) received by such Lender or Issuing Bank (any of the foregoing, a “</w:t>
      </w:r>
      <w:r>
        <w:rPr>
          <w:rFonts w:ascii="Arial" w:cs="Arial" w:eastAsia="Arial" w:hAnsi="Arial"/>
          <w:sz w:val="17"/>
          <w:szCs w:val="17"/>
          <w:u w:val="single" w:color="auto"/>
          <w:color w:val="auto"/>
        </w:rPr>
        <w:t>Payment Recipient</w:t>
      </w:r>
      <w:r>
        <w:rPr>
          <w:rFonts w:ascii="Arial" w:cs="Arial" w:eastAsia="Arial" w:hAnsi="Arial"/>
          <w:sz w:val="17"/>
          <w:szCs w:val="17"/>
          <w:color w:val="auto"/>
        </w:rPr>
        <w:t>”) from the Administrative Agent (or any of its Affiliates) were erroneously transmitted to, or otherwise erroneously or mistakenly received by, such Payment Recipient (whether or not known to such Payment Recipient) (whether as a payment, prepayment or repayment of principal, interest, fees or otherwise; individually and collectively, a “</w:t>
      </w:r>
      <w:r>
        <w:rPr>
          <w:rFonts w:ascii="Arial" w:cs="Arial" w:eastAsia="Arial" w:hAnsi="Arial"/>
          <w:sz w:val="17"/>
          <w:szCs w:val="17"/>
          <w:u w:val="single" w:color="auto"/>
          <w:color w:val="auto"/>
        </w:rPr>
        <w:t>Payment</w:t>
      </w:r>
      <w:r>
        <w:rPr>
          <w:rFonts w:ascii="Arial" w:cs="Arial" w:eastAsia="Arial" w:hAnsi="Arial"/>
          <w:sz w:val="17"/>
          <w:szCs w:val="17"/>
          <w:color w:val="auto"/>
        </w:rPr>
        <w:t>”) and demands the return of such Payment, such Payment Recipient shall promptly, but in no event later than one Business Day thereafter, return to the Administrative Agent the amount of any such Payment as to which such a demand was made. A notice of the Administrative Agent to any Payment Recipient under this Section shall be conclusive, absent manifest error.</w:t>
      </w:r>
    </w:p>
    <w:p>
      <w:pPr>
        <w:spacing w:after="0" w:line="178"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Without limitation of the preceding paragraph, each Payment Recipient further acknowledges and agrees that if such Payment Recipient receives a Payment from the Administrative Agent (or any of its Affiliates) (x) that is in an amount, or on a date different from the amount and/or date specified in a notice of payment sent by the Administrative Agent (or any of its Affiliates) with respect to such Payment (a “</w:t>
      </w:r>
      <w:r>
        <w:rPr>
          <w:rFonts w:ascii="Arial" w:cs="Arial" w:eastAsia="Arial" w:hAnsi="Arial"/>
          <w:sz w:val="16"/>
          <w:szCs w:val="16"/>
          <w:u w:val="single" w:color="auto"/>
          <w:color w:val="auto"/>
        </w:rPr>
        <w:t>Payment Notice</w:t>
      </w:r>
      <w:r>
        <w:rPr>
          <w:rFonts w:ascii="Arial" w:cs="Arial" w:eastAsia="Arial" w:hAnsi="Arial"/>
          <w:sz w:val="16"/>
          <w:szCs w:val="16"/>
          <w:color w:val="auto"/>
        </w:rPr>
        <w:t>”), (y) that was not preceded or accompanied by a Payment Notice, or (z) that such Payment Recipient otherwise becomes aware was transmitted, or received, in error or by mistake (in whole or in part), in each case, it understands and agrees at the time of receipt of such Payment that an error has been made (and that it is deemed to have knowledge of such error) with respect to such Payment. Each Payment Recipient agrees that, in each such case, it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w:t>
      </w:r>
    </w:p>
    <w:p>
      <w:pPr>
        <w:spacing w:after="0" w:line="165"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Any Payment required to be returned by a Payment Recipient under this Section shall be made in same-day funds in the currency so received, together with interest thereon in respect of each day from and including the date such Payment (or portion thereof) was received by such Payment Recipient to the date such amount is repaid to the Administrative Agent at the greater of the Federal Funds Effective Rate and a rate determined by the Administrative Agent in accordance with banking industry rules on interbank compensation from time to time in effect. Each Payment Recipient hereby agrees that it shall not assert and, to the fullest extent permitted by applicable law, hereby waives, any right to retain such Payment, and any claim, counterclaim, defense or right of set-off or recoupment or similar right to any demand by the Administrative Agent for the return of any Payment received, including without limitation any defense based on “discharge for value” or any similar doctrine.</w:t>
      </w:r>
    </w:p>
    <w:p>
      <w:pPr>
        <w:spacing w:after="0" w:line="17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Borrower and each other Subsidiary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440" w:top="274" w:right="459" w:bottom="1440" w:gutter="0" w:footer="0" w:header="0"/>
        </w:sectPr>
      </w:pPr>
    </w:p>
    <w:bookmarkStart w:id="157" w:name="page158"/>
    <w:bookmarkEnd w:id="157"/>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erroneous Payment shall not pay, prepay, repay, discharge or otherwise satisfy any Obligations owed by the Borrower or any other Subsidiary except, in each case, to the extent such erroneous Payment is, and with respect to the amount of such erroneous Payment that is, comprised of funds of the Borrower or any other Subsidiary.</w:t>
      </w:r>
    </w:p>
    <w:p>
      <w:pPr>
        <w:spacing w:after="0" w:line="184"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Each party’s obligations, agreements and waivers under this Section shall survive the resignation or replacement of the Administrative Agent, any transfer of rights or obligations by, or the replacement of, a Lender or Issuing Bank, the termination of the Aggregate Revolving Commitments and/or the repayment, satisfaction or discharge of all Obligations (or any portion thereof) under any Loan Document.</w:t>
      </w:r>
    </w:p>
    <w:p>
      <w:pPr>
        <w:spacing w:after="0" w:line="16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Notwithstanding anything to the contrary herein or in any other Loan Document, this Section will not create any additional obligations of the Loan Parties under the Loan Documents or otherwise increase or alter the Obligations.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IX.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facsimile or electronic mail, as follows:</w:t>
      </w:r>
    </w:p>
    <w:p>
      <w:pPr>
        <w:spacing w:after="0" w:line="7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 if to any Loan Party, to the Borrower Representative at:</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WESCO Distribution, Inc.</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Suite 700</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225 West Station Square Drive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Pittsburgh, PA 15219</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Email: BBegg@wesco.com</w:t>
      </w:r>
    </w:p>
    <w:p>
      <w:pPr>
        <w:spacing w:after="0" w:line="10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with copies to:</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WESCO Distribution, Inc.</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Suite 700</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225 West Station Square Drive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Pittsburgh, PA 15219</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Email: DLazzaris@wesco.com</w:t>
      </w:r>
    </w:p>
    <w:p>
      <w:pPr>
        <w:spacing w:after="0" w:line="10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Jones Day</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901 Lakeside Avenue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Cleveland, OH 44114-1190</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Kevin Samuels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Email: kmsamuels@jonesday.com</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(ii) if to the Administrative Agent or the Swingline Lender, to:</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Barclays Bank PLC</w:t>
      </w:r>
    </w:p>
    <w:p>
      <w:pPr>
        <w:ind w:left="1380"/>
        <w:spacing w:after="0" w:line="193" w:lineRule="auto"/>
        <w:rPr>
          <w:sz w:val="20"/>
          <w:szCs w:val="20"/>
          <w:color w:val="auto"/>
        </w:rPr>
      </w:pPr>
      <w:r>
        <w:rPr>
          <w:rFonts w:ascii="Arial" w:cs="Arial" w:eastAsia="Arial" w:hAnsi="Arial"/>
          <w:sz w:val="18"/>
          <w:szCs w:val="18"/>
          <w:color w:val="auto"/>
        </w:rPr>
        <w:t>745 Seventh Avenue, 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New York, NY 10019</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Arup Ghosh</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Email: arup.ghosh@barclays.com</w:t>
      </w:r>
    </w:p>
    <w:p>
      <w:pPr>
        <w:spacing w:after="0" w:line="103" w:lineRule="exact"/>
        <w:rPr>
          <w:sz w:val="20"/>
          <w:szCs w:val="20"/>
          <w:color w:val="auto"/>
        </w:rPr>
      </w:pPr>
    </w:p>
    <w:p>
      <w:pPr>
        <w:ind w:left="440" w:right="20" w:firstLine="419"/>
        <w:spacing w:after="0" w:line="277" w:lineRule="auto"/>
        <w:tabs>
          <w:tab w:leader="none" w:pos="117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to any other Lender or any Issuing Bank, to it at its address, facsimile number or electronic mail address set forth in its Administrative Questionnaire or in any other writing delivered by any such Person to the Administrative Agent.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00"/>
          </w:cols>
          <w:pgMar w:left="440" w:top="274" w:right="459" w:bottom="1440" w:gutter="0" w:footer="0" w:header="0"/>
        </w:sectPr>
      </w:pPr>
    </w:p>
    <w:bookmarkStart w:id="158" w:name="page159"/>
    <w:bookmarkEnd w:id="158"/>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such notices and other communications (i) sent by hand or overnight courier service, or mailed by certified or registered mail, shall be deemed to have been given when received, or (ii) sent by facsimile shall be deemed to have been given when 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not given during normal business hours of the recipient, such notice or communication shall be deemed to have been given at the opening of business on the next Business Day of the recipient, or (iii) delivered through Electronic Systems to the extent provided in paragraph (b) below shall be effective as provided in such paragraph.</w:t>
      </w:r>
    </w:p>
    <w:p>
      <w:pPr>
        <w:spacing w:after="0" w:line="80" w:lineRule="exact"/>
        <w:rPr>
          <w:sz w:val="20"/>
          <w:szCs w:val="20"/>
          <w:color w:val="auto"/>
        </w:rPr>
      </w:pPr>
    </w:p>
    <w:p>
      <w:pPr>
        <w:ind w:right="20" w:firstLine="436"/>
        <w:spacing w:after="0" w:line="269" w:lineRule="auto"/>
        <w:tabs>
          <w:tab w:leader="none" w:pos="695"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Notices and other communications to the Lenders hereunder may be delivered or furnished by Electronic Systems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pursuant to Article II or to compliance or Default certificates delivered pursuant to Section 5.01 or unless otherwise agreed by the Administrative Agent and the applicable Lender. Each of the Administrative Agent and the Borrower Representative (on behalf of the Loan Parties) may, in its discretion, agree to accept notices and other communications to it hereunder by Electronic Systems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(b)(i) of notification that such notice or communication is available and identifying the website address therefor.</w:t>
      </w:r>
    </w:p>
    <w:p>
      <w:pPr>
        <w:spacing w:after="0" w:line="73" w:lineRule="exact"/>
        <w:rPr>
          <w:rFonts w:ascii="Arial" w:cs="Arial" w:eastAsia="Arial" w:hAnsi="Arial"/>
          <w:sz w:val="17"/>
          <w:szCs w:val="17"/>
          <w:color w:val="auto"/>
        </w:rPr>
      </w:pPr>
    </w:p>
    <w:p>
      <w:pPr>
        <w:ind w:right="380" w:firstLine="436"/>
        <w:spacing w:after="0" w:line="277" w:lineRule="auto"/>
        <w:tabs>
          <w:tab w:leader="none" w:pos="68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party hereto may change its address, electronic mail address or facsimile number for notices and other communications hereunder by notice to the other parties hereto.</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Electronic Systems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00" w:firstLine="419"/>
        <w:spacing w:after="0" w:line="311" w:lineRule="auto"/>
        <w:tabs>
          <w:tab w:leader="none" w:pos="1078" w:val="left"/>
        </w:tabs>
        <w:numPr>
          <w:ilvl w:val="1"/>
          <w:numId w:val="172"/>
        </w:numPr>
        <w:rPr>
          <w:rFonts w:ascii="Arial" w:cs="Arial" w:eastAsia="Arial" w:hAnsi="Arial"/>
          <w:sz w:val="16"/>
          <w:szCs w:val="16"/>
          <w:color w:val="auto"/>
        </w:rPr>
      </w:pPr>
      <w:r>
        <w:rPr>
          <w:rFonts w:ascii="Arial" w:cs="Arial" w:eastAsia="Arial" w:hAnsi="Arial"/>
          <w:sz w:val="16"/>
          <w:szCs w:val="16"/>
          <w:color w:val="auto"/>
        </w:rPr>
        <w:t>Each Loan Party agrees that the Administrative Agent may, but shall not be obligated to, make Communications (as defined below) available to the Issuing Bank and the other Lenders by posting the Communications on Debt Domain, Intralinks, Syndtrak, ClearPar or any other electronic system chosen by the Administrative Agent to be its electronic transmission system (collectively, an “</w:t>
      </w:r>
      <w:r>
        <w:rPr>
          <w:rFonts w:ascii="Arial" w:cs="Arial" w:eastAsia="Arial" w:hAnsi="Arial"/>
          <w:sz w:val="16"/>
          <w:szCs w:val="16"/>
          <w:u w:val="single" w:color="auto"/>
          <w:color w:val="auto"/>
        </w:rPr>
        <w:t>Electronic System</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right="20" w:firstLine="436"/>
        <w:spacing w:after="0" w:line="254" w:lineRule="auto"/>
        <w:tabs>
          <w:tab w:leader="none" w:pos="68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 Although the Electronic System and its primary web portal are secured with generally-applicable security procedures and policies implemented or modified by the Administrative Agent from time to time (including, as of the Fourth Restatement Date, a user ID/password authorization system) and the Electronic System is secured through a per-deal authorization method whereby each user may access the Electronic System only on a deal-by-deal basis, each of the Lenders, the Issuing Bank and each Borrower acknowledges and agrees that the distribution of material through an electronic medium is not necessarily secure, that the Administrative Agent is not responsible for approving or vetting the representatives or contacts of any Lender that are added to the Electronic System, and that there may be confidentiality and other risks associated with such distribution. Each of the Lenders, the Issuing Bank and each Borrower hereby approves distribution of the Communications through the Electronic System and understands and assumes the risks of such distribution.</w:t>
      </w:r>
    </w:p>
    <w:p>
      <w:pPr>
        <w:spacing w:after="0" w:line="83" w:lineRule="exact"/>
        <w:rPr>
          <w:rFonts w:ascii="Arial" w:cs="Arial" w:eastAsia="Arial" w:hAnsi="Arial"/>
          <w:sz w:val="18"/>
          <w:szCs w:val="18"/>
          <w:color w:val="auto"/>
        </w:rPr>
      </w:pPr>
    </w:p>
    <w:p>
      <w:pPr>
        <w:ind w:left="440" w:firstLine="419"/>
        <w:spacing w:after="0" w:line="289" w:lineRule="auto"/>
        <w:tabs>
          <w:tab w:leader="none" w:pos="1128" w:val="left"/>
        </w:tabs>
        <w:numPr>
          <w:ilvl w:val="1"/>
          <w:numId w:val="173"/>
        </w:numPr>
        <w:rPr>
          <w:rFonts w:ascii="Arial" w:cs="Arial" w:eastAsia="Arial" w:hAnsi="Arial"/>
          <w:sz w:val="16"/>
          <w:szCs w:val="16"/>
          <w:color w:val="auto"/>
        </w:rPr>
      </w:pPr>
      <w:r>
        <w:rPr>
          <w:rFonts w:ascii="Arial" w:cs="Arial" w:eastAsia="Arial" w:hAnsi="Arial"/>
          <w:sz w:val="16"/>
          <w:szCs w:val="16"/>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have any liability to the Borrowers or the other Loan Parties, any Lender, the Issuing Bank or any other Person or entity for damages of any kind, including direct or indirect, special, incidental or consequential damages, losses or expenses (whether in tort, contract or otherwise) arising out of any Borrower’s, any Loan Party’s or the Administrative Agent’s transmission of communications through an Electronic System. “</w:t>
      </w:r>
      <w:r>
        <w:rPr>
          <w:rFonts w:ascii="Arial" w:cs="Arial" w:eastAsia="Arial" w:hAnsi="Arial"/>
          <w:sz w:val="16"/>
          <w:szCs w:val="16"/>
          <w:u w:val="single" w:color="auto"/>
          <w:color w:val="auto"/>
        </w:rPr>
        <w:t>Communications</w:t>
      </w:r>
      <w:r>
        <w:rPr>
          <w:rFonts w:ascii="Arial" w:cs="Arial" w:eastAsia="Arial" w:hAnsi="Arial"/>
          <w:sz w:val="16"/>
          <w:szCs w:val="16"/>
          <w:color w:val="auto"/>
        </w:rPr>
        <w:t>” means, collectively, any notice, demand, communication, information, document or other material provided by or on behalf of any Loan Party pursuant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980"/>
          </w:cols>
          <w:pgMar w:left="440" w:top="274" w:right="479" w:bottom="1440" w:gutter="0" w:footer="0" w:header="0"/>
        </w:sectPr>
      </w:pPr>
    </w:p>
    <w:bookmarkStart w:id="159" w:name="page160"/>
    <w:bookmarkEnd w:id="159"/>
    <w:p>
      <w:pPr>
        <w:ind w:left="444"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any Loan Document or the transactions contemplated therein which is distributed by the Administrative Agent, any Lender or the Issuing Bank by means of electronic communications pursuant to this Section, including through an Electronic System.</w:t>
      </w:r>
    </w:p>
    <w:p>
      <w:pPr>
        <w:spacing w:after="0" w:line="62" w:lineRule="exact"/>
        <w:rPr>
          <w:sz w:val="20"/>
          <w:szCs w:val="20"/>
          <w:color w:val="auto"/>
        </w:rPr>
      </w:pPr>
    </w:p>
    <w:p>
      <w:pPr>
        <w:ind w:left="444" w:right="140" w:firstLine="419"/>
        <w:spacing w:after="0" w:line="257" w:lineRule="auto"/>
        <w:tabs>
          <w:tab w:leader="none" w:pos="118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Each Lender and Issuing Bank agrees that notice to it (as provided in the next sentence) specifying that Communications have been posted to the Electronic System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79" w:lineRule="exact"/>
        <w:rPr>
          <w:rFonts w:ascii="Arial" w:cs="Arial" w:eastAsia="Arial" w:hAnsi="Arial"/>
          <w:sz w:val="18"/>
          <w:szCs w:val="18"/>
          <w:color w:val="auto"/>
        </w:rPr>
      </w:pPr>
    </w:p>
    <w:p>
      <w:pPr>
        <w:ind w:left="444" w:right="380" w:firstLine="419"/>
        <w:spacing w:after="0" w:line="263" w:lineRule="auto"/>
        <w:tabs>
          <w:tab w:leader="none" w:pos="117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Each of the Lenders, Issuing Bank and each Borrower agrees that the Administrative Agent may, but (except as may be required by applicable law) shall not be obligated to, store the Communications on the Electronic System in accordance with the Administrative Agent’s generally applicable document retention procedures and policies.</w:t>
      </w:r>
    </w:p>
    <w:p>
      <w:pPr>
        <w:spacing w:after="0" w:line="75" w:lineRule="exact"/>
        <w:rPr>
          <w:rFonts w:ascii="Arial" w:cs="Arial" w:eastAsia="Arial" w:hAnsi="Arial"/>
          <w:sz w:val="18"/>
          <w:szCs w:val="18"/>
          <w:color w:val="auto"/>
        </w:rPr>
      </w:pPr>
    </w:p>
    <w:p>
      <w:pPr>
        <w:ind w:left="444" w:right="960" w:firstLine="419"/>
        <w:spacing w:after="0" w:line="277" w:lineRule="auto"/>
        <w:tabs>
          <w:tab w:leader="none" w:pos="112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any Lender or Issuing Bank to give any notice or other communication pursuant to any Loan Document in any other manner specified in such Loan Document.</w:t>
      </w:r>
    </w:p>
    <w:p>
      <w:pPr>
        <w:spacing w:after="0" w:line="170" w:lineRule="exact"/>
        <w:rPr>
          <w:sz w:val="20"/>
          <w:szCs w:val="20"/>
          <w:color w:val="auto"/>
        </w:rPr>
      </w:pPr>
    </w:p>
    <w:p>
      <w:pPr>
        <w:ind w:left="4" w:right="80" w:firstLine="440"/>
        <w:spacing w:after="0" w:line="270"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Waivers; Amendments</w:t>
      </w:r>
      <w:r>
        <w:rPr>
          <w:rFonts w:ascii="Arial" w:cs="Arial" w:eastAsia="Arial" w:hAnsi="Arial"/>
          <w:sz w:val="17"/>
          <w:szCs w:val="17"/>
          <w:color w:val="auto"/>
        </w:rPr>
        <w:t>. (a) No failure or delay by any Lender Party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Lenders Parties,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the issuance of a Letter of Credit shall not be construed as a waiver of any Default, regardless of whether any Lender Party may have had notice or knowledge of such Default at the time.</w:t>
      </w:r>
    </w:p>
    <w:p>
      <w:pPr>
        <w:spacing w:after="0" w:line="73" w:lineRule="exact"/>
        <w:rPr>
          <w:sz w:val="20"/>
          <w:szCs w:val="20"/>
          <w:color w:val="auto"/>
        </w:rPr>
      </w:pPr>
    </w:p>
    <w:p>
      <w:pPr>
        <w:ind w:left="4" w:right="40" w:firstLine="436"/>
        <w:spacing w:after="0" w:line="291" w:lineRule="auto"/>
        <w:tabs>
          <w:tab w:leader="none" w:pos="699" w:val="left"/>
        </w:tabs>
        <w:numPr>
          <w:ilvl w:val="1"/>
          <w:numId w:val="175"/>
        </w:numPr>
        <w:rPr>
          <w:rFonts w:ascii="Arial" w:cs="Arial" w:eastAsia="Arial" w:hAnsi="Arial"/>
          <w:sz w:val="16"/>
          <w:szCs w:val="16"/>
          <w:color w:val="auto"/>
        </w:rPr>
      </w:pPr>
      <w:r>
        <w:rPr>
          <w:rFonts w:ascii="Arial" w:cs="Arial" w:eastAsia="Arial" w:hAnsi="Arial"/>
          <w:sz w:val="16"/>
          <w:szCs w:val="16"/>
          <w:color w:val="auto"/>
        </w:rPr>
        <w:t>Neither this Agreement nor any other Loan Document nor any provision hereof or thereof may be waived, amended or modified except (i) in the case of this Agreement, pursuant to an agreement or agreements in writing entered into by the Borrower Representative and the Required Lenders or</w:t>
      </w:r>
    </w:p>
    <w:p>
      <w:pPr>
        <w:ind w:left="4" w:hanging="4"/>
        <w:spacing w:after="0" w:line="266" w:lineRule="auto"/>
        <w:tabs>
          <w:tab w:leader="none" w:pos="269"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in the case of any other Loan Document, pursuant to an agreement or agreements in writing entered into by the Administrative Agent (to the extent it is a party to such Loan Document) and each Loan Party that is a party thereto, with the consent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agreement shall (A) increase the U.S. Commitment or Canadian Commitment of any Lender without the written consent of such Lender (including any such Lender that is a Defaulting Lender), (B) reduce or forgive the principal amount of any Loan or LC Disbursement or reduce the rate of interest thereon (other than any waiver of default interest or any increase in any commitment fee or participation fee during an Event of Default made with the consent of the Required Lenders), or reduce or forgive any interest or fees (other than any waiver of default interest made with the consent of the Required Lenders) payable hereunder, without the written consent of each Lender directly affected thereby (including any such Lender that is a Defaulting Lender), (C) postpone any scheduled date of payment of the principal amount of any Loan or LC Disbursement, or any date for the payment of any interest, fees or other Obligations payable hereunder, or reduce the amount of, waive or excuse any such payment, postpone the scheduled date of expiration of the Revolving Commitment, without the written consent of each Lender (including any such Lender that is a Defaulting Lender) directly affected thereby, (D) change Section 2.18(b) in any manner adverse to any Lender without such Lender’s consent or in a manner that would alter the manner in which payments are shared, without the written consent of each Lender affected thereby, (E) increase the advance rates set forth in the definition of Canadian Borrowing Base or U.S. Borrowing Base or add new categories of eligible assets, without the written consent of the Supermajority Revolving Lenders, (F) change any of the provisions of this Section or the definition of “</w:t>
      </w:r>
      <w:r>
        <w:rPr>
          <w:rFonts w:ascii="Arial" w:cs="Arial" w:eastAsia="Arial" w:hAnsi="Arial"/>
          <w:sz w:val="17"/>
          <w:szCs w:val="17"/>
          <w:u w:val="single" w:color="auto"/>
          <w:color w:val="auto"/>
        </w:rPr>
        <w:t>Required Lenders</w:t>
      </w:r>
      <w:r>
        <w:rPr>
          <w:rFonts w:ascii="Arial" w:cs="Arial" w:eastAsia="Arial" w:hAnsi="Arial"/>
          <w:sz w:val="17"/>
          <w:szCs w:val="17"/>
          <w:color w:val="auto"/>
        </w:rPr>
        <w:t>” or “</w:t>
      </w:r>
      <w:r>
        <w:rPr>
          <w:rFonts w:ascii="Arial" w:cs="Arial" w:eastAsia="Arial" w:hAnsi="Arial"/>
          <w:sz w:val="17"/>
          <w:szCs w:val="17"/>
          <w:u w:val="single" w:color="auto"/>
          <w:color w:val="auto"/>
        </w:rPr>
        <w:t>Supermajority Revolving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Lenders</w:t>
      </w:r>
      <w:r>
        <w:rPr>
          <w:rFonts w:ascii="Arial" w:cs="Arial" w:eastAsia="Arial" w:hAnsi="Arial"/>
          <w:sz w:val="17"/>
          <w:szCs w:val="17"/>
          <w:color w:val="auto"/>
        </w:rPr>
        <w:t>” or any other provision of any Loan Document specifying the number or percentage of Lenders (or Lenders of any Class) required to waive, amend or modify any</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04"/>
          </w:cols>
          <w:pgMar w:left="436" w:top="274" w:right="459" w:bottom="1440" w:gutter="0" w:footer="0" w:header="0"/>
        </w:sectPr>
      </w:pPr>
    </w:p>
    <w:bookmarkStart w:id="160" w:name="page161"/>
    <w:bookmarkEnd w:id="160"/>
    <w:p>
      <w:pPr>
        <w:ind w:left="4"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rights thereunder or make any determination or grant any consent thereunder, without the written consent of each Lender, (G) release any Loan Guarantor from its obligation under its Loan Guaranty or Canadian Guarantee (except as otherwise permitted herein or in the other Loan Documents), without the written consent of each Lender, (H) except as provided in clause (c) of this Section or in any Collateral Document, release all or substantially all of the Collateral, without the written consent of each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no such agreement shall amend, modify or otherwise affect the rights or duties of the Administrative Agent, any Issuing Bank or any Swingline Lender hereunder without the prior written consent of the Administrative Agent, such Issuing Bank or such Swingline Lender, as the case may be (it being understood that any change to Section 2.20 shall require the consent of the Administrative Agent, the Swingline Lenders and the Issuing Banks). Notwithstanding the foregoing, (x) the Administrative Agent may also amend the </w:t>
      </w:r>
      <w:r>
        <w:rPr>
          <w:rFonts w:ascii="Arial" w:cs="Arial" w:eastAsia="Arial" w:hAnsi="Arial"/>
          <w:sz w:val="16"/>
          <w:szCs w:val="16"/>
          <w:u w:val="single" w:color="auto"/>
          <w:color w:val="auto"/>
        </w:rPr>
        <w:t>Revolving Commitment Schedule</w:t>
      </w:r>
      <w:r>
        <w:rPr>
          <w:rFonts w:ascii="Arial" w:cs="Arial" w:eastAsia="Arial" w:hAnsi="Arial"/>
          <w:sz w:val="16"/>
          <w:szCs w:val="16"/>
          <w:color w:val="auto"/>
        </w:rPr>
        <w:t xml:space="preserve"> to reflect assignments entered into pursuant to Section 9.04 and (y) any amendment entered into in connection with an Aggregate Commitment Increase or a Canadian Sublimit Increase pursuant to Section 2.09(f) or Section 2.09(g), as applicable, shall require only the signature of the Administrative Agent, the Borrowers and the Lender(s) being added or increasing their Revolving Commitment(s) or Canadian Commitments, as applicable, except as otherwise provided in such Section 2.09(f).</w:t>
      </w:r>
    </w:p>
    <w:p>
      <w:pPr>
        <w:spacing w:after="0" w:line="64" w:lineRule="exact"/>
        <w:rPr>
          <w:sz w:val="20"/>
          <w:szCs w:val="20"/>
          <w:color w:val="auto"/>
        </w:rPr>
      </w:pPr>
    </w:p>
    <w:p>
      <w:pPr>
        <w:ind w:left="4" w:right="20" w:firstLine="436"/>
        <w:spacing w:after="0" w:line="284" w:lineRule="auto"/>
        <w:tabs>
          <w:tab w:leader="none" w:pos="689"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Lender Parties hereby irrevocably authorize the Administrative Agent, at its option and in its sole discretion, to release (x) any guaranty provided by an Excluded Subsidiary and (y) any Liens granted to the Administrative Agent by the Loan Parties or the Canadian Loan Parties or their respective Subsidiaries, as the case may be, on any Collateral (i) upon the termination of all Revolving Commitments, payment and satisfaction in full in cash of all Secured Obligations (other than Unliquidated Obligations), and the cash collateralization of all Unliquidated Obligations in a manner reasonably satisfactory to each affected Lender Party,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Equity Interest of a Subsidiary, the Administrative Agent is authorized to release any Loan Guaranty or Canadian Guarantee provided by such Subsidiary,</w:t>
      </w:r>
    </w:p>
    <w:p>
      <w:pPr>
        <w:ind w:left="324" w:hanging="324"/>
        <w:spacing w:after="0"/>
        <w:tabs>
          <w:tab w:leader="none" w:pos="32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constituting property leased to a Loan Party under a lease which has expired or been terminated in a transaction permitted under this Agreement,</w:t>
      </w:r>
    </w:p>
    <w:p>
      <w:pPr>
        <w:spacing w:after="0" w:line="32" w:lineRule="exact"/>
        <w:rPr>
          <w:rFonts w:ascii="Arial" w:cs="Arial" w:eastAsia="Arial" w:hAnsi="Arial"/>
          <w:sz w:val="16"/>
          <w:szCs w:val="16"/>
          <w:color w:val="auto"/>
        </w:rPr>
      </w:pPr>
    </w:p>
    <w:p>
      <w:pPr>
        <w:ind w:left="4" w:right="140" w:hanging="4"/>
        <w:spacing w:after="0" w:line="281" w:lineRule="auto"/>
        <w:tabs>
          <w:tab w:leader="none" w:pos="309" w:val="left"/>
        </w:tabs>
        <w:numPr>
          <w:ilvl w:val="0"/>
          <w:numId w:val="178"/>
        </w:numPr>
        <w:rPr>
          <w:rFonts w:ascii="Arial" w:cs="Arial" w:eastAsia="Arial" w:hAnsi="Arial"/>
          <w:sz w:val="16"/>
          <w:szCs w:val="16"/>
          <w:color w:val="auto"/>
        </w:rPr>
      </w:pPr>
      <w:r>
        <w:rPr>
          <w:rFonts w:ascii="Arial" w:cs="Arial" w:eastAsia="Arial" w:hAnsi="Arial"/>
          <w:sz w:val="16"/>
          <w:szCs w:val="16"/>
          <w:color w:val="auto"/>
        </w:rPr>
        <w:t>constituting an Account originated by a Loan Party which has been sold or otherwise transferred to WESCO Receivables pursuant to the Receivables Securitization Agreements; (v) as required to effect any sale or other disposition of such Collateral in connection with any exercise of remedies of the Administrative Agent and the Lenders pursuant to Article VII; (vi) that constitutes Excluded Collateral (as defined in the U.S. Security Agreement or the Canadian Security Agreement), or (vii) otherwise having a value in the aggregate not in excess of $40,000,000 during any calendar year. Except as provided in the preceding sentence, the Administrative Agent will not release any Liens on Collateral valued in the aggregate (A) in excess of $40,000,000 but not in excess of $100,000,000 during any calendar year without the prior written authorization of the Required Lenders; and</w:t>
      </w:r>
    </w:p>
    <w:p>
      <w:pPr>
        <w:spacing w:after="0" w:line="3" w:lineRule="exact"/>
        <w:rPr>
          <w:rFonts w:ascii="Arial" w:cs="Arial" w:eastAsia="Arial" w:hAnsi="Arial"/>
          <w:sz w:val="16"/>
          <w:szCs w:val="16"/>
          <w:color w:val="auto"/>
        </w:rPr>
      </w:pPr>
    </w:p>
    <w:p>
      <w:pPr>
        <w:ind w:left="4"/>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(B) in excess of $100,000,000 during any calendar year without the prior written authorization of the Supermajority Revolving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consent of all Lenders shall be required for a release of all or substantially all of the Collateral as provided in Section 9.02(b)(H).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85" w:lineRule="exact"/>
        <w:rPr>
          <w:rFonts w:ascii="Arial" w:cs="Arial" w:eastAsia="Arial" w:hAnsi="Arial"/>
          <w:sz w:val="16"/>
          <w:szCs w:val="16"/>
          <w:color w:val="auto"/>
        </w:rPr>
      </w:pPr>
    </w:p>
    <w:p>
      <w:pPr>
        <w:ind w:left="4" w:firstLine="436"/>
        <w:spacing w:after="0" w:line="284" w:lineRule="auto"/>
        <w:tabs>
          <w:tab w:leader="none" w:pos="699" w:val="left"/>
        </w:tabs>
        <w:numPr>
          <w:ilvl w:val="1"/>
          <w:numId w:val="178"/>
        </w:numPr>
        <w:rPr>
          <w:rFonts w:ascii="Arial" w:cs="Arial" w:eastAsia="Arial" w:hAnsi="Arial"/>
          <w:sz w:val="16"/>
          <w:szCs w:val="16"/>
          <w:color w:val="auto"/>
        </w:rPr>
      </w:pPr>
      <w:r>
        <w:rPr>
          <w:rFonts w:ascii="Arial" w:cs="Arial" w:eastAsia="Arial" w:hAnsi="Arial"/>
          <w:sz w:val="16"/>
          <w:szCs w:val="16"/>
          <w:color w:val="auto"/>
        </w:rPr>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not obtained being referred to herein as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then the Borrowers may elect to replace a Non-Consenting Lender as a Lender party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concurrently with such replacement, (i) another bank or other entity which is reasonably satisfactory to the Borrowers and the Administrative Agent (1)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w:t>
      </w:r>
    </w:p>
    <w:p>
      <w:pPr>
        <w:spacing w:after="0" w:line="2" w:lineRule="exact"/>
        <w:rPr>
          <w:rFonts w:ascii="Arial" w:cs="Arial" w:eastAsia="Arial" w:hAnsi="Arial"/>
          <w:sz w:val="16"/>
          <w:szCs w:val="16"/>
          <w:color w:val="auto"/>
        </w:rPr>
      </w:pPr>
    </w:p>
    <w:p>
      <w:pPr>
        <w:ind w:left="4" w:right="80"/>
        <w:spacing w:after="0" w:line="255" w:lineRule="auto"/>
        <w:rPr>
          <w:rFonts w:ascii="Arial" w:cs="Arial" w:eastAsia="Arial" w:hAnsi="Arial"/>
          <w:sz w:val="16"/>
          <w:szCs w:val="16"/>
          <w:color w:val="auto"/>
        </w:rPr>
      </w:pPr>
      <w:r>
        <w:rPr>
          <w:rFonts w:ascii="Arial" w:cs="Arial" w:eastAsia="Arial" w:hAnsi="Arial"/>
          <w:sz w:val="18"/>
          <w:szCs w:val="18"/>
          <w:color w:val="auto"/>
        </w:rPr>
        <w:t>(2) such assignee bank or other entity shall have consented to the applicable amendment, waiver or consent, and (ii) the Borrowers shall pay to such Non-Consenting Lender in same day funds on the day of such replacement (1) all interest, fees and other amounts then accrued but unpaid to such Non-Consenting Lender by the Borrowers hereunder to and</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04"/>
          </w:cols>
          <w:pgMar w:left="436" w:top="274" w:right="459" w:bottom="1440" w:gutter="0" w:footer="0" w:header="0"/>
        </w:sectPr>
      </w:pPr>
    </w:p>
    <w:bookmarkStart w:id="161" w:name="page162"/>
    <w:bookmarkEnd w:id="16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Electronic System as to which the Administrative Agent and such parties are participants), and the Lender required to make such assignment need not be a party thereto in order for such assignment to be effective and shall be deemed to have consented to an be bound by the terms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any such documents shall be without recourse to or warranty by the parties thereto.</w:t>
      </w:r>
    </w:p>
    <w:p>
      <w:pPr>
        <w:spacing w:after="0" w:line="77" w:lineRule="exact"/>
        <w:rPr>
          <w:sz w:val="20"/>
          <w:szCs w:val="20"/>
          <w:color w:val="auto"/>
        </w:rPr>
      </w:pPr>
    </w:p>
    <w:p>
      <w:pPr>
        <w:ind w:right="100" w:firstLine="436"/>
        <w:spacing w:after="0" w:line="342" w:lineRule="auto"/>
        <w:tabs>
          <w:tab w:leader="none" w:pos="68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Notwithstanding anything to the contrary herein the Administrative Agent may, with the consent of the Borrower Representative only, amend, modify or supplement this Agreement or any of the other Loan Documents to cure any ambiguity, omission, mistake, defect or inconsistency.</w:t>
      </w:r>
    </w:p>
    <w:p>
      <w:pPr>
        <w:spacing w:after="0" w:line="124"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Expenses; Indemnity; Damage Waiver</w:t>
      </w:r>
      <w:r>
        <w:rPr>
          <w:rFonts w:ascii="Arial" w:cs="Arial" w:eastAsia="Arial" w:hAnsi="Arial"/>
          <w:sz w:val="17"/>
          <w:szCs w:val="17"/>
          <w:color w:val="auto"/>
        </w:rPr>
        <w:t>. (a) The Borrowers shall pay (i) all reasonable and documented out-of-pocket expenses incurred by the Administrative Agent and its Affiliates (limited, in the case of legal fees and expenses, to the reasonable fees, charges and disbursements of one U.S. counsel and one Canadian counsel to the Administrative Agent and its Affiliates (and, if reasonably necessary, of one local counsel in any relevant material jurisdiction to all such persons, taken as a whole)), in connection with the syndication and distribution (including, without limitation, via the internet or through a service such as IntraLinks) of the credit facilities provided for herein, the preparation and administration of the Loan Documents or any amendments, modifications or waivers of the provisions of the Loan Documents (whether or not the transactions contemplated hereby or thereby shall be consummated), (ii) all reasonable out-of-pocket expenses incurred by the applicable Issuing Bank in connection with the issuance, amendment, renewal or extension of any Letter of Credit or any demand for payment thereunder and (iii) all out-of-pocket expenses incurred by the Administrative Agent, any Issuing Bank or any Lender, including the fees, charges and disbursements of any counsel for the Administrative Agent, any Issuing Bank or any Lender,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thereof. Subject to the limitations set forth herein or in the Collateral Documents, expenses being reimbursed by the Borrowers under this Section include, without limiting the generality of the foregoing, costs and expenses incurred by the Administrative Agent and its Affiliates in connection with:</w:t>
      </w:r>
    </w:p>
    <w:p>
      <w:pPr>
        <w:spacing w:after="0" w:line="76" w:lineRule="exact"/>
        <w:rPr>
          <w:sz w:val="20"/>
          <w:szCs w:val="20"/>
          <w:color w:val="auto"/>
        </w:rPr>
      </w:pPr>
    </w:p>
    <w:p>
      <w:pPr>
        <w:ind w:left="1080" w:hanging="221"/>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appraisals and insurance reviews;</w:t>
      </w:r>
    </w:p>
    <w:p>
      <w:pPr>
        <w:spacing w:after="0" w:line="117" w:lineRule="exact"/>
        <w:rPr>
          <w:rFonts w:ascii="Arial" w:cs="Arial" w:eastAsia="Arial" w:hAnsi="Arial"/>
          <w:sz w:val="18"/>
          <w:szCs w:val="18"/>
          <w:color w:val="auto"/>
        </w:rPr>
      </w:pPr>
    </w:p>
    <w:p>
      <w:pPr>
        <w:ind w:left="440" w:right="100" w:firstLine="419"/>
        <w:spacing w:after="0" w:line="308" w:lineRule="auto"/>
        <w:tabs>
          <w:tab w:leader="none" w:pos="1128" w:val="left"/>
        </w:tabs>
        <w:numPr>
          <w:ilvl w:val="0"/>
          <w:numId w:val="180"/>
        </w:numPr>
        <w:rPr>
          <w:rFonts w:ascii="Arial" w:cs="Arial" w:eastAsia="Arial" w:hAnsi="Arial"/>
          <w:sz w:val="17"/>
          <w:szCs w:val="17"/>
          <w:color w:val="auto"/>
        </w:rPr>
      </w:pPr>
      <w:r>
        <w:rPr>
          <w:rFonts w:ascii="Arial" w:cs="Arial" w:eastAsia="Arial" w:hAnsi="Arial"/>
          <w:sz w:val="17"/>
          <w:szCs w:val="17"/>
          <w:color w:val="auto"/>
        </w:rPr>
        <w:t>field examinations and the preparation of Reports based on the fees charged by a third party retained by the Administrative Agent or the internally allocated fees for each Person employed by the Administrative Agent with respect to each field examination;</w:t>
      </w:r>
    </w:p>
    <w:p>
      <w:pPr>
        <w:spacing w:after="0" w:line="38" w:lineRule="exact"/>
        <w:rPr>
          <w:rFonts w:ascii="Arial" w:cs="Arial" w:eastAsia="Arial" w:hAnsi="Arial"/>
          <w:sz w:val="17"/>
          <w:szCs w:val="17"/>
          <w:color w:val="auto"/>
        </w:rPr>
      </w:pPr>
    </w:p>
    <w:p>
      <w:pPr>
        <w:ind w:left="440" w:right="720" w:firstLine="419"/>
        <w:spacing w:after="0" w:line="277" w:lineRule="auto"/>
        <w:tabs>
          <w:tab w:leader="none" w:pos="117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taxes, fees and other charges for (A) lien searches and (B) recording the Collateral Documents, filing financing statements and continuations, and other actions to perfect, protect, and continue the Administrative Agent’s Liens;</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sums paid or incurred to take any action required of any Loan Party under the Loan Documents that such Loan Party fails to pay or take;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40" w:right="120" w:firstLine="419"/>
        <w:spacing w:after="0" w:line="277" w:lineRule="auto"/>
        <w:tabs>
          <w:tab w:leader="none" w:pos="111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forwarding loan proceeds, collecting checks and other items of payment, and establishing and maintaining the accounts and lock boxes, and costs and expenses of preserving and protecting the Collateral.</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All of the foregoing costs and expenses may be charged to the Borrowers as Revolving Loans or to another deposit account, all as described in Section 2.18(c).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00"/>
          </w:cols>
          <w:pgMar w:left="440" w:top="274" w:right="459" w:bottom="1440" w:gutter="0" w:footer="0" w:header="0"/>
        </w:sectPr>
      </w:pPr>
    </w:p>
    <w:bookmarkStart w:id="162" w:name="page163"/>
    <w:bookmarkEnd w:id="162"/>
    <w:p>
      <w:pPr>
        <w:ind w:left="4" w:firstLine="436"/>
        <w:spacing w:after="0" w:line="283" w:lineRule="auto"/>
        <w:tabs>
          <w:tab w:leader="none" w:pos="699" w:val="left"/>
        </w:tabs>
        <w:numPr>
          <w:ilvl w:val="1"/>
          <w:numId w:val="1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Borrowers shall, jointly and severally (subject to Section 12.01), indemnify the Administrative Agent, each Issuing Bank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penalties, liabilities and related expenses, including the fees, charges and disbursements of counsel for any Indemnitee but limited, in the case of legal fees and expenses, to one counsel to such Indemnitees taken as a whole and, solely in the case of an actual or potential conflict of interest, one additional counsel to all affected Indemnitees, taken as a whole (and, if reasonably necessary, of one local counsel in any relevant jurisdiction to all such persons, taken as a whole and, solely in the case of an actual or potential conflict of interest, one additional local counsel to all affected indemnified persons, taken as a whole), incurred by any Indemnitee or asserted against any Indemnitee by any Person (including any Borrower, any other Loan Party or any shareholder or Affiliate of any Borrower or any other Loan Party)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its Subsidiaries resulting in any Environmental Liability related in any way to any Borrower or any of its Subsidiaries, (iv) the failure of the Borrowers to deliver to the Administrative Agent the required receipts or other required documentary evidence with respect to a payment made by the Borrowers for Taxes pursuant to</w:t>
      </w:r>
    </w:p>
    <w:p>
      <w:pPr>
        <w:ind w:left="4" w:right="8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Section 2.17, or (v) any actual or prospective claim, litigation, investigation or proceeding relating to any of the foregoing, whether based on contract, tort or any other theory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penalties, liabilities or related expenses have resulted from (i) the willful misconduct, bad faith or gross negligence of such Indemnitee (or any of its Related Parties), in each case as determined by a final non-appealable judgment of a court of competent jurisdiction or (ii) any disputes solely among Indemnitees and not arising out of any act or omission of the Loan Parties or any of their respective Subsidiaries or Affiliates. This Section 9.03(b) shall not apply with respect to Taxes other than any Taxes that represent losses or damages arising from any non-Tax claim.</w:t>
      </w:r>
    </w:p>
    <w:p>
      <w:pPr>
        <w:spacing w:after="0" w:line="84" w:lineRule="exact"/>
        <w:rPr>
          <w:rFonts w:ascii="Arial" w:cs="Arial" w:eastAsia="Arial" w:hAnsi="Arial"/>
          <w:sz w:val="16"/>
          <w:szCs w:val="16"/>
          <w:color w:val="auto"/>
        </w:rPr>
      </w:pPr>
    </w:p>
    <w:p>
      <w:pPr>
        <w:ind w:left="4" w:right="40" w:firstLine="436"/>
        <w:spacing w:after="0" w:line="291" w:lineRule="auto"/>
        <w:tabs>
          <w:tab w:leader="none" w:pos="689" w:val="left"/>
        </w:tabs>
        <w:numPr>
          <w:ilvl w:val="1"/>
          <w:numId w:val="181"/>
        </w:numPr>
        <w:rPr>
          <w:rFonts w:ascii="Arial" w:cs="Arial" w:eastAsia="Arial" w:hAnsi="Arial"/>
          <w:sz w:val="16"/>
          <w:szCs w:val="16"/>
          <w:color w:val="auto"/>
        </w:rPr>
      </w:pPr>
      <w:r>
        <w:rPr>
          <w:rFonts w:ascii="Arial" w:cs="Arial" w:eastAsia="Arial" w:hAnsi="Arial"/>
          <w:sz w:val="16"/>
          <w:szCs w:val="16"/>
          <w:color w:val="auto"/>
        </w:rPr>
        <w:t xml:space="preserve">To the extent that any Loan Party fails to pay any amount required to be paid by it to the Administrative Agent (or any sub-agent thereof) or any Swingline Lender or the Issuing Bank (or any Related Party of any of the foregoing) under paragraph (a) or (b) of this Section, each Lender severally agrees to pay to the Administrative Agent, such Swingline Lender or such Issuing Bank (or any Related Party of any of the foregoing), as the case may be, such Lender’s Applicable Percentage (determined as of the time that the applicable unreimbursed expense or indemnity payment is sought) of such unpaid amount (it being understood that the Loan Parties’ failure to pay any such amount shall not relieve any Loan Party of any default in the payment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penalty, liability or related expense, as the case may be, was incurred by or asserted against the Administrative Agent, such Swingline Lender or such Issuing Bank in its capacity as such.</w:t>
      </w:r>
    </w:p>
    <w:p>
      <w:pPr>
        <w:spacing w:after="0" w:line="58" w:lineRule="exact"/>
        <w:rPr>
          <w:rFonts w:ascii="Arial" w:cs="Arial" w:eastAsia="Arial" w:hAnsi="Arial"/>
          <w:sz w:val="16"/>
          <w:szCs w:val="16"/>
          <w:color w:val="auto"/>
        </w:rPr>
      </w:pPr>
    </w:p>
    <w:p>
      <w:pPr>
        <w:ind w:left="704" w:hanging="264"/>
        <w:spacing w:after="0"/>
        <w:tabs>
          <w:tab w:leader="none" w:pos="704"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To the extent permitted by applicable law, no Loan Party shall assert, and each Loan Party hereby waives, any claim against any Indemnitee</w:t>
      </w:r>
    </w:p>
    <w:p>
      <w:pPr>
        <w:spacing w:after="0" w:line="46" w:lineRule="exact"/>
        <w:rPr>
          <w:rFonts w:ascii="Arial" w:cs="Arial" w:eastAsia="Arial" w:hAnsi="Arial"/>
          <w:sz w:val="16"/>
          <w:szCs w:val="16"/>
          <w:color w:val="auto"/>
        </w:rPr>
      </w:pPr>
    </w:p>
    <w:p>
      <w:pPr>
        <w:ind w:left="4" w:right="60" w:hanging="4"/>
        <w:spacing w:after="0" w:line="251" w:lineRule="auto"/>
        <w:tabs>
          <w:tab w:leader="none" w:pos="21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for any damages arising from the use by others of information or other materials obtained through telecommunications, electronic or other information transmission systems (including the Internet), other than to the extent such damages are determined by a final non-appealable judgment of a court of competent jurisdiction to have resulted from the gross negligence, bad faith or willful misconduct of such Indemnitee (or any of its Related Parties),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paragraph (d) shall relieve any Loan Party of any obligation it may have to indemnify an Indemnitee against special, indirect, consequential or punitive damages asserted against such Indemnitee by a third party.</w:t>
      </w:r>
    </w:p>
    <w:p>
      <w:pPr>
        <w:spacing w:after="0" w:line="89" w:lineRule="exact"/>
        <w:rPr>
          <w:rFonts w:ascii="Arial" w:cs="Arial" w:eastAsia="Arial" w:hAnsi="Arial"/>
          <w:sz w:val="18"/>
          <w:szCs w:val="18"/>
          <w:color w:val="auto"/>
        </w:rPr>
      </w:pPr>
    </w:p>
    <w:p>
      <w:pPr>
        <w:ind w:left="684" w:hanging="244"/>
        <w:spacing w:after="0"/>
        <w:tabs>
          <w:tab w:leader="none" w:pos="684"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promptly after written demand therefor.</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24"/>
          </w:cols>
          <w:pgMar w:left="436" w:top="274" w:right="439" w:bottom="1440" w:gutter="0" w:footer="0" w:header="0"/>
        </w:sectPr>
      </w:pPr>
    </w:p>
    <w:bookmarkStart w:id="163" w:name="page164"/>
    <w:bookmarkEnd w:id="163"/>
    <w:p>
      <w:pPr>
        <w:ind w:left="4" w:right="1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(including any Affiliate of an Issuing Bank that issues any Letter of Credit), except that</w:t>
      </w:r>
    </w:p>
    <w:p>
      <w:pPr>
        <w:ind w:left="4" w:hanging="4"/>
        <w:spacing w:after="0" w:line="252" w:lineRule="auto"/>
        <w:tabs>
          <w:tab w:leader="none" w:pos="21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 Borrower may assign or otherwise transfer any of its rights or obligations hereunder without the prior written consent of each Lender (and any attempted assignment or transfer by a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84" w:lineRule="exact"/>
        <w:rPr>
          <w:rFonts w:ascii="Arial" w:cs="Arial" w:eastAsia="Arial" w:hAnsi="Arial"/>
          <w:sz w:val="18"/>
          <w:szCs w:val="18"/>
          <w:color w:val="auto"/>
        </w:rPr>
      </w:pPr>
    </w:p>
    <w:p>
      <w:pPr>
        <w:ind w:left="4" w:right="60" w:firstLine="436"/>
        <w:spacing w:after="0" w:line="259" w:lineRule="auto"/>
        <w:tabs>
          <w:tab w:leader="none" w:pos="699"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9.04(b)(ii) below, any Lender may assign to one or more Persons (other than (x) a natural person (or holding company, investment vehicle or trust for, or owned and operated for the primary benefit of a natural person), (y) a Defaulting Lender or (z) the Loan Parties or any of their Affiliates) all or a portion of its rights and obligations under this Agreement (including all or a portion of its Revolving Commitment and the Loans at the time owing to it):</w:t>
      </w:r>
    </w:p>
    <w:p>
      <w:pPr>
        <w:spacing w:after="0" w:line="78" w:lineRule="exact"/>
        <w:rPr>
          <w:rFonts w:ascii="Arial" w:cs="Arial" w:eastAsia="Arial" w:hAnsi="Arial"/>
          <w:sz w:val="18"/>
          <w:szCs w:val="18"/>
          <w:color w:val="auto"/>
        </w:rPr>
      </w:pPr>
    </w:p>
    <w:p>
      <w:pPr>
        <w:jc w:val="both"/>
        <w:ind w:left="444" w:right="80" w:firstLine="948"/>
        <w:spacing w:after="0" w:line="301" w:lineRule="auto"/>
        <w:tabs>
          <w:tab w:leader="none" w:pos="1691" w:val="left"/>
        </w:tabs>
        <w:numPr>
          <w:ilvl w:val="3"/>
          <w:numId w:val="183"/>
        </w:numPr>
        <w:rPr>
          <w:rFonts w:ascii="Arial" w:cs="Arial" w:eastAsia="Arial" w:hAnsi="Arial"/>
          <w:sz w:val="16"/>
          <w:szCs w:val="16"/>
          <w:color w:val="auto"/>
        </w:rPr>
      </w:pPr>
      <w:r>
        <w:rPr>
          <w:rFonts w:ascii="Arial" w:cs="Arial" w:eastAsia="Arial" w:hAnsi="Arial"/>
          <w:sz w:val="16"/>
          <w:szCs w:val="16"/>
          <w:color w:val="auto"/>
        </w:rPr>
        <w:t xml:space="preserve">with the prior written consent (such consent not to be unreasonably withheld or delayed) of the Borrower Representative (which consent shall be deemed to have been given by the Borrower Representative if the Borrower Representative shall not have responded within five Business Days of a request for such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Borrower Representative shall be required for an assignment to a Lender, an Affiliate of a Lender, an Approved Fund or, if an Event of Default has occurred and is continuing, any other assignee;</w:t>
      </w:r>
    </w:p>
    <w:p>
      <w:pPr>
        <w:spacing w:after="0" w:line="49" w:lineRule="exact"/>
        <w:rPr>
          <w:rFonts w:ascii="Arial" w:cs="Arial" w:eastAsia="Arial" w:hAnsi="Arial"/>
          <w:sz w:val="16"/>
          <w:szCs w:val="16"/>
          <w:color w:val="auto"/>
        </w:rPr>
      </w:pPr>
    </w:p>
    <w:p>
      <w:pPr>
        <w:ind w:left="1684" w:hanging="292"/>
        <w:spacing w:after="0"/>
        <w:tabs>
          <w:tab w:leader="none" w:pos="1684" w:val="left"/>
        </w:tabs>
        <w:numPr>
          <w:ilvl w:val="3"/>
          <w:numId w:val="183"/>
        </w:numPr>
        <w:rPr>
          <w:rFonts w:ascii="Arial" w:cs="Arial" w:eastAsia="Arial" w:hAnsi="Arial"/>
          <w:sz w:val="18"/>
          <w:szCs w:val="18"/>
          <w:color w:val="auto"/>
        </w:rPr>
      </w:pPr>
      <w:r>
        <w:rPr>
          <w:rFonts w:ascii="Arial" w:cs="Arial" w:eastAsia="Arial" w:hAnsi="Arial"/>
          <w:sz w:val="18"/>
          <w:szCs w:val="18"/>
          <w:color w:val="auto"/>
        </w:rPr>
        <w:t>with the prior written consent of the Administrative Agent (such consent not to be unreasonably withheld); and</w:t>
      </w:r>
    </w:p>
    <w:p>
      <w:pPr>
        <w:spacing w:after="0" w:line="117" w:lineRule="exact"/>
        <w:rPr>
          <w:rFonts w:ascii="Arial" w:cs="Arial" w:eastAsia="Arial" w:hAnsi="Arial"/>
          <w:sz w:val="18"/>
          <w:szCs w:val="18"/>
          <w:color w:val="auto"/>
        </w:rPr>
      </w:pPr>
    </w:p>
    <w:p>
      <w:pPr>
        <w:ind w:left="1684" w:hanging="292"/>
        <w:spacing w:after="0"/>
        <w:tabs>
          <w:tab w:leader="none" w:pos="1684" w:val="left"/>
        </w:tabs>
        <w:numPr>
          <w:ilvl w:val="3"/>
          <w:numId w:val="183"/>
        </w:numPr>
        <w:rPr>
          <w:rFonts w:ascii="Arial" w:cs="Arial" w:eastAsia="Arial" w:hAnsi="Arial"/>
          <w:sz w:val="18"/>
          <w:szCs w:val="18"/>
          <w:color w:val="auto"/>
        </w:rPr>
      </w:pPr>
      <w:r>
        <w:rPr>
          <w:rFonts w:ascii="Arial" w:cs="Arial" w:eastAsia="Arial" w:hAnsi="Arial"/>
          <w:sz w:val="18"/>
          <w:szCs w:val="18"/>
          <w:color w:val="auto"/>
        </w:rPr>
        <w:t>with the prior written consent of the Issuing Banks (such consent not to be unreasonably withheld).</w:t>
      </w:r>
    </w:p>
    <w:p>
      <w:pPr>
        <w:spacing w:after="0" w:line="117" w:lineRule="exact"/>
        <w:rPr>
          <w:rFonts w:ascii="Arial" w:cs="Arial" w:eastAsia="Arial" w:hAnsi="Arial"/>
          <w:sz w:val="18"/>
          <w:szCs w:val="18"/>
          <w:color w:val="auto"/>
        </w:rPr>
      </w:pPr>
    </w:p>
    <w:p>
      <w:pPr>
        <w:ind w:left="1264" w:hanging="273"/>
        <w:spacing w:after="0"/>
        <w:tabs>
          <w:tab w:leader="none" w:pos="1264" w:val="left"/>
        </w:tabs>
        <w:numPr>
          <w:ilvl w:val="2"/>
          <w:numId w:val="183"/>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17" w:lineRule="exact"/>
        <w:rPr>
          <w:rFonts w:ascii="Arial" w:cs="Arial" w:eastAsia="Arial" w:hAnsi="Arial"/>
          <w:sz w:val="18"/>
          <w:szCs w:val="18"/>
          <w:color w:val="auto"/>
        </w:rPr>
      </w:pPr>
    </w:p>
    <w:p>
      <w:pPr>
        <w:ind w:left="444" w:right="140" w:firstLine="948"/>
        <w:spacing w:after="0" w:line="255" w:lineRule="auto"/>
        <w:tabs>
          <w:tab w:leader="none" w:pos="1691" w:val="left"/>
        </w:tabs>
        <w:numPr>
          <w:ilvl w:val="3"/>
          <w:numId w:val="183"/>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or an Affiliate of a Lender or an Approved Fund or an assignment of the entire remaining amount of the assigning Lender’s Revolving Commitment or Loans of any Class, the amount of the Revolving Commitment or Loans of the assigning Lender subject to each such assignment (determined as of the date the Assignment and Assumption with respect to such assignment is delivered to the Administrative Agent) shall not be less than $5,000,000 unless each of the Borrower Representative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consent of the Borrower Representative shall be required if an Event of Default has occurred and is continuing;</w:t>
      </w:r>
    </w:p>
    <w:p>
      <w:pPr>
        <w:spacing w:after="0" w:line="84" w:lineRule="exact"/>
        <w:rPr>
          <w:rFonts w:ascii="Arial" w:cs="Arial" w:eastAsia="Arial" w:hAnsi="Arial"/>
          <w:sz w:val="18"/>
          <w:szCs w:val="18"/>
          <w:color w:val="auto"/>
        </w:rPr>
      </w:pPr>
    </w:p>
    <w:p>
      <w:pPr>
        <w:ind w:left="444" w:right="820" w:firstLine="948"/>
        <w:spacing w:after="0" w:line="277" w:lineRule="auto"/>
        <w:tabs>
          <w:tab w:leader="none" w:pos="1681" w:val="left"/>
        </w:tabs>
        <w:numPr>
          <w:ilvl w:val="3"/>
          <w:numId w:val="183"/>
        </w:numPr>
        <w:rPr>
          <w:rFonts w:ascii="Arial" w:cs="Arial" w:eastAsia="Arial" w:hAnsi="Arial"/>
          <w:sz w:val="18"/>
          <w:szCs w:val="18"/>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w:t>
      </w:r>
    </w:p>
    <w:p>
      <w:pPr>
        <w:spacing w:after="0" w:line="62" w:lineRule="exact"/>
        <w:rPr>
          <w:rFonts w:ascii="Arial" w:cs="Arial" w:eastAsia="Arial" w:hAnsi="Arial"/>
          <w:sz w:val="18"/>
          <w:szCs w:val="18"/>
          <w:color w:val="auto"/>
        </w:rPr>
      </w:pPr>
    </w:p>
    <w:p>
      <w:pPr>
        <w:ind w:left="444" w:right="40" w:firstLine="948"/>
        <w:spacing w:after="0" w:line="259" w:lineRule="auto"/>
        <w:tabs>
          <w:tab w:leader="none" w:pos="1681" w:val="left"/>
        </w:tabs>
        <w:numPr>
          <w:ilvl w:val="3"/>
          <w:numId w:val="183"/>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(x) an Assignment and Assumption or (y) to the extent applicable, an agreement incorporating an Assignment and Assumption by reference pursuant to an Electronic System as to which the Administrative Agent and the parties to the Assignment and Assumption are participants, together with a processing and recordation fee of $3,500; and</w:t>
      </w:r>
    </w:p>
    <w:p>
      <w:pPr>
        <w:spacing w:after="0" w:line="78" w:lineRule="exact"/>
        <w:rPr>
          <w:rFonts w:ascii="Arial" w:cs="Arial" w:eastAsia="Arial" w:hAnsi="Arial"/>
          <w:sz w:val="18"/>
          <w:szCs w:val="18"/>
          <w:color w:val="auto"/>
        </w:rPr>
      </w:pPr>
    </w:p>
    <w:p>
      <w:pPr>
        <w:ind w:left="444" w:right="180" w:firstLine="948"/>
        <w:spacing w:after="0" w:line="311" w:lineRule="auto"/>
        <w:tabs>
          <w:tab w:leader="none" w:pos="1691" w:val="left"/>
        </w:tabs>
        <w:numPr>
          <w:ilvl w:val="3"/>
          <w:numId w:val="183"/>
        </w:numPr>
        <w:rPr>
          <w:rFonts w:ascii="Arial" w:cs="Arial" w:eastAsia="Arial" w:hAnsi="Arial"/>
          <w:sz w:val="16"/>
          <w:szCs w:val="16"/>
          <w:color w:val="auto"/>
        </w:rPr>
      </w:pPr>
      <w:r>
        <w:rPr>
          <w:rFonts w:ascii="Arial" w:cs="Arial" w:eastAsia="Arial" w:hAnsi="Arial"/>
          <w:sz w:val="16"/>
          <w:szCs w:val="16"/>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Loan Parties and their Related Parties or their respective securities) will be made available and who may receive such</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984"/>
          </w:cols>
          <w:pgMar w:left="436" w:top="274" w:right="479" w:bottom="1440" w:gutter="0" w:footer="0" w:header="0"/>
        </w:sectPr>
      </w:pPr>
    </w:p>
    <w:bookmarkStart w:id="164" w:name="page165"/>
    <w:bookmarkEnd w:id="164"/>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in accordance with the assignee’s compliance procedures and applicable laws, including federal and state securities laws.</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the purposes of this Section 9.04(b), the term “</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following meaning:</w:t>
      </w:r>
    </w:p>
    <w:p>
      <w:pPr>
        <w:spacing w:after="0" w:line="117" w:lineRule="exact"/>
        <w:rPr>
          <w:sz w:val="20"/>
          <w:szCs w:val="20"/>
          <w:color w:val="auto"/>
        </w:rPr>
      </w:pPr>
    </w:p>
    <w:p>
      <w:pPr>
        <w:ind w:left="4" w:right="2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Fund</w:t>
      </w:r>
      <w:r>
        <w:rPr>
          <w:rFonts w:ascii="Arial" w:cs="Arial" w:eastAsia="Arial" w:hAnsi="Arial"/>
          <w:sz w:val="16"/>
          <w:szCs w:val="16"/>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w:t>
      </w:r>
    </w:p>
    <w:p>
      <w:pPr>
        <w:ind w:left="244" w:hanging="244"/>
        <w:spacing w:after="0"/>
        <w:tabs>
          <w:tab w:leader="none" w:pos="24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 entity or an Affiliate of an entity that administers or manages a Lender.</w:t>
      </w:r>
    </w:p>
    <w:p>
      <w:pPr>
        <w:spacing w:after="0" w:line="102" w:lineRule="exact"/>
        <w:rPr>
          <w:rFonts w:ascii="Arial" w:cs="Arial" w:eastAsia="Arial" w:hAnsi="Arial"/>
          <w:sz w:val="18"/>
          <w:szCs w:val="18"/>
          <w:color w:val="auto"/>
        </w:rPr>
      </w:pPr>
    </w:p>
    <w:p>
      <w:pPr>
        <w:ind w:left="444" w:right="80" w:firstLine="419"/>
        <w:spacing w:after="0" w:line="290" w:lineRule="auto"/>
        <w:tabs>
          <w:tab w:leader="none" w:pos="1182" w:val="left"/>
        </w:tabs>
        <w:numPr>
          <w:ilvl w:val="2"/>
          <w:numId w:val="184"/>
        </w:numPr>
        <w:rPr>
          <w:rFonts w:ascii="Arial" w:cs="Arial" w:eastAsia="Arial" w:hAnsi="Arial"/>
          <w:sz w:val="16"/>
          <w:szCs w:val="16"/>
          <w:color w:val="auto"/>
        </w:rPr>
      </w:pPr>
      <w:r>
        <w:rPr>
          <w:rFonts w:ascii="Arial" w:cs="Arial" w:eastAsia="Arial" w:hAnsi="Arial"/>
          <w:sz w:val="16"/>
          <w:szCs w:val="16"/>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57" w:lineRule="exact"/>
        <w:rPr>
          <w:rFonts w:ascii="Arial" w:cs="Arial" w:eastAsia="Arial" w:hAnsi="Arial"/>
          <w:sz w:val="16"/>
          <w:szCs w:val="16"/>
          <w:color w:val="auto"/>
        </w:rPr>
      </w:pPr>
    </w:p>
    <w:p>
      <w:pPr>
        <w:ind w:left="444" w:right="160" w:firstLine="419"/>
        <w:spacing w:after="0" w:line="254" w:lineRule="auto"/>
        <w:tabs>
          <w:tab w:leader="none" w:pos="1172" w:val="left"/>
        </w:tabs>
        <w:numPr>
          <w:ilvl w:val="2"/>
          <w:numId w:val="184"/>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 non-fiduciary agent of the Borrowers, shall maintain at one of its United States offices a copy of each Assignment and Assumption delivered to it and a register for the recordation of the names and addresses of the Lenders, and the Revolving Commitment of, and principal amount of (and stated interest on) the Loans and LC Disbursements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Borrowers, any Issuing Bank and any Lender, at any reasonable time and from time to time upon reasonable prior notice.</w:t>
      </w:r>
    </w:p>
    <w:p>
      <w:pPr>
        <w:spacing w:after="0" w:line="83" w:lineRule="exact"/>
        <w:rPr>
          <w:rFonts w:ascii="Arial" w:cs="Arial" w:eastAsia="Arial" w:hAnsi="Arial"/>
          <w:sz w:val="18"/>
          <w:szCs w:val="18"/>
          <w:color w:val="auto"/>
        </w:rPr>
      </w:pPr>
    </w:p>
    <w:p>
      <w:pPr>
        <w:ind w:left="444" w:firstLine="419"/>
        <w:spacing w:after="0" w:line="290" w:lineRule="auto"/>
        <w:tabs>
          <w:tab w:leader="none" w:pos="1122" w:val="left"/>
        </w:tabs>
        <w:numPr>
          <w:ilvl w:val="2"/>
          <w:numId w:val="184"/>
        </w:numPr>
        <w:rPr>
          <w:rFonts w:ascii="Arial" w:cs="Arial" w:eastAsia="Arial" w:hAnsi="Arial"/>
          <w:sz w:val="16"/>
          <w:szCs w:val="16"/>
          <w:color w:val="auto"/>
        </w:rPr>
      </w:pPr>
      <w:r>
        <w:rPr>
          <w:rFonts w:ascii="Arial" w:cs="Arial" w:eastAsia="Arial" w:hAnsi="Arial"/>
          <w:sz w:val="16"/>
          <w:szCs w:val="16"/>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either the assigning Lender or the assignee shall have failed to make any payment required to be made by it pursuant to Section 2.05, 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57" w:lineRule="exact"/>
        <w:rPr>
          <w:rFonts w:ascii="Arial" w:cs="Arial" w:eastAsia="Arial" w:hAnsi="Arial"/>
          <w:sz w:val="16"/>
          <w:szCs w:val="16"/>
          <w:color w:val="auto"/>
        </w:rPr>
      </w:pPr>
    </w:p>
    <w:p>
      <w:pPr>
        <w:ind w:left="4" w:firstLine="436"/>
        <w:spacing w:after="0" w:line="290" w:lineRule="auto"/>
        <w:tabs>
          <w:tab w:leader="none" w:pos="689" w:val="left"/>
        </w:tabs>
        <w:numPr>
          <w:ilvl w:val="1"/>
          <w:numId w:val="184"/>
        </w:numPr>
        <w:rPr>
          <w:rFonts w:ascii="Arial" w:cs="Arial" w:eastAsia="Arial" w:hAnsi="Arial"/>
          <w:sz w:val="16"/>
          <w:szCs w:val="16"/>
          <w:color w:val="auto"/>
        </w:rPr>
      </w:pPr>
      <w:r>
        <w:rPr>
          <w:rFonts w:ascii="Arial" w:cs="Arial" w:eastAsia="Arial" w:hAnsi="Arial"/>
          <w:sz w:val="16"/>
          <w:szCs w:val="16"/>
          <w:color w:val="auto"/>
        </w:rPr>
        <w:t>Any Lender may, without the consent of the Borrowers, the Administrative Agent, the Issuing Banks or the Swingline Lenders,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Revolving Commitment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04"/>
          </w:cols>
          <w:pgMar w:left="436" w:top="274" w:right="459" w:bottom="1440" w:gutter="0" w:footer="0" w:header="0"/>
        </w:sectPr>
      </w:pPr>
    </w:p>
    <w:bookmarkStart w:id="165" w:name="page166"/>
    <w:bookmarkEnd w:id="165"/>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consent of the Participant, agree to any amendment, modification or waiver described in the first proviso to Section 9.02(b) that affects such Participant. Subject to the following paragraph, the Borrowers agree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 agrees to be subject to the provisions of Sections 2.18 and 2.19 as if it were an assignee under paragraph (b) of this Section; and (B) shall not be entitled to receive any greater payment under Section 2.15, 2.16 or 2.17,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65"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Each Lender that sells a participation agrees, at the Borrowers’ request and expense, to use reasonable efforts to cooperate with the Borrowers to effectuate the provisions of Section 2.19(b) with respect to any Participant. To the extent permitted by law, each Participant also shall be entitled to the benefits of Section 9.08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Participant agrees to be subject to Section 2.18(c) as though it were a Lender. Each Lender that sells a participation shall, acting solely for this purpose as a non-fiduciary agent of the Borrowers, maintain a register on which it enters the name and address of each Participant and the principal amounts of (and stated interest on) each Participant’s interest in the Loans or other obligations under this Agreement or any other Loan Document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Aggregate Revolving Commitments, Loans, Letters of Credit or its other obligations under any Loan Document) to any Person except to the extent that such disclosure is necessary to establish that such Aggregate Revolving Commitment, Loan, Letter of Credit or other obligation is in registered form under Section 5f.103-1(c) of the United States Treasury Regulations and Proposed Treasury Regulations Section 1.163-5(b)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76" w:lineRule="exact"/>
        <w:rPr>
          <w:sz w:val="20"/>
          <w:szCs w:val="20"/>
          <w:color w:val="auto"/>
        </w:rPr>
      </w:pPr>
    </w:p>
    <w:p>
      <w:pPr>
        <w:jc w:val="both"/>
        <w:ind w:firstLine="436"/>
        <w:spacing w:after="0" w:line="257" w:lineRule="auto"/>
        <w:tabs>
          <w:tab w:leader="none" w:pos="69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to any other central bank having jurisdiction over such Lender),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8"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Survival</w:t>
      </w:r>
      <w:r>
        <w:rPr>
          <w:rFonts w:ascii="Arial" w:cs="Arial" w:eastAsia="Arial" w:hAnsi="Arial"/>
          <w:sz w:val="17"/>
          <w:szCs w:val="17"/>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any Lender Party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(unless such Letter of Credit has been cash collateralized in accordance with Section 2.06(k)) and so long as the Revolving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Revolving Commitments or the termination of this Agreement or any provision hereof.</w:t>
      </w:r>
    </w:p>
    <w:p>
      <w:pPr>
        <w:spacing w:after="0" w:line="182"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Counterparts; Integration; Effectiveness</w:t>
      </w:r>
      <w:r>
        <w:rPr>
          <w:rFonts w:ascii="Arial" w:cs="Arial" w:eastAsia="Arial" w:hAnsi="Arial"/>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960"/>
          </w:cols>
          <w:pgMar w:left="440" w:top="274" w:right="499" w:bottom="1440" w:gutter="0" w:footer="0" w:header="0"/>
        </w:sectPr>
      </w:pPr>
    </w:p>
    <w:bookmarkStart w:id="166" w:name="page167"/>
    <w:bookmarkEnd w:id="166"/>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emailed.pdf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9"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7"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Borrowers or any Loan Guarantor against any of and all the Secured Obligations held by such Lender, irrespective of whether or not such Lender shall have made any demand under the Loan Documents and although such obligations may be unmatured. The applicable Lender shall notify the Borrower Representative and the Administrative Agent of such set-off or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any delay in giving such notice shall not affect the validity of any such set-off or application under this Section. The rights of each Lender under this Section are in addition to other rights and remedies (including other rights of setoff) which such Lender may have.</w:t>
      </w:r>
    </w:p>
    <w:p>
      <w:pPr>
        <w:spacing w:after="0" w:line="178"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SECTION 9.09 </w:t>
      </w:r>
      <w:r>
        <w:rPr>
          <w:rFonts w:ascii="Arial" w:cs="Arial" w:eastAsia="Arial" w:hAnsi="Arial"/>
          <w:sz w:val="17"/>
          <w:szCs w:val="17"/>
          <w:u w:val="single" w:color="auto"/>
          <w:color w:val="auto"/>
        </w:rPr>
        <w:t>Governing Law; Jurisdiction; Consent to Service of Process</w:t>
      </w:r>
      <w:r>
        <w:rPr>
          <w:rFonts w:ascii="Arial" w:cs="Arial" w:eastAsia="Arial" w:hAnsi="Arial"/>
          <w:sz w:val="17"/>
          <w:szCs w:val="17"/>
          <w:color w:val="auto"/>
        </w:rPr>
        <w:t xml:space="preserve">. (a) The Loan Documents (other than those containing a contrary express choice of law provision) shall be governed by and construed in accordance with the internal laws (and not the law of conflicts) of the State of New York, but giving effect to federal laws applicable to national banks;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if the laws of any jurisdiction other than the State of New York shall govern in regard to the validity, perfection or effect of perfection of any Lien or in regard to procedural matters affecting enforcement of any Liens on all or any party of the Collateral, such laws of such other jurisdictions shall continue to apply to that extent.</w:t>
      </w:r>
    </w:p>
    <w:p>
      <w:pPr>
        <w:spacing w:after="0" w:line="68" w:lineRule="exact"/>
        <w:rPr>
          <w:sz w:val="20"/>
          <w:szCs w:val="20"/>
          <w:color w:val="auto"/>
        </w:rPr>
      </w:pPr>
    </w:p>
    <w:p>
      <w:pPr>
        <w:ind w:firstLine="436"/>
        <w:spacing w:after="0" w:line="288" w:lineRule="auto"/>
        <w:tabs>
          <w:tab w:leader="none" w:pos="69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Each party hereto hereby irrevocably and unconditionally submits, for itself and its property, to the nonexclusive jurisdiction of any U.S. federal or New York State court sitting in New York County, New York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claims with respect to Canadian Loan Documents may, as provided therein, also be tried in the courts of the Province of Ontario.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Banks or any Lender may otherwise have to bring any action or proceeding relating to this Agreement or any other Loan Document against any Loan Party or its properties in the courts of any jurisdiction. Any judicial proceeding by any Loan Party party hereto against the Administrative Agent or any Lender or any affiliate of the Administrative Agent or any Lender involving, directly or indirectly, any matter in any way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00"/>
          </w:cols>
          <w:pgMar w:left="440" w:top="274" w:right="459" w:bottom="1440" w:gutter="0" w:footer="0" w:header="0"/>
        </w:sectPr>
      </w:pPr>
    </w:p>
    <w:bookmarkStart w:id="167" w:name="page168"/>
    <w:bookmarkEnd w:id="167"/>
    <w:p>
      <w:pPr>
        <w:ind w:left="4"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arising out of, related to, or connected with this Agreement or any other Loan Document (other than the Canadian Loan Documents) shall be brought only in a court in New York, New York.</w:t>
      </w:r>
    </w:p>
    <w:p>
      <w:pPr>
        <w:spacing w:after="0" w:line="62" w:lineRule="exact"/>
        <w:rPr>
          <w:sz w:val="20"/>
          <w:szCs w:val="20"/>
          <w:color w:val="auto"/>
        </w:rPr>
      </w:pPr>
    </w:p>
    <w:p>
      <w:pPr>
        <w:ind w:left="4" w:right="20" w:firstLine="436"/>
        <w:spacing w:after="0" w:line="279" w:lineRule="auto"/>
        <w:tabs>
          <w:tab w:leader="none" w:pos="689" w:val="left"/>
        </w:tabs>
        <w:numPr>
          <w:ilvl w:val="0"/>
          <w:numId w:val="187"/>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63" w:lineRule="exact"/>
        <w:rPr>
          <w:rFonts w:ascii="Arial" w:cs="Arial" w:eastAsia="Arial" w:hAnsi="Arial"/>
          <w:sz w:val="17"/>
          <w:szCs w:val="17"/>
          <w:color w:val="auto"/>
        </w:rPr>
      </w:pPr>
    </w:p>
    <w:p>
      <w:pPr>
        <w:ind w:left="4" w:right="320" w:firstLine="436"/>
        <w:spacing w:after="0" w:line="342" w:lineRule="auto"/>
        <w:tabs>
          <w:tab w:leader="none" w:pos="69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5" w:lineRule="exact"/>
        <w:rPr>
          <w:rFonts w:ascii="Arial" w:cs="Arial" w:eastAsia="Arial" w:hAnsi="Arial"/>
          <w:sz w:val="16"/>
          <w:szCs w:val="16"/>
          <w:color w:val="auto"/>
        </w:rPr>
      </w:pPr>
    </w:p>
    <w:p>
      <w:pPr>
        <w:ind w:left="4" w:right="60" w:firstLine="436"/>
        <w:spacing w:after="0" w:line="270" w:lineRule="auto"/>
        <w:tabs>
          <w:tab w:leader="none" w:pos="689" w:val="left"/>
        </w:tabs>
        <w:numPr>
          <w:ilvl w:val="0"/>
          <w:numId w:val="187"/>
        </w:numPr>
        <w:rPr>
          <w:rFonts w:ascii="Arial" w:cs="Arial" w:eastAsia="Arial" w:hAnsi="Arial"/>
          <w:sz w:val="17"/>
          <w:szCs w:val="17"/>
          <w:color w:val="auto"/>
        </w:rPr>
      </w:pPr>
      <w:r>
        <w:rPr>
          <w:rFonts w:ascii="Arial" w:cs="Arial" w:eastAsia="Arial" w:hAnsi="Arial"/>
          <w:sz w:val="17"/>
          <w:szCs w:val="17"/>
          <w:color w:val="auto"/>
        </w:rPr>
        <w:t>Each Canadian Loan Party party hereto hereby irrevocably appoints the Borrower Representative as its agent for service of process with respect to this Agreement and each other Loan Document and all other related agreements to which it is a party (the “</w:t>
      </w:r>
      <w:r>
        <w:rPr>
          <w:rFonts w:ascii="Arial" w:cs="Arial" w:eastAsia="Arial" w:hAnsi="Arial"/>
          <w:sz w:val="17"/>
          <w:szCs w:val="17"/>
          <w:u w:val="single" w:color="auto"/>
          <w:color w:val="auto"/>
        </w:rPr>
        <w:t>Process Agent</w:t>
      </w:r>
      <w:r>
        <w:rPr>
          <w:rFonts w:ascii="Arial" w:cs="Arial" w:eastAsia="Arial" w:hAnsi="Arial"/>
          <w:sz w:val="17"/>
          <w:szCs w:val="17"/>
          <w:color w:val="auto"/>
        </w:rPr>
        <w:t>”) and the Borrower Representative hereby accepts such appointment as the Process Agent and hereby agrees to forward promptly to each Canadian Loan Party party hereto all legal process addressed to such Canadian Loan Party received by the Process Agent. Each Canadian Loan Party party hereto hereby agrees that the failure of the Borrower Representative to give any notice of any such service shall not impair or affect the validity of such service or of any judgment rendered in any action or proceeding based thereon. To the extent any Canadian Loan Party party hereto has or hereafter may acquire any immunity from jurisdiction of any court or from any legal process (whether through service or notice, attachment prior to judgment, attachment in aid of execution, execution or otherwise) with respect to itself or its property, such Canadian Loan Party hereby irrevocably waives such immunity in respect of its obligations under this Agreement and each other Loan Document.</w:t>
      </w:r>
    </w:p>
    <w:p>
      <w:pPr>
        <w:spacing w:after="0" w:line="181" w:lineRule="exact"/>
        <w:rPr>
          <w:sz w:val="20"/>
          <w:szCs w:val="20"/>
          <w:color w:val="auto"/>
        </w:rPr>
      </w:pPr>
    </w:p>
    <w:p>
      <w:pPr>
        <w:ind w:left="4" w:right="40" w:firstLine="440"/>
        <w:spacing w:after="0" w:line="268"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1" w:lineRule="exact"/>
        <w:rPr>
          <w:sz w:val="20"/>
          <w:szCs w:val="20"/>
          <w:color w:val="auto"/>
        </w:rPr>
      </w:pPr>
    </w:p>
    <w:p>
      <w:pPr>
        <w:ind w:left="4" w:right="360" w:hanging="4"/>
        <w:spacing w:after="0" w:line="260" w:lineRule="auto"/>
        <w:tabs>
          <w:tab w:leader="none" w:pos="279"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ACKNOWLEDGES THAT IT AND THE OTHER PARTIES HERETO HAVE BEEN INDUCED TO ENTER INTO THIS AGREEMENT BY, AMONG OTHER THINGS, THE MUTUAL WAIVERS AND CERTIFICATIONS IN THIS SECTION.</w:t>
      </w:r>
    </w:p>
    <w:p>
      <w:pPr>
        <w:spacing w:after="0" w:line="185" w:lineRule="exact"/>
        <w:rPr>
          <w:sz w:val="20"/>
          <w:szCs w:val="20"/>
          <w:color w:val="auto"/>
        </w:rPr>
      </w:pPr>
    </w:p>
    <w:p>
      <w:pPr>
        <w:ind w:left="4" w:right="160" w:firstLine="440"/>
        <w:spacing w:after="0" w:line="308"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6"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Lender Parties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Requirement of Laws or by any subpoena or similar legal process, (d) to any other party to this Agreement, (e) in connection with the exercise of any remedies hereunder or any suit, action or proceeding relating to this Agreement or any other Loan Document or the enforcement of rights hereunder or thereunder,</w:t>
      </w:r>
    </w:p>
    <w:p>
      <w:pPr>
        <w:spacing w:after="0" w:line="4" w:lineRule="exact"/>
        <w:rPr>
          <w:sz w:val="20"/>
          <w:szCs w:val="20"/>
          <w:color w:val="auto"/>
        </w:rPr>
      </w:pPr>
    </w:p>
    <w:p>
      <w:pPr>
        <w:ind w:left="4" w:right="100" w:hanging="4"/>
        <w:spacing w:after="0" w:line="281" w:lineRule="auto"/>
        <w:tabs>
          <w:tab w:leader="none" w:pos="229" w:val="left"/>
        </w:tabs>
        <w:numPr>
          <w:ilvl w:val="0"/>
          <w:numId w:val="189"/>
        </w:numPr>
        <w:rPr>
          <w:rFonts w:ascii="Arial" w:cs="Arial" w:eastAsia="Arial" w:hAnsi="Arial"/>
          <w:sz w:val="16"/>
          <w:szCs w:val="16"/>
          <w:color w:val="auto"/>
        </w:rPr>
      </w:pPr>
      <w:r>
        <w:rPr>
          <w:rFonts w:ascii="Arial" w:cs="Arial" w:eastAsia="Arial" w:hAnsi="Arial"/>
          <w:sz w:val="16"/>
          <w:szCs w:val="16"/>
          <w:color w:val="auto"/>
        </w:rPr>
        <w:t>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Loan Parties and their obligations, (g) with the consent of the Borrower Representative or</w:t>
      </w:r>
    </w:p>
    <w:p>
      <w:pPr>
        <w:spacing w:after="0" w:line="1" w:lineRule="exact"/>
        <w:rPr>
          <w:rFonts w:ascii="Arial" w:cs="Arial" w:eastAsia="Arial" w:hAnsi="Arial"/>
          <w:sz w:val="16"/>
          <w:szCs w:val="16"/>
          <w:color w:val="auto"/>
        </w:rPr>
      </w:pPr>
    </w:p>
    <w:p>
      <w:pPr>
        <w:ind w:left="4" w:right="20" w:hanging="4"/>
        <w:spacing w:after="0" w:line="255" w:lineRule="auto"/>
        <w:tabs>
          <w:tab w:leader="none" w:pos="25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to the extent such Information (i) becomes publicly available other than as a result of a breach of this Section or (ii) becomes available to any Lender Party on a non-confidential basis from a source other than the Borrowers unless such Lender Party knows that such information was obtained in violation of any confidentiality agreement or arrangement. For the purposes of this</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04"/>
          </w:cols>
          <w:pgMar w:left="436" w:top="274" w:right="459" w:bottom="1440" w:gutter="0" w:footer="0" w:header="0"/>
        </w:sectPr>
      </w:pPr>
    </w:p>
    <w:bookmarkStart w:id="168" w:name="page169"/>
    <w:bookmarkEnd w:id="168"/>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the Borrowers relating to the Borrowers or their business, other than any such information that is available to any Lender Party on a non-confidential basis prior to disclosure by the Borrowers and other than information pertaining to this Agreement routinely provided by arrangers to data service providers, including league table providers, that serve the lending industry;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Borrowers after the Fourth Restatement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1" w:lineRule="exact"/>
        <w:rPr>
          <w:sz w:val="20"/>
          <w:szCs w:val="20"/>
          <w:color w:val="auto"/>
        </w:rPr>
      </w:pPr>
    </w:p>
    <w:p>
      <w:pPr>
        <w:ind w:right="40" w:firstLine="991"/>
        <w:spacing w:after="0" w:line="256" w:lineRule="auto"/>
        <w:rPr>
          <w:sz w:val="20"/>
          <w:szCs w:val="20"/>
          <w:color w:val="auto"/>
        </w:rPr>
      </w:pPr>
      <w:r>
        <w:rPr>
          <w:rFonts w:ascii="Arial" w:cs="Arial" w:eastAsia="Arial" w:hAnsi="Arial"/>
          <w:sz w:val="18"/>
          <w:szCs w:val="18"/>
          <w:b w:val="1"/>
          <w:bCs w:val="1"/>
          <w:color w:val="auto"/>
        </w:rPr>
        <w:t>EACH LENDER ACKNOWLEDGES THAT INFORMATION AS DEFINED IN SECTION 9.12 FURNISHED TO IT PURSUANT TO THIS AGREEMENT MAY INCLUDE MATERIAL NON-PUBLIC INFORMATION CONCERNING HOLDINGS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7"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b w:val="1"/>
          <w:bCs w:val="1"/>
          <w:color w:val="auto"/>
        </w:rPr>
        <w:t>ALL INFORMATION, INCLUDING REQUESTS FOR WAIVERS AND AMENDMENTS, FURNISHED BY THE BORROWERS OR THE ADMINISTRATIVE AGENT PURSUANT TO, OR IN THE COURSE OF ADMINISTERING, THIS AGREEMENT WILL BE SYNDICATE-LEVEL INFORMATION, WHICH MAY CONTAIN MATERIAL NON-PUBLIC INFORMATION ABOUT THE LOAN PARTIES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9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Several Obligations; Nonreliance; Violation of Law</w:t>
      </w:r>
      <w:r>
        <w:rPr>
          <w:rFonts w:ascii="Arial" w:cs="Arial" w:eastAsia="Arial" w:hAnsi="Arial"/>
          <w:sz w:val="18"/>
          <w:szCs w:val="18"/>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for the repayment of the Borrowings provided for herein. Anything contained in this Agreement to the contrary notwithstanding, neither any Issuing Bank nor any Lender shall be obligated to extend credit to the Borrowers in violation of any Requirement of Law.</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USA Patriot Act (Title III of Pub. L. 107-56 (signed into law October 26, 2001)) (the “</w:t>
      </w:r>
      <w:r>
        <w:rPr>
          <w:rFonts w:ascii="Arial" w:cs="Arial" w:eastAsia="Arial" w:hAnsi="Arial"/>
          <w:sz w:val="18"/>
          <w:szCs w:val="18"/>
          <w:u w:val="single" w:color="auto"/>
          <w:color w:val="auto"/>
        </w:rPr>
        <w:t>USA Patriot Act</w:t>
      </w:r>
      <w:r>
        <w:rPr>
          <w:rFonts w:ascii="Arial" w:cs="Arial" w:eastAsia="Arial" w:hAnsi="Arial"/>
          <w:sz w:val="18"/>
          <w:szCs w:val="18"/>
          <w:color w:val="auto"/>
        </w:rPr>
        <w:t>”) hereby notifies Holdings and the Borrowers that pursuant to the requirements of the USA Patriot Act, it is required to obtain, verify and record information that identifies Holdings, the Borrowers and the other Loan Parties, which information includes the names and addresses of Holdings, the Borrowers and the other Loan Parties and other information that will allow such Lender to identify Holdings, the Borrowers and the other Loan Parties in accordance with the USA Patriot Act.</w:t>
      </w:r>
    </w:p>
    <w:p>
      <w:pPr>
        <w:spacing w:after="0" w:line="188"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Disclosure</w:t>
      </w:r>
      <w:r>
        <w:rPr>
          <w:rFonts w:ascii="Arial" w:cs="Arial" w:eastAsia="Arial" w:hAnsi="Arial"/>
          <w:sz w:val="16"/>
          <w:szCs w:val="16"/>
          <w:color w:val="auto"/>
        </w:rPr>
        <w:t>. Each Loan Party and each Lender hereby acknowledges and agrees that the Administrative Agent and/or its Affiliates from time to time may hold investments in, make other loans to or have other relationships with any of the Loan Parties and their respective Affiliates.</w:t>
      </w:r>
    </w:p>
    <w:p>
      <w:pPr>
        <w:spacing w:after="0" w:line="124"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SECTION 9.16 </w:t>
      </w:r>
      <w:r>
        <w:rPr>
          <w:rFonts w:ascii="Arial" w:cs="Arial" w:eastAsia="Arial" w:hAnsi="Arial"/>
          <w:sz w:val="17"/>
          <w:szCs w:val="17"/>
          <w:u w:val="single" w:color="auto"/>
          <w:color w:val="auto"/>
        </w:rPr>
        <w:t>Appointment for Perfection</w:t>
      </w:r>
      <w:r>
        <w:rPr>
          <w:rFonts w:ascii="Arial" w:cs="Arial" w:eastAsia="Arial" w:hAnsi="Arial"/>
          <w:sz w:val="17"/>
          <w:szCs w:val="17"/>
          <w:color w:val="auto"/>
        </w:rPr>
        <w:t xml:space="preserve">. Each Lender Party hereby appoints each other Lender Party as its agent for the purpose of perfecting Liens, for the benefit of the Lender Parties or the Canadian Lender Parties, as the case may be, in assets which, in accordance with Article 9 of the UCC, the PPSA, the </w:t>
      </w:r>
      <w:r>
        <w:rPr>
          <w:rFonts w:ascii="Arial" w:cs="Arial" w:eastAsia="Arial" w:hAnsi="Arial"/>
          <w:sz w:val="17"/>
          <w:szCs w:val="17"/>
          <w:i w:val="1"/>
          <w:iCs w:val="1"/>
          <w:color w:val="auto"/>
        </w:rPr>
        <w:t>Securities Transfer Act</w:t>
      </w:r>
      <w:r>
        <w:rPr>
          <w:rFonts w:ascii="Arial" w:cs="Arial" w:eastAsia="Arial" w:hAnsi="Arial"/>
          <w:sz w:val="17"/>
          <w:szCs w:val="17"/>
          <w:color w:val="auto"/>
        </w:rPr>
        <w:t xml:space="preserve"> (Ontario) or any other applicable law can be perfected only by possession. Should any Lender Party (other than the Administrative Agent) obtain possession of any such Collateral, such Lender Party shall notify the Administrative Agent thereof, and, promptly upon the Administrative Agent’s request therefor shall deliver such Collateral to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00"/>
          </w:cols>
          <w:pgMar w:left="440" w:top="274" w:right="4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or otherwise deal with such Collateral in accordance with the Administrative Agent’s instructions.</w:t>
      </w:r>
    </w:p>
    <w:p>
      <w:pPr>
        <w:spacing w:after="0" w:line="225" w:lineRule="exact"/>
        <w:rPr>
          <w:sz w:val="20"/>
          <w:szCs w:val="20"/>
          <w:color w:val="auto"/>
        </w:rPr>
      </w:pPr>
    </w:p>
    <w:p>
      <w:pPr>
        <w:ind w:right="100" w:firstLine="440"/>
        <w:spacing w:after="0" w:line="289" w:lineRule="auto"/>
        <w:rPr>
          <w:sz w:val="20"/>
          <w:szCs w:val="20"/>
          <w:color w:val="auto"/>
        </w:rPr>
      </w:pPr>
      <w:r>
        <w:rPr>
          <w:rFonts w:ascii="Arial" w:cs="Arial" w:eastAsia="Arial" w:hAnsi="Arial"/>
          <w:sz w:val="16"/>
          <w:szCs w:val="16"/>
          <w:color w:val="auto"/>
        </w:rPr>
        <w:t xml:space="preserve">SECTION 9.17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6"/>
          <w:szCs w:val="16"/>
          <w:u w:val="single" w:color="auto"/>
          <w:color w:val="auto"/>
        </w:rPr>
        <w:t>Charges</w:t>
      </w:r>
      <w:r>
        <w:rPr>
          <w:rFonts w:ascii="Arial" w:cs="Arial" w:eastAsia="Arial" w:hAnsi="Arial"/>
          <w:sz w:val="16"/>
          <w:szCs w:val="16"/>
          <w:color w:val="auto"/>
        </w:rPr>
        <w:t>”), shall exceed the maximum lawful rate (the “</w:t>
      </w:r>
      <w:r>
        <w:rPr>
          <w:rFonts w:ascii="Arial" w:cs="Arial" w:eastAsia="Arial" w:hAnsi="Arial"/>
          <w:sz w:val="16"/>
          <w:szCs w:val="16"/>
          <w:u w:val="single" w:color="auto"/>
          <w:color w:val="auto"/>
        </w:rPr>
        <w:t>Maximum Rate</w:t>
      </w:r>
      <w:r>
        <w:rPr>
          <w:rFonts w:ascii="Arial" w:cs="Arial" w:eastAsia="Arial" w:hAnsi="Arial"/>
          <w:sz w:val="16"/>
          <w:szCs w:val="16"/>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(in the case of dollar denominated amounts) or the Canadian Overnight Rate (in the case of Canadian Dollar denominated amounts) to the date of repayment, shall have been received by such Lender.</w:t>
      </w:r>
    </w:p>
    <w:p>
      <w:pPr>
        <w:spacing w:after="0" w:line="16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9.18 </w:t>
      </w:r>
      <w:r>
        <w:rPr>
          <w:rFonts w:ascii="Arial" w:cs="Arial" w:eastAsia="Arial" w:hAnsi="Arial"/>
          <w:sz w:val="17"/>
          <w:szCs w:val="17"/>
          <w:u w:val="single" w:color="auto"/>
          <w:color w:val="auto"/>
        </w:rPr>
        <w:t>Judgment Currency Conversion</w:t>
      </w:r>
      <w:r>
        <w:rPr>
          <w:rFonts w:ascii="Arial" w:cs="Arial" w:eastAsia="Arial" w:hAnsi="Arial"/>
          <w:sz w:val="17"/>
          <w:szCs w:val="17"/>
          <w:color w:val="auto"/>
        </w:rPr>
        <w:t>. (a) The obligations of the Loan Parties hereunder and under the other Loan Documents to make payments in dollars or in Canadian Dollars, as the case may be (the “</w:t>
      </w:r>
      <w:r>
        <w:rPr>
          <w:rFonts w:ascii="Arial" w:cs="Arial" w:eastAsia="Arial" w:hAnsi="Arial"/>
          <w:sz w:val="17"/>
          <w:szCs w:val="17"/>
          <w:u w:val="single" w:color="auto"/>
          <w:color w:val="auto"/>
        </w:rPr>
        <w:t>Obligation Currency</w:t>
      </w:r>
      <w:r>
        <w:rPr>
          <w:rFonts w:ascii="Arial" w:cs="Arial" w:eastAsia="Arial" w:hAnsi="Arial"/>
          <w:sz w:val="17"/>
          <w:szCs w:val="17"/>
          <w:color w:val="auto"/>
        </w:rPr>
        <w:t>”), shall not be discharged or satisfied by any tender or recovery pursuant to any judgment expressed in or converted into any currency other than the Obligation Currency, except to the extent that such tender or recovery results in the effective receipt by the applicable Loan Party of the full amount of the Obligation Currency expressed to be payable to the applicable Loan Party under this Agreement or the other Loan Documents. If, for the purpose of obtaining or enforcing judgment against any Loan Party in any court or in any jurisdiction, it becomes necessary to convert into or from any currency other than the Obligation Currency (such other currency being hereinafter referred to as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an amount due in the Obligation Currency, the conversion shall be made, at the Administrative Agent’s quoted rate of exchange prevailing, in each case, as of the date immediately preceding the day on which the judgment is given (such Business Day being hereinafter referred to as the “</w:t>
      </w:r>
      <w:r>
        <w:rPr>
          <w:rFonts w:ascii="Arial" w:cs="Arial" w:eastAsia="Arial" w:hAnsi="Arial"/>
          <w:sz w:val="17"/>
          <w:szCs w:val="17"/>
          <w:u w:val="single" w:color="auto"/>
          <w:color w:val="auto"/>
        </w:rPr>
        <w:t>Judgment Currency Conversion Date</w:t>
      </w:r>
      <w:r>
        <w:rPr>
          <w:rFonts w:ascii="Arial" w:cs="Arial" w:eastAsia="Arial" w:hAnsi="Arial"/>
          <w:sz w:val="17"/>
          <w:szCs w:val="17"/>
          <w:color w:val="auto"/>
        </w:rPr>
        <w:t>”).</w:t>
      </w:r>
    </w:p>
    <w:p>
      <w:pPr>
        <w:spacing w:after="0" w:line="73" w:lineRule="exact"/>
        <w:rPr>
          <w:sz w:val="20"/>
          <w:szCs w:val="20"/>
          <w:color w:val="auto"/>
        </w:rPr>
      </w:pPr>
    </w:p>
    <w:p>
      <w:pPr>
        <w:ind w:firstLine="436"/>
        <w:spacing w:after="0" w:line="254" w:lineRule="auto"/>
        <w:tabs>
          <w:tab w:leader="none" w:pos="69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If there is a change in the rate of exchange prevailing between the Judgment Currency Conversion Date and the date of actual payment of the amount due, the Loan Parties each covenant and agree to pay, or cause to be paid,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 Any amount due from a Loan Party under this Section 9.18 shall be due as a separate debt and shall not be affected by judgment being obtained for any other amounts due under or in respect of any of the Loan Documents.</w:t>
      </w:r>
    </w:p>
    <w:p>
      <w:pPr>
        <w:spacing w:after="0" w:line="86" w:lineRule="exact"/>
        <w:rPr>
          <w:rFonts w:ascii="Arial" w:cs="Arial" w:eastAsia="Arial" w:hAnsi="Arial"/>
          <w:sz w:val="18"/>
          <w:szCs w:val="18"/>
          <w:color w:val="auto"/>
        </w:rPr>
      </w:pPr>
    </w:p>
    <w:p>
      <w:pPr>
        <w:ind w:firstLine="436"/>
        <w:spacing w:after="0" w:line="277" w:lineRule="auto"/>
        <w:tabs>
          <w:tab w:leader="none" w:pos="68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For purposes of determining the prevailing rate of exchange, such amounts shall include any premium and costs payable in connection with the purchase of the Obligation Currency.</w:t>
      </w:r>
    </w:p>
    <w:p>
      <w:pPr>
        <w:spacing w:after="0" w:line="170"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SECTION 9.19 </w:t>
      </w:r>
      <w:r>
        <w:rPr>
          <w:rFonts w:ascii="Arial" w:cs="Arial" w:eastAsia="Arial" w:hAnsi="Arial"/>
          <w:sz w:val="17"/>
          <w:szCs w:val="17"/>
          <w:u w:val="single" w:color="auto"/>
          <w:color w:val="auto"/>
        </w:rPr>
        <w:t>Canadian Anti-Money Laundering Legislation</w:t>
      </w:r>
      <w:r>
        <w:rPr>
          <w:rFonts w:ascii="Arial" w:cs="Arial" w:eastAsia="Arial" w:hAnsi="Arial"/>
          <w:sz w:val="17"/>
          <w:szCs w:val="17"/>
          <w:color w:val="auto"/>
        </w:rPr>
        <w:t>. (a) Each Borrower acknowledges that, pursuant to the Proceeds of Crime Act and other applicable anti-money laundering, anti-terrorist financing, government sanction and “know your client” laws (collectively, including any guidelines or orders thereunder, “</w:t>
      </w:r>
      <w:r>
        <w:rPr>
          <w:rFonts w:ascii="Arial" w:cs="Arial" w:eastAsia="Arial" w:hAnsi="Arial"/>
          <w:sz w:val="17"/>
          <w:szCs w:val="17"/>
          <w:u w:val="single" w:color="auto"/>
          <w:color w:val="auto"/>
        </w:rPr>
        <w:t>AML Legislation</w:t>
      </w:r>
      <w:r>
        <w:rPr>
          <w:rFonts w:ascii="Arial" w:cs="Arial" w:eastAsia="Arial" w:hAnsi="Arial"/>
          <w:sz w:val="17"/>
          <w:szCs w:val="17"/>
          <w:color w:val="auto"/>
        </w:rPr>
        <w:t>”), the Lender Parties may be required to obtain, verify and record information regarding the Borrowers and their respective directors, authorized signing officers, direct or indirect shareholders or other Persons in control of the Borrowers, and the transactions contemplated hereby. Each Borrower shall promptly provide all such information, including supporting documentation and other evidence, as may be reasonably requested by any Lender Party or any prospective assignee or Participant of a Lender, any Issuing Bank or the Administrative Agent, in order to comply with any applicable AML Legislation, whether now or hereafter in existence.</w:t>
      </w:r>
    </w:p>
    <w:p>
      <w:pPr>
        <w:spacing w:after="0" w:line="69" w:lineRule="exact"/>
        <w:rPr>
          <w:sz w:val="20"/>
          <w:szCs w:val="20"/>
          <w:color w:val="auto"/>
        </w:rPr>
      </w:pPr>
    </w:p>
    <w:p>
      <w:pPr>
        <w:ind w:right="360" w:firstLine="436"/>
        <w:spacing w:after="0" w:line="277" w:lineRule="auto"/>
        <w:tabs>
          <w:tab w:leader="none" w:pos="69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the Administrative Agent has ascertained the identity of any Borrower or any authorized signatories of the Borrower for the purposes of applicable AML Legislation, then the Administrative Agent: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00"/>
          </w:cols>
          <w:pgMar w:left="440" w:top="274" w:right="459" w:bottom="1440" w:gutter="0" w:footer="0" w:header="0"/>
        </w:sectPr>
      </w:pPr>
    </w:p>
    <w:bookmarkStart w:id="170" w:name="page171"/>
    <w:bookmarkEnd w:id="170"/>
    <w:p>
      <w:pPr>
        <w:ind w:left="440" w:right="340" w:firstLine="419"/>
        <w:spacing w:after="0" w:line="308" w:lineRule="auto"/>
        <w:tabs>
          <w:tab w:leader="none" w:pos="1078" w:val="left"/>
        </w:tabs>
        <w:numPr>
          <w:ilvl w:val="0"/>
          <w:numId w:val="1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deemed to have done so as an agent for each Lender Party, and this Agreement shall constitute a “written agreement” in such regard between each Lender Party and the Administrative Agent within the meaning of the applicable AML Legislation; and</w:t>
      </w:r>
    </w:p>
    <w:p>
      <w:pPr>
        <w:spacing w:after="0" w:line="38" w:lineRule="exact"/>
        <w:rPr>
          <w:rFonts w:ascii="Arial" w:cs="Arial" w:eastAsia="Arial" w:hAnsi="Arial"/>
          <w:sz w:val="17"/>
          <w:szCs w:val="17"/>
          <w:color w:val="auto"/>
        </w:rPr>
      </w:pPr>
    </w:p>
    <w:p>
      <w:pPr>
        <w:ind w:left="440" w:right="420" w:firstLine="419"/>
        <w:spacing w:after="0" w:line="277" w:lineRule="auto"/>
        <w:tabs>
          <w:tab w:leader="none" w:pos="112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shall provide to each Lender Party copies of all information obtained in such regard without any representation or warranty as to its accuracy or completeness.</w:t>
      </w:r>
    </w:p>
    <w:p>
      <w:pPr>
        <w:spacing w:after="0" w:line="170"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Notwithstanding the preceding sentence and except as may otherwise be agreed in writing, each of the Lender Parties agrees that the Administrative Agent has no obligation to ascertain the identity of the Borrowers or any authorized signatories of the Borrowers on behalf of any Lender Party, or to confirm the completeness or accuracy of any information it obtains from any Borrower or any such authorized signatory in doing so.</w:t>
      </w:r>
    </w:p>
    <w:p>
      <w:pPr>
        <w:spacing w:after="0" w:line="149"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 xml:space="preserve">SECTION 9.20 </w:t>
      </w:r>
      <w:r>
        <w:rPr>
          <w:rFonts w:ascii="Arial" w:cs="Arial" w:eastAsia="Arial" w:hAnsi="Arial"/>
          <w:sz w:val="18"/>
          <w:szCs w:val="18"/>
          <w:u w:val="single" w:color="auto"/>
          <w:color w:val="auto"/>
        </w:rPr>
        <w:t>Lender Loss Sharing Agreement</w:t>
      </w:r>
      <w:r>
        <w:rPr>
          <w:rFonts w:ascii="Arial" w:cs="Arial" w:eastAsia="Arial" w:hAnsi="Arial"/>
          <w:sz w:val="18"/>
          <w:szCs w:val="18"/>
          <w:color w:val="auto"/>
        </w:rPr>
        <w:t>. (a) Definitions. As used in this Section 9.20, the following terms shall have the following meanings:</w:t>
      </w:r>
    </w:p>
    <w:p>
      <w:pPr>
        <w:spacing w:after="0" w:line="62" w:lineRule="exact"/>
        <w:rPr>
          <w:sz w:val="20"/>
          <w:szCs w:val="20"/>
          <w:color w:val="auto"/>
        </w:rPr>
      </w:pPr>
    </w:p>
    <w:p>
      <w:pPr>
        <w:ind w:left="440" w:right="20" w:firstLine="419"/>
        <w:spacing w:after="0" w:line="277" w:lineRule="auto"/>
        <w:tabs>
          <w:tab w:leader="none" w:pos="107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w:t>
      </w:r>
      <w:r>
        <w:rPr>
          <w:rFonts w:ascii="Arial" w:cs="Arial" w:eastAsia="Arial" w:hAnsi="Arial"/>
          <w:sz w:val="18"/>
          <w:szCs w:val="18"/>
          <w:color w:val="auto"/>
        </w:rPr>
        <w:t>” means the mechanism for the allocation and exchange of interests in the Loans, participations in Letters of Credit and collections thereunder established under Section 9.20(b).</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Exchange</w:t>
      </w:r>
      <w:r>
        <w:rPr>
          <w:rFonts w:ascii="Arial" w:cs="Arial" w:eastAsia="Arial" w:hAnsi="Arial"/>
          <w:sz w:val="18"/>
          <w:szCs w:val="18"/>
          <w:color w:val="auto"/>
        </w:rPr>
        <w:t>” means the exchange of the U.S. Lenders’ interests and the Canadian Lenders’ interests provided for in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9.20(b).</w:t>
      </w:r>
    </w:p>
    <w:p>
      <w:pPr>
        <w:spacing w:after="0" w:line="103" w:lineRule="exact"/>
        <w:rPr>
          <w:sz w:val="20"/>
          <w:szCs w:val="20"/>
          <w:color w:val="auto"/>
        </w:rPr>
      </w:pPr>
    </w:p>
    <w:p>
      <w:pPr>
        <w:ind w:left="440" w:right="340" w:firstLine="419"/>
        <w:spacing w:after="0" w:line="263" w:lineRule="auto"/>
        <w:tabs>
          <w:tab w:leader="none" w:pos="117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Exchange Date</w:t>
      </w:r>
      <w:r>
        <w:rPr>
          <w:rFonts w:ascii="Arial" w:cs="Arial" w:eastAsia="Arial" w:hAnsi="Arial"/>
          <w:sz w:val="18"/>
          <w:szCs w:val="18"/>
          <w:color w:val="auto"/>
        </w:rPr>
        <w:t>” means the first date after the Fourth Restatement Date on which there shall occur (a) any event described in paragraphs (i), (j) or (k) of Article VII with respect to any Borrower, or (b) an acceleration of Loans and termination of the Revolving Commitments pursuant to Article VII.</w:t>
      </w:r>
    </w:p>
    <w:p>
      <w:pPr>
        <w:spacing w:after="0" w:line="75" w:lineRule="exact"/>
        <w:rPr>
          <w:rFonts w:ascii="Arial" w:cs="Arial" w:eastAsia="Arial" w:hAnsi="Arial"/>
          <w:sz w:val="18"/>
          <w:szCs w:val="18"/>
          <w:color w:val="auto"/>
        </w:rPr>
      </w:pPr>
    </w:p>
    <w:p>
      <w:pPr>
        <w:ind w:left="440" w:right="200" w:firstLine="419"/>
        <w:spacing w:after="0" w:line="259" w:lineRule="auto"/>
        <w:tabs>
          <w:tab w:leader="none" w:pos="116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Percentage</w:t>
      </w:r>
      <w:r>
        <w:rPr>
          <w:rFonts w:ascii="Arial" w:cs="Arial" w:eastAsia="Arial" w:hAnsi="Arial"/>
          <w:sz w:val="18"/>
          <w:szCs w:val="18"/>
          <w:color w:val="auto"/>
        </w:rPr>
        <w:t>” means as to each Lender, a fraction, (a) the numerator of which shall be the aggregate amount of such Lender’s Revolving Commitments immediately prior to the CAM Exchange Date and the termination of the Revolving Commitments, and (b) the denominator of which shall be the amount of the Revolving Commitments of all the Lenders immediately prior to the CAM Exchange Date and the termination of the Revolving Commitments.</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Obligations</w:t>
      </w:r>
      <w:r>
        <w:rPr>
          <w:rFonts w:ascii="Arial" w:cs="Arial" w:eastAsia="Arial" w:hAnsi="Arial"/>
          <w:sz w:val="18"/>
          <w:szCs w:val="18"/>
          <w:color w:val="auto"/>
        </w:rPr>
        <w:t>” means all Obligations of the Borrowers with respect to (a) principal and interest under the Loans,</w:t>
      </w:r>
    </w:p>
    <w:p>
      <w:pPr>
        <w:spacing w:after="0" w:line="23" w:lineRule="exact"/>
        <w:rPr>
          <w:rFonts w:ascii="Arial" w:cs="Arial" w:eastAsia="Arial" w:hAnsi="Arial"/>
          <w:sz w:val="18"/>
          <w:szCs w:val="18"/>
          <w:color w:val="auto"/>
        </w:rPr>
      </w:pPr>
    </w:p>
    <w:p>
      <w:pPr>
        <w:ind w:left="700" w:hanging="264"/>
        <w:spacing w:after="0"/>
        <w:tabs>
          <w:tab w:leader="none" w:pos="7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unreimbursed drawings under Letters of Credit and interest thereon and (c) fees under Section 2.12.</w:t>
      </w:r>
    </w:p>
    <w:p>
      <w:pPr>
        <w:spacing w:after="0" w:line="102" w:lineRule="exact"/>
        <w:rPr>
          <w:rFonts w:ascii="Arial" w:cs="Arial" w:eastAsia="Arial" w:hAnsi="Arial"/>
          <w:sz w:val="18"/>
          <w:szCs w:val="18"/>
          <w:color w:val="auto"/>
        </w:rPr>
      </w:pPr>
    </w:p>
    <w:p>
      <w:pPr>
        <w:ind w:left="1160" w:hanging="301"/>
        <w:spacing w:after="0"/>
        <w:tabs>
          <w:tab w:leader="none" w:pos="11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Facility</w:t>
      </w:r>
      <w:r>
        <w:rPr>
          <w:rFonts w:ascii="Arial" w:cs="Arial" w:eastAsia="Arial" w:hAnsi="Arial"/>
          <w:sz w:val="18"/>
          <w:szCs w:val="18"/>
          <w:color w:val="auto"/>
        </w:rPr>
        <w:t>” means the facility established under the U.S. Commitments and the Canadian Commitments.</w:t>
      </w:r>
    </w:p>
    <w:p>
      <w:pPr>
        <w:spacing w:after="0" w:line="117" w:lineRule="exact"/>
        <w:rPr>
          <w:sz w:val="20"/>
          <w:szCs w:val="20"/>
          <w:color w:val="auto"/>
        </w:rPr>
      </w:pPr>
    </w:p>
    <w:p>
      <w:pPr>
        <w:ind w:left="700" w:hanging="264"/>
        <w:spacing w:after="0"/>
        <w:tabs>
          <w:tab w:leader="none" w:pos="7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CAM Exchange.</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On the CAM Exchange Date,</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2"/>
          <w:numId w:val="197"/>
        </w:numPr>
        <w:rPr>
          <w:rFonts w:ascii="Arial" w:cs="Arial" w:eastAsia="Arial" w:hAnsi="Arial"/>
          <w:sz w:val="18"/>
          <w:szCs w:val="18"/>
          <w:color w:val="auto"/>
        </w:rPr>
      </w:pPr>
      <w:r>
        <w:rPr>
          <w:rFonts w:ascii="Arial" w:cs="Arial" w:eastAsia="Arial" w:hAnsi="Arial"/>
          <w:sz w:val="18"/>
          <w:szCs w:val="18"/>
          <w:color w:val="auto"/>
        </w:rPr>
        <w:t>the U.S. Commitments and the Canadian Commitments shall have terminated in accordance with Article VII;</w:t>
      </w:r>
    </w:p>
    <w:p>
      <w:pPr>
        <w:spacing w:after="0" w:line="117" w:lineRule="exact"/>
        <w:rPr>
          <w:rFonts w:ascii="Arial" w:cs="Arial" w:eastAsia="Arial" w:hAnsi="Arial"/>
          <w:sz w:val="18"/>
          <w:szCs w:val="18"/>
          <w:color w:val="auto"/>
        </w:rPr>
      </w:pPr>
    </w:p>
    <w:p>
      <w:pPr>
        <w:ind w:left="440" w:right="200" w:firstLine="948"/>
        <w:spacing w:after="0" w:line="263" w:lineRule="auto"/>
        <w:tabs>
          <w:tab w:leader="none" w:pos="1677" w:val="left"/>
        </w:tabs>
        <w:numPr>
          <w:ilvl w:val="2"/>
          <w:numId w:val="197"/>
        </w:numPr>
        <w:rPr>
          <w:rFonts w:ascii="Arial" w:cs="Arial" w:eastAsia="Arial" w:hAnsi="Arial"/>
          <w:sz w:val="18"/>
          <w:szCs w:val="18"/>
          <w:color w:val="auto"/>
        </w:rPr>
      </w:pPr>
      <w:r>
        <w:rPr>
          <w:rFonts w:ascii="Arial" w:cs="Arial" w:eastAsia="Arial" w:hAnsi="Arial"/>
          <w:sz w:val="18"/>
          <w:szCs w:val="18"/>
          <w:color w:val="auto"/>
        </w:rPr>
        <w:t>each U.S. Lender shall fund its participation in any outstanding Swingline Loans and Protective Advances in accordance with Section 2.04 and Section 2.05 of this Agreement, and each Canadian Lender shall fund its participation in any outstanding Swingline Loans and Protective Advances in accordance with Section 2.04 and Section 2.05;</w:t>
      </w:r>
    </w:p>
    <w:p>
      <w:pPr>
        <w:spacing w:after="0" w:line="75" w:lineRule="exact"/>
        <w:rPr>
          <w:rFonts w:ascii="Arial" w:cs="Arial" w:eastAsia="Arial" w:hAnsi="Arial"/>
          <w:sz w:val="18"/>
          <w:szCs w:val="18"/>
          <w:color w:val="auto"/>
        </w:rPr>
      </w:pPr>
    </w:p>
    <w:p>
      <w:pPr>
        <w:jc w:val="both"/>
        <w:ind w:left="440" w:right="240" w:firstLine="948"/>
        <w:spacing w:after="0" w:line="263" w:lineRule="auto"/>
        <w:tabs>
          <w:tab w:leader="none" w:pos="1677" w:val="left"/>
        </w:tabs>
        <w:numPr>
          <w:ilvl w:val="2"/>
          <w:numId w:val="197"/>
        </w:numPr>
        <w:rPr>
          <w:rFonts w:ascii="Arial" w:cs="Arial" w:eastAsia="Arial" w:hAnsi="Arial"/>
          <w:sz w:val="18"/>
          <w:szCs w:val="18"/>
          <w:color w:val="auto"/>
        </w:rPr>
      </w:pPr>
      <w:r>
        <w:rPr>
          <w:rFonts w:ascii="Arial" w:cs="Arial" w:eastAsia="Arial" w:hAnsi="Arial"/>
          <w:sz w:val="18"/>
          <w:szCs w:val="18"/>
          <w:color w:val="auto"/>
        </w:rPr>
        <w:t>each U.S. Lender shall fund its participation in any unreimbursed LC Disbursements made under the U.S. Letters of Credit in accordance with Section 2.06(e), and each Canadian Lender shall fund its participation in any unreimbursed LC Disbursements made under the Canadian Letters of Credit in accordance with Section 2.06(e);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00"/>
          </w:cols>
          <w:pgMar w:left="440" w:top="274" w:right="459" w:bottom="1440" w:gutter="0" w:footer="0" w:header="0"/>
        </w:sectPr>
      </w:pPr>
    </w:p>
    <w:bookmarkStart w:id="171" w:name="page172"/>
    <w:bookmarkEnd w:id="171"/>
    <w:p>
      <w:pPr>
        <w:ind w:left="444" w:firstLine="948"/>
        <w:spacing w:after="0" w:line="293" w:lineRule="auto"/>
        <w:tabs>
          <w:tab w:leader="none" w:pos="1691" w:val="left"/>
        </w:tabs>
        <w:numPr>
          <w:ilvl w:val="1"/>
          <w:numId w:val="1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Lenders shall purchase in dollars at par interests in the Designated Obligations under each Revolver Facility (and shall make payments in dollars to the Administrative Agent for reallocation to other Lenders to the extent necessary to give effect to such purchases) and shall assume the obligations to reimburse Issuing Banks for unreimbursed LC Disbursements under outstanding Letters of Credit under such Revolver Facility such that, in lieu of the interests of each Lender in the Designated Obligations under the U.S. Commitments and the Canadian Commitments in which it shall have participated immediately prior to the CAM Exchange Date, such Lender shall own an interest equal to such Lender’s CAM Percentage in each component of the Designated Obligations immediately following the CAM Exchange.</w:t>
      </w:r>
    </w:p>
    <w:p>
      <w:pPr>
        <w:spacing w:after="0" w:line="56" w:lineRule="exact"/>
        <w:rPr>
          <w:rFonts w:ascii="Arial" w:cs="Arial" w:eastAsia="Arial" w:hAnsi="Arial"/>
          <w:sz w:val="16"/>
          <w:szCs w:val="16"/>
          <w:color w:val="auto"/>
        </w:rPr>
      </w:pPr>
    </w:p>
    <w:p>
      <w:pPr>
        <w:ind w:left="444" w:right="20" w:firstLine="419"/>
        <w:spacing w:after="0" w:line="254" w:lineRule="auto"/>
        <w:tabs>
          <w:tab w:leader="none" w:pos="113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Each Lender and each Person acquiring a participation from any Lender as contemplated by this Section 9.20 hereby consents and agrees to the CAM Exchange. Each Borrower agrees from time to time to execute and deliver to the Lenders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under this Agreement to the Administrative Agent against delivery of any promissory notes so executed and delivered;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to deliver or accept any such promissory note, instrument or document shall not affect the validity or effectiveness of the CAM Exchange.</w:t>
      </w:r>
    </w:p>
    <w:p>
      <w:pPr>
        <w:spacing w:after="0" w:line="86" w:lineRule="exact"/>
        <w:rPr>
          <w:rFonts w:ascii="Arial" w:cs="Arial" w:eastAsia="Arial" w:hAnsi="Arial"/>
          <w:sz w:val="18"/>
          <w:szCs w:val="18"/>
          <w:color w:val="auto"/>
        </w:rPr>
      </w:pPr>
    </w:p>
    <w:p>
      <w:pPr>
        <w:ind w:left="444" w:right="300" w:firstLine="419"/>
        <w:spacing w:after="0" w:line="263" w:lineRule="auto"/>
        <w:tabs>
          <w:tab w:leader="none" w:pos="118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As a result of the CAM Exchange, from and after the CAM Exchange Date, each payment received by the Administrative Agent pursuant to any Loan Document in respect of any of the Designated Obligations shall be distributed to the Lenders, pro rata in accordance with their respective CAM Percentages.</w:t>
      </w:r>
    </w:p>
    <w:p>
      <w:pPr>
        <w:spacing w:after="0" w:line="75" w:lineRule="exact"/>
        <w:rPr>
          <w:rFonts w:ascii="Arial" w:cs="Arial" w:eastAsia="Arial" w:hAnsi="Arial"/>
          <w:sz w:val="18"/>
          <w:szCs w:val="18"/>
          <w:color w:val="auto"/>
        </w:rPr>
      </w:pPr>
    </w:p>
    <w:p>
      <w:pPr>
        <w:jc w:val="both"/>
        <w:ind w:left="444" w:right="40" w:firstLine="419"/>
        <w:spacing w:after="0" w:line="259" w:lineRule="auto"/>
        <w:tabs>
          <w:tab w:leader="none" w:pos="117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 the event that on or after the CAM Exchange Date, the aggregate amount of the Designated Obligations shall change as a result of the making of a disbursement under a Letter of Credit by an Issuing Bank that is not reimbursed by the U.S. Borrowers or the Canadian Borrowers, if applicable, then each Lender shall promptly reimburse such Issuing Bank in dollars for the Dollar Amount of its CAM Percentage of such unreimbursed payment.</w:t>
      </w:r>
    </w:p>
    <w:p>
      <w:pPr>
        <w:spacing w:after="0" w:line="187" w:lineRule="exact"/>
        <w:rPr>
          <w:sz w:val="20"/>
          <w:szCs w:val="20"/>
          <w:color w:val="auto"/>
        </w:rPr>
      </w:pPr>
    </w:p>
    <w:p>
      <w:pPr>
        <w:ind w:left="4" w:right="20" w:firstLine="991"/>
        <w:spacing w:after="0" w:line="290" w:lineRule="auto"/>
        <w:rPr>
          <w:sz w:val="20"/>
          <w:szCs w:val="20"/>
          <w:color w:val="auto"/>
        </w:rPr>
      </w:pPr>
      <w:r>
        <w:rPr>
          <w:rFonts w:ascii="Arial" w:cs="Arial" w:eastAsia="Arial" w:hAnsi="Arial"/>
          <w:sz w:val="16"/>
          <w:szCs w:val="16"/>
          <w:color w:val="auto"/>
        </w:rPr>
        <w:t>Notwithstanding any other provision of this Section 9.20, each Lender Party agrees that if any Lender Party is required under applicable law to withhold or deduct any taxes or other amounts from payments made by it hereunder or as a result hereof, such Person shall be entitled to withhold or deduct such amounts and pay over such taxes or other amounts to the applicable Governmental Authority imposing such tax without any obligation to indemnify any Lender Party with respect to such amounts and without any other obligation of gross up or offset with respect thereto and there shall be no recourse whatsoever by any Lender Party subject to such withholding to any other Lender Party making such withholding and paying over such amounts, but without diminution of the rights of such Lender Party subject to such withholding as against Borrowers and the other Loan Parties to the extent (if any) provided in this Agreement and the other Loan Documents. Any amounts so withheld or deducted shall be treated as, for the purpose of this Section 9.20, having been paid to such Lender Party to which such withholding or deduction was made.</w:t>
      </w:r>
    </w:p>
    <w:p>
      <w:pPr>
        <w:spacing w:after="0" w:line="165"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color w:val="auto"/>
        </w:rPr>
        <w:t xml:space="preserve">SECTION 9.21 </w:t>
      </w:r>
      <w:r>
        <w:rPr>
          <w:rFonts w:ascii="Arial" w:cs="Arial" w:eastAsia="Arial" w:hAnsi="Arial"/>
          <w:sz w:val="16"/>
          <w:szCs w:val="16"/>
          <w:u w:val="single" w:color="auto"/>
          <w:color w:val="auto"/>
        </w:rPr>
        <w:t>Restatement</w:t>
      </w:r>
      <w:r>
        <w:rPr>
          <w:rFonts w:ascii="Arial" w:cs="Arial" w:eastAsia="Arial" w:hAnsi="Arial"/>
          <w:sz w:val="16"/>
          <w:szCs w:val="16"/>
          <w:color w:val="auto"/>
        </w:rPr>
        <w:t xml:space="preserve">. (a) As of the Fourth Restatement Date, the terms, conditions, agreements, covenants, representations and warranties set forth in the Existing Credit Agreement are hereby amended, restated, replaced and superseded in their entirety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ind w:left="4" w:right="260" w:hanging="4"/>
        <w:spacing w:after="0" w:line="292" w:lineRule="auto"/>
        <w:tabs>
          <w:tab w:leader="none" w:pos="249" w:val="left"/>
        </w:tabs>
        <w:numPr>
          <w:ilvl w:val="0"/>
          <w:numId w:val="200"/>
        </w:numPr>
        <w:rPr>
          <w:rFonts w:ascii="Arial" w:cs="Arial" w:eastAsia="Arial" w:hAnsi="Arial"/>
          <w:sz w:val="16"/>
          <w:szCs w:val="16"/>
          <w:color w:val="auto"/>
        </w:rPr>
      </w:pPr>
      <w:r>
        <w:rPr>
          <w:rFonts w:ascii="Arial" w:cs="Arial" w:eastAsia="Arial" w:hAnsi="Arial"/>
          <w:sz w:val="16"/>
          <w:szCs w:val="16"/>
          <w:color w:val="auto"/>
        </w:rPr>
        <w:t>nothing herein shall impair or adversely affect the continuation of the liability and obligations of the Loan Parties under the Existing Credit Agreement, as amended hereby, (b) nothing herein shall be construed to constitute payment of, or impair, limit, cancel or extinguish, or constitute a novation in respect of, the Indebtedness and other obligations and liabilities of the Loan Parties evidenced by or arising under the Existing Credit Agreement or the other Existing Loan Documents, as amended hereby, and (c) nothing herein shall be construed to impair, limit, terminate, release or adversely affect the liens and security interests in favor of the Administrative Agent securing such Indebtedness and other obligations and liabilities.</w:t>
      </w:r>
    </w:p>
    <w:p>
      <w:pPr>
        <w:spacing w:after="0" w:line="54" w:lineRule="exact"/>
        <w:rPr>
          <w:rFonts w:ascii="Arial" w:cs="Arial" w:eastAsia="Arial" w:hAnsi="Arial"/>
          <w:sz w:val="16"/>
          <w:szCs w:val="16"/>
          <w:color w:val="auto"/>
        </w:rPr>
      </w:pPr>
    </w:p>
    <w:p>
      <w:pPr>
        <w:ind w:left="4" w:right="300" w:firstLine="436"/>
        <w:spacing w:after="0" w:line="259" w:lineRule="auto"/>
        <w:tabs>
          <w:tab w:leader="none" w:pos="699" w:val="left"/>
        </w:tabs>
        <w:numPr>
          <w:ilvl w:val="1"/>
          <w:numId w:val="200"/>
        </w:numPr>
        <w:rPr>
          <w:rFonts w:ascii="Arial" w:cs="Arial" w:eastAsia="Arial" w:hAnsi="Arial"/>
          <w:sz w:val="18"/>
          <w:szCs w:val="18"/>
          <w:color w:val="auto"/>
        </w:rPr>
      </w:pPr>
      <w:r>
        <w:rPr>
          <w:rFonts w:ascii="Arial" w:cs="Arial" w:eastAsia="Arial" w:hAnsi="Arial"/>
          <w:sz w:val="18"/>
          <w:szCs w:val="18"/>
          <w:color w:val="auto"/>
        </w:rPr>
        <w:t>Each Loan Party and each Lender Party that is a party to the Existing Credit Agreement immediately prior to the Fourth Restatement Date hereby: (i) acknowledges and agrees that such Person has received and fully reviewed the Agency Transfer Agreement; (ii) consents to the execution and delivery by each of JPMorgan Chase Bank, N.A. and JPMorgan Chase Bank, N.A., Toronto Branch in their respective capacities as Existing Administrative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24"/>
          </w:cols>
          <w:pgMar w:left="436" w:top="274" w:right="439" w:bottom="1440" w:gutter="0" w:footer="0" w:header="0"/>
        </w:sectPr>
      </w:pPr>
    </w:p>
    <w:bookmarkStart w:id="172" w:name="page173"/>
    <w:bookmarkEnd w:id="172"/>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Agents, of the Agency Transfer Agreement, the resignation by each of Existing Administrative Agents from their respective roles as U.S. administrative agent and Canadian administrative agent under the Existing Credit Agreement, and the appointment of Barclays Bank PLC as Administrative Agent under this Agreement; (iii) waives all notice requirements under the Existing Credit Agreement with respect to the resignation of the Existing Administrative Agents and the appointment of the Administrative Agent; (iv) agrees to all of the terms and provisions of the Agency Transfer Agreement; and (v) agrees that from and after the Fourth Restatement Date, neither of the Existing Administrative Agents shall have any duties, responsibilities, obligations or other liabilities to any Lender Party in respect of any agency role under this Agreement or any duties, responsibilities, obligations or other liabilities to any Loan Party or Lender Party under the Existing Credit Agreement, except as otherwise set forth in the Agency Transfer Agreement. Each of the Existing Administrative Agents shall be entitled to rely upon the agreements of the Loan Parties and the Lender Parties set forth in this Section 9.21(b).</w:t>
      </w:r>
    </w:p>
    <w:p>
      <w:pPr>
        <w:spacing w:after="0" w:line="196"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SECTION 9.22 </w:t>
      </w:r>
      <w:r>
        <w:rPr>
          <w:rFonts w:ascii="Arial" w:cs="Arial" w:eastAsia="Arial" w:hAnsi="Arial"/>
          <w:sz w:val="16"/>
          <w:szCs w:val="16"/>
          <w:u w:val="single" w:color="auto"/>
          <w:color w:val="auto"/>
        </w:rPr>
        <w:t>Permitted Term Debt Intercreditor Agreement</w:t>
      </w:r>
      <w:r>
        <w:rPr>
          <w:rFonts w:ascii="Arial" w:cs="Arial" w:eastAsia="Arial" w:hAnsi="Arial"/>
          <w:sz w:val="16"/>
          <w:szCs w:val="16"/>
          <w:color w:val="auto"/>
        </w:rPr>
        <w:t>. Notwithstanding anything to the contrary contained herein, each Lender acknowledges that from and after the date of incurrence of any Permitted Term Debt, the Liens and security interest granted to the Administrative Agent pursuant to the Collateral Documents and the exercise of any right or remedy by such Administrative Agent thereunder are subject to the provisions of the applicable Permitted Term Debt Intercreditor Agreement. In the event of any conflict between the terms of the applicable Permitted Term Debt Intercreditor Agreement and the Collateral Documents, the terms of such Permitted Term Debt Intercreditor Agreement shall govern and control.</w:t>
      </w:r>
    </w:p>
    <w:p>
      <w:pPr>
        <w:spacing w:after="0" w:line="161"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 xml:space="preserve">SECTION 9.23 </w:t>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In connection with all aspects of each transaction contemplated by this Agreement, the Loan Parties acknowledge and agree that (a)(i) this credit facility and any related arranging or other services by the Administrative Agent, the Bookrunners, the Lead Arrangers, the Lenders or any of their respective Affiliates are arm’s-length commercial transactions between the Loan Parties and such Person or Persons; (ii) the Loan Parties have consulted their own legal, accounting, regulatory and tax advisors to the extent they have deemed appropriate; and (iii) the Loan Parties are capable of evaluating, and understand and accept, the terms, risks and conditions of the transactions contemplated by this Agreement and the other Loan Documents; (b) each of the Administrative Agent, the Bookrunners, the Lead Arrangers, the Lenders and their respective Affiliates is and has been acting solely as a principal and, except as expressly agreed in writing by the relevant parties, has not been, is not, and will not be acting as an advisor, agent or fiduciary for the Loan Parties, any of their Affiliates or any other Person, and has no obligation with respect to the transactions contemplated by the Loan Documents except as expressly set forth herein or therein; and (c) the Administrative Agent, the Bookrunners, the Lead Arrangers, the Lenders and their respective Affiliates may be engaged in a broad range of transactions that involve interests that differ from those of the Loan Parties and their Affiliates, and have no obligation to disclose any of such interests to the Loan Parties or their Affiliates. To the fullest extent permitted by applicable law, each Loan Party hereby waives and releases any claims that it may have against the Administrative Agent, the Bookrunners, the Lead Arrangers, the Lenders and their respective Affiliates with respect to any breach of agency or fiduciary duty in connection with any transaction contemplated by this Agreement or any other Loan Document.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9.24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117" w:lineRule="exact"/>
        <w:rPr>
          <w:sz w:val="20"/>
          <w:szCs w:val="20"/>
          <w:color w:val="auto"/>
        </w:rPr>
      </w:pPr>
    </w:p>
    <w:p>
      <w:pPr>
        <w:jc w:val="both"/>
        <w:ind w:right="180" w:firstLine="436"/>
        <w:spacing w:after="0" w:line="259" w:lineRule="auto"/>
        <w:tabs>
          <w:tab w:leader="none" w:pos="68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any Borrower or any other Loan Party, that at least one of the following is and will be true:</w:t>
      </w:r>
    </w:p>
    <w:p>
      <w:pPr>
        <w:spacing w:after="0" w:line="78" w:lineRule="exact"/>
        <w:rPr>
          <w:rFonts w:ascii="Arial" w:cs="Arial" w:eastAsia="Arial" w:hAnsi="Arial"/>
          <w:sz w:val="18"/>
          <w:szCs w:val="18"/>
          <w:color w:val="auto"/>
        </w:rPr>
      </w:pPr>
    </w:p>
    <w:p>
      <w:pPr>
        <w:jc w:val="both"/>
        <w:ind w:left="440" w:right="200" w:firstLine="419"/>
        <w:spacing w:after="0" w:line="263" w:lineRule="auto"/>
        <w:tabs>
          <w:tab w:leader="none" w:pos="107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with respect to such Lender’s funding of, entrance into, participation in, administration of and performance of the Loans, the Letters of Credit or the Revolving Commitments,</w:t>
      </w:r>
    </w:p>
    <w:p>
      <w:pPr>
        <w:spacing w:after="0" w:line="75" w:lineRule="exact"/>
        <w:rPr>
          <w:rFonts w:ascii="Arial" w:cs="Arial" w:eastAsia="Arial" w:hAnsi="Arial"/>
          <w:sz w:val="18"/>
          <w:szCs w:val="18"/>
          <w:color w:val="auto"/>
        </w:rPr>
      </w:pPr>
    </w:p>
    <w:p>
      <w:pPr>
        <w:jc w:val="both"/>
        <w:ind w:left="440" w:right="160" w:firstLine="419"/>
        <w:spacing w:after="0" w:line="311" w:lineRule="auto"/>
        <w:tabs>
          <w:tab w:leader="none" w:pos="1128"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980"/>
          </w:cols>
          <w:pgMar w:left="440" w:top="274" w:right="479" w:bottom="1440" w:gutter="0" w:footer="0" w:header="0"/>
        </w:sectPr>
      </w:pPr>
    </w:p>
    <w:bookmarkStart w:id="173" w:name="page174"/>
    <w:bookmarkEnd w:id="173"/>
    <w:p>
      <w:pPr>
        <w:ind w:left="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w:t>
      </w:r>
    </w:p>
    <w:p>
      <w:pPr>
        <w:spacing w:after="0" w:line="76" w:lineRule="exact"/>
        <w:rPr>
          <w:sz w:val="20"/>
          <w:szCs w:val="20"/>
          <w:color w:val="auto"/>
        </w:rPr>
      </w:pPr>
    </w:p>
    <w:p>
      <w:pPr>
        <w:ind w:left="440" w:firstLine="419"/>
        <w:spacing w:after="0" w:line="272" w:lineRule="auto"/>
        <w:tabs>
          <w:tab w:leader="none" w:pos="1178" w:val="left"/>
        </w:tabs>
        <w:numPr>
          <w:ilvl w:val="1"/>
          <w:numId w:val="202"/>
        </w:numPr>
        <w:rPr>
          <w:rFonts w:ascii="Arial" w:cs="Arial" w:eastAsia="Arial" w:hAnsi="Arial"/>
          <w:sz w:val="17"/>
          <w:szCs w:val="17"/>
          <w:color w:val="auto"/>
        </w:rPr>
      </w:pPr>
      <w:r>
        <w:rPr>
          <w:rFonts w:ascii="Arial" w:cs="Arial" w:eastAsia="Arial" w:hAnsi="Arial"/>
          <w:sz w:val="17"/>
          <w:szCs w:val="17"/>
          <w:color w:val="auto"/>
        </w:rPr>
        <w:t>(A) such Lender is an investment fund managed by a “</w:t>
      </w:r>
      <w:r>
        <w:rPr>
          <w:rFonts w:ascii="Arial" w:cs="Arial" w:eastAsia="Arial" w:hAnsi="Arial"/>
          <w:sz w:val="17"/>
          <w:szCs w:val="17"/>
          <w:u w:val="single" w:color="auto"/>
          <w:color w:val="auto"/>
        </w:rPr>
        <w:t>Qualified Professional Asset Manager</w:t>
      </w:r>
      <w:r>
        <w:rPr>
          <w:rFonts w:ascii="Arial" w:cs="Arial" w:eastAsia="Arial" w:hAnsi="Arial"/>
          <w:sz w:val="17"/>
          <w:szCs w:val="17"/>
          <w:color w:val="auto"/>
        </w:rPr>
        <w:t>” (within the meaning of Part VI of PTE 84-14), (B) such Qualified Professional Asset Manager made the investment decision on behalf of such Lender to enter into, participate in, administer and perform the Loans, the Letters of Credit, the Revolving Commitments and this Agreement, (C) the entrance into, participation in, administration of and performance of the Loans, the Letters of Credit, the Revolving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Commitments and this Agreement, or</w:t>
      </w:r>
    </w:p>
    <w:p>
      <w:pPr>
        <w:spacing w:after="0" w:line="69" w:lineRule="exact"/>
        <w:rPr>
          <w:rFonts w:ascii="Arial" w:cs="Arial" w:eastAsia="Arial" w:hAnsi="Arial"/>
          <w:sz w:val="17"/>
          <w:szCs w:val="17"/>
          <w:color w:val="auto"/>
        </w:rPr>
      </w:pPr>
    </w:p>
    <w:p>
      <w:pPr>
        <w:ind w:left="440" w:right="160" w:firstLine="419"/>
        <w:spacing w:after="0" w:line="277" w:lineRule="auto"/>
        <w:tabs>
          <w:tab w:leader="none" w:pos="116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62" w:lineRule="exact"/>
        <w:rPr>
          <w:rFonts w:ascii="Arial" w:cs="Arial" w:eastAsia="Arial" w:hAnsi="Arial"/>
          <w:sz w:val="18"/>
          <w:szCs w:val="18"/>
          <w:color w:val="auto"/>
        </w:rPr>
      </w:pPr>
    </w:p>
    <w:p>
      <w:pPr>
        <w:ind w:firstLine="436"/>
        <w:spacing w:after="0" w:line="291" w:lineRule="auto"/>
        <w:tabs>
          <w:tab w:leader="none" w:pos="69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any Borrower or any other Loan Party, that none of the Administrative Agent, any Arranger,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spacing w:after="0" w:line="58" w:lineRule="exact"/>
        <w:rPr>
          <w:rFonts w:ascii="Arial" w:cs="Arial" w:eastAsia="Arial" w:hAnsi="Arial"/>
          <w:sz w:val="16"/>
          <w:szCs w:val="16"/>
          <w:color w:val="auto"/>
        </w:rPr>
      </w:pPr>
    </w:p>
    <w:p>
      <w:pPr>
        <w:ind w:right="60" w:firstLine="436"/>
        <w:spacing w:after="0" w:line="269" w:lineRule="auto"/>
        <w:tabs>
          <w:tab w:leader="none" w:pos="685"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Administrative Agent and each Arranger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Revolving Commitments, this Agreement and any other Loan Documents, (ii) may recognize a gain if it extended the Loans, the Letters of Credit or the Revolving Commitments for an amount less than the amount being paid for an interest in the Loans, the Letters of Credit or the Revolving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5"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 xml:space="preserve">SECTION 9.25 </w:t>
      </w:r>
      <w:r>
        <w:rPr>
          <w:rFonts w:ascii="Arial" w:cs="Arial" w:eastAsia="Arial" w:hAnsi="Arial"/>
          <w:sz w:val="16"/>
          <w:szCs w:val="16"/>
          <w:u w:val="single" w:color="auto"/>
          <w:color w:val="auto"/>
        </w:rPr>
        <w:t>Acknowledgement and Consent to Bail-In of Affected Financial Institutions</w:t>
      </w:r>
      <w:r>
        <w:rPr>
          <w:rFonts w:ascii="Arial" w:cs="Arial" w:eastAsia="Arial" w:hAnsi="Arial"/>
          <w:sz w:val="16"/>
          <w:szCs w:val="16"/>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49" w:lineRule="exact"/>
        <w:rPr>
          <w:sz w:val="20"/>
          <w:szCs w:val="20"/>
          <w:color w:val="auto"/>
        </w:rPr>
      </w:pPr>
    </w:p>
    <w:p>
      <w:pPr>
        <w:ind w:right="340" w:firstLine="436"/>
        <w:spacing w:after="0" w:line="277" w:lineRule="auto"/>
        <w:tabs>
          <w:tab w:leader="none" w:pos="68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the Affected Financial Institution; and</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00"/>
          </w:cols>
          <w:pgMar w:left="440" w:top="274" w:right="459" w:bottom="1440" w:gutter="0" w:footer="0" w:header="0"/>
        </w:sectPr>
      </w:pPr>
    </w:p>
    <w:bookmarkStart w:id="174" w:name="page175"/>
    <w:bookmarkEnd w:id="174"/>
    <w:p>
      <w:pPr>
        <w:ind w:left="1080" w:hanging="221"/>
        <w:spacing w:after="0"/>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reduction in full or in part or cancellation of any such liability;</w:t>
      </w:r>
    </w:p>
    <w:p>
      <w:pPr>
        <w:spacing w:after="0" w:line="117" w:lineRule="exact"/>
        <w:rPr>
          <w:rFonts w:ascii="Arial" w:cs="Arial" w:eastAsia="Arial" w:hAnsi="Arial"/>
          <w:sz w:val="18"/>
          <w:szCs w:val="18"/>
          <w:color w:val="auto"/>
        </w:rPr>
      </w:pPr>
    </w:p>
    <w:p>
      <w:pPr>
        <w:ind w:left="440" w:right="100" w:firstLine="419"/>
        <w:spacing w:after="0" w:line="311" w:lineRule="auto"/>
        <w:tabs>
          <w:tab w:leader="none" w:pos="112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40" w:lineRule="exact"/>
        <w:rPr>
          <w:rFonts w:ascii="Arial" w:cs="Arial" w:eastAsia="Arial" w:hAnsi="Arial"/>
          <w:sz w:val="16"/>
          <w:szCs w:val="16"/>
          <w:color w:val="auto"/>
        </w:rPr>
      </w:pPr>
    </w:p>
    <w:p>
      <w:pPr>
        <w:ind w:left="440" w:right="160" w:firstLine="419"/>
        <w:spacing w:after="0" w:line="277" w:lineRule="auto"/>
        <w:tabs>
          <w:tab w:leader="none" w:pos="117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SECTION 9.26 </w:t>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 To the extent that the Loan Documents provide support, through a guarantee or otherwise, for Swap Agreements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X. </w:t>
      </w:r>
      <w:r>
        <w:rPr>
          <w:rFonts w:ascii="Arial" w:cs="Arial" w:eastAsia="Arial" w:hAnsi="Arial"/>
          <w:sz w:val="18"/>
          <w:szCs w:val="18"/>
          <w:u w:val="single" w:color="auto"/>
          <w:color w:val="auto"/>
        </w:rPr>
        <w:t>[Reserved.]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XI. </w:t>
      </w:r>
      <w:r>
        <w:rPr>
          <w:rFonts w:ascii="Arial" w:cs="Arial" w:eastAsia="Arial" w:hAnsi="Arial"/>
          <w:sz w:val="18"/>
          <w:szCs w:val="18"/>
          <w:u w:val="single" w:color="auto"/>
          <w:color w:val="auto"/>
        </w:rPr>
        <w:t>The Borrower Representative</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Appointment; Nature of Relationship</w:t>
      </w:r>
      <w:r>
        <w:rPr>
          <w:rFonts w:ascii="Arial" w:cs="Arial" w:eastAsia="Arial" w:hAnsi="Arial"/>
          <w:sz w:val="16"/>
          <w:szCs w:val="16"/>
          <w:color w:val="auto"/>
        </w:rPr>
        <w:t>. WESCO Distribution, Inc., a Delaware corporation, is hereby appointed by each of the Borrowers as its contractual representative (herein referred to as the “</w:t>
      </w:r>
      <w:r>
        <w:rPr>
          <w:rFonts w:ascii="Arial" w:cs="Arial" w:eastAsia="Arial" w:hAnsi="Arial"/>
          <w:sz w:val="16"/>
          <w:szCs w:val="16"/>
          <w:u w:val="single" w:color="auto"/>
          <w:color w:val="auto"/>
        </w:rPr>
        <w:t>Borrower Representative</w:t>
      </w:r>
      <w:r>
        <w:rPr>
          <w:rFonts w:ascii="Arial" w:cs="Arial" w:eastAsia="Arial" w:hAnsi="Arial"/>
          <w:sz w:val="16"/>
          <w:szCs w:val="16"/>
          <w:color w:val="auto"/>
        </w:rPr>
        <w:t>”)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Article XI. Additionally, the Borrowers hereby appoint the Borrower Representative as their agent to receive all of the proceeds of the Loans in the Funding Account(s), at which time the Borrower Representative shall promptly disburse such Loans to the appropriate Borrower, subject to the limits as between Canadian Borrowers and U.S. Borrowers contained in this Agreement. None of the Lender Parties and their respective officers, directors, agents or employees, shall be liable to the Borrower Representative or any Borrower for any action taken or omitted to be taken by the Borrower Representative or the Borrowers pursuant to this Section 11.01.</w:t>
      </w:r>
    </w:p>
    <w:p>
      <w:pPr>
        <w:spacing w:after="0" w:line="166"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Powers</w:t>
      </w:r>
      <w:r>
        <w:rPr>
          <w:rFonts w:ascii="Arial" w:cs="Arial" w:eastAsia="Arial" w:hAnsi="Arial"/>
          <w:sz w:val="18"/>
          <w:szCs w:val="18"/>
          <w:color w:val="auto"/>
        </w:rPr>
        <w:t>. The Borrower Representative shall have and may exercise such powers under the Loan Documents as are specifically delegated to the Borrower Representative by the terms of each thereof, together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00"/>
          </w:cols>
          <w:pgMar w:left="440" w:top="274" w:right="459" w:bottom="1440" w:gutter="0" w:footer="0" w:header="0"/>
        </w:sectPr>
      </w:pPr>
    </w:p>
    <w:bookmarkStart w:id="175" w:name="page176"/>
    <w:bookmarkEnd w:id="175"/>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such powers as are reasonably incidental thereto. The Borrower Representative shall have no implied duties to the Borrowers, or any obligation to the Lender Parties to take any action thereunder except any action specifically provided by the Loan Documents to be taken by the Borrower Representative.</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Employment of Agents</w:t>
      </w:r>
      <w:r>
        <w:rPr>
          <w:rFonts w:ascii="Arial" w:cs="Arial" w:eastAsia="Arial" w:hAnsi="Arial"/>
          <w:sz w:val="18"/>
          <w:szCs w:val="18"/>
          <w:color w:val="auto"/>
        </w:rPr>
        <w:t>. The Borrower Representative may execute any of its duties as the Borrower Representative hereunder and under any other Loan Document by or through authorized officers.</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Notices</w:t>
      </w:r>
      <w:r>
        <w:rPr>
          <w:rFonts w:ascii="Arial" w:cs="Arial" w:eastAsia="Arial" w:hAnsi="Arial"/>
          <w:sz w:val="18"/>
          <w:szCs w:val="18"/>
          <w:color w:val="auto"/>
        </w:rPr>
        <w:t>. Each Borrower shall immediately notify the Borrower Representative of the occurrence of any Default or unmatured Default hereunder referring to this Agreement describing such Default or unmatured Default and stating that such notice is a “notice of default.” In the event that the Borrower Representative receives such a notice, the Borrower Representative shall give prompt notice thereof to the Administrative Agent and the Lender Parties. Any notice provided to the Borrower Representative hereunder shall constitute notice to each Borrower on the date received by the Borrower Representative.</w:t>
      </w:r>
    </w:p>
    <w:p>
      <w:pPr>
        <w:spacing w:after="0" w:line="188"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Successor Borrower Representative</w:t>
      </w:r>
      <w:r>
        <w:rPr>
          <w:rFonts w:ascii="Arial" w:cs="Arial" w:eastAsia="Arial" w:hAnsi="Arial"/>
          <w:sz w:val="18"/>
          <w:szCs w:val="18"/>
          <w:color w:val="auto"/>
        </w:rPr>
        <w:t>. Upon the prior written consent of the Administrative Agent, the Borrower Representative may resign at any time, such resignation to be effective upon the appointment of a successor Borrower Representative. The Administrative Agent shall give prompt written notice of such resignation to the Lender Parties.</w:t>
      </w:r>
    </w:p>
    <w:p>
      <w:pPr>
        <w:spacing w:after="0" w:line="184"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Execution of Loan Documents; Borrowing Base Certificate</w:t>
      </w:r>
      <w:r>
        <w:rPr>
          <w:rFonts w:ascii="Arial" w:cs="Arial" w:eastAsia="Arial" w:hAnsi="Arial"/>
          <w:sz w:val="16"/>
          <w:szCs w:val="16"/>
          <w:color w:val="auto"/>
        </w:rPr>
        <w:t>. The Borrowers hereby empower and authorize the Borrower Representative, on behalf of the Borrowers, to execute and deliver to the Lender Parties the Loan Documents and all related agreements, certificates, documents, or instruments as shall be necessary or appropriate to effect the purposes of the Loan Documents, including without limitation, the Borrowing Base Certificates and the Compliance Certificates.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w:t>
      </w:r>
    </w:p>
    <w:p>
      <w:pPr>
        <w:spacing w:after="0" w:line="164"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u w:val="single" w:color="auto"/>
          <w:color w:val="auto"/>
        </w:rPr>
        <w:t>Reporting</w:t>
      </w:r>
      <w:r>
        <w:rPr>
          <w:rFonts w:ascii="Arial" w:cs="Arial" w:eastAsia="Arial" w:hAnsi="Arial"/>
          <w:sz w:val="16"/>
          <w:szCs w:val="16"/>
          <w:color w:val="auto"/>
        </w:rPr>
        <w:t>. Each Borrower hereby agrees that such Borrower shall furnish promptly after each fiscal month to the Borrower Representative a copy of any certificate or report required hereunder or requested by the Borrower Representative on which the Borrower Representative shall rely to prepare the Borrowing Base Certificates and Compliance Certificates required pursuant to the provisions of this Agreement.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XII. </w:t>
      </w:r>
      <w:r>
        <w:rPr>
          <w:rFonts w:ascii="Arial" w:cs="Arial" w:eastAsia="Arial" w:hAnsi="Arial"/>
          <w:sz w:val="18"/>
          <w:szCs w:val="18"/>
          <w:u w:val="single" w:color="auto"/>
          <w:color w:val="auto"/>
        </w:rPr>
        <w:t>Limitations on Obligations of Canadian Loan Parties</w:t>
      </w:r>
    </w:p>
    <w:p>
      <w:pPr>
        <w:spacing w:after="0" w:line="225" w:lineRule="exact"/>
        <w:rPr>
          <w:sz w:val="20"/>
          <w:szCs w:val="20"/>
          <w:color w:val="auto"/>
        </w:rPr>
      </w:pPr>
    </w:p>
    <w:p>
      <w:pPr>
        <w:ind w:right="200" w:firstLine="440"/>
        <w:spacing w:after="0" w:line="272" w:lineRule="auto"/>
        <w:rPr>
          <w:sz w:val="20"/>
          <w:szCs w:val="20"/>
          <w:color w:val="auto"/>
        </w:rPr>
      </w:pPr>
      <w:r>
        <w:rPr>
          <w:rFonts w:ascii="Arial" w:cs="Arial" w:eastAsia="Arial" w:hAnsi="Arial"/>
          <w:sz w:val="17"/>
          <w:szCs w:val="17"/>
          <w:color w:val="auto"/>
        </w:rPr>
        <w:t xml:space="preserve">SECTION 12.01 </w:t>
      </w:r>
      <w:r>
        <w:rPr>
          <w:rFonts w:ascii="Arial" w:cs="Arial" w:eastAsia="Arial" w:hAnsi="Arial"/>
          <w:sz w:val="17"/>
          <w:szCs w:val="17"/>
          <w:u w:val="single" w:color="auto"/>
          <w:color w:val="auto"/>
        </w:rPr>
        <w:t>Limitations</w:t>
      </w:r>
      <w:r>
        <w:rPr>
          <w:rFonts w:ascii="Arial" w:cs="Arial" w:eastAsia="Arial" w:hAnsi="Arial"/>
          <w:sz w:val="17"/>
          <w:szCs w:val="17"/>
          <w:color w:val="auto"/>
        </w:rPr>
        <w:t>. Notwithstanding provision to the contrary set forth in this Credit Agreement or any of the Loan Documents, the obligations of the Canadian Loan Parties (other than the Canadian Cross-Border Loan Guarantors), WDINESCO III B.V. and Anixter Mid Holdings B.V. shall be limited to the Canadian Obligations and in no event shall any Canadian Loan Party (other than the Canadian Cross-Border Loan Guarantors) or WDINESCO III B.V. or Anixter Mid Holdings B.V. be liable for, guarantee or otherwise have any obligation with respect to, nor shall any such entity’s assets secure any U.S. Secured Obligations, whether arising under any provisions of such documents relating to guaranty, set off, contribution, subrogation, indemnity, requirements to post collateral, use of deposits or otherwise. For the avoidance of doubt, this Section 12.01 shall have no application to the loss sharing agreement set forth in Section 9.20.</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Intentionally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00"/>
          </w:cols>
          <w:pgMar w:left="440" w:top="274" w:right="459" w:bottom="1440" w:gutter="0" w:footer="0" w:header="0"/>
        </w:sectPr>
      </w:pPr>
    </w:p>
    <w:bookmarkStart w:id="176" w:name="page177"/>
    <w:bookmarkEnd w:id="17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REVOLVING COMMITMENT SCHEDULE</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5"/>
            <w:vMerge w:val="restart"/>
          </w:tcPr>
          <w:p>
            <w:pPr>
              <w:ind w:left="600"/>
              <w:spacing w:after="0"/>
              <w:rPr>
                <w:sz w:val="20"/>
                <w:szCs w:val="20"/>
                <w:color w:val="auto"/>
              </w:rPr>
            </w:pPr>
            <w:r>
              <w:rPr>
                <w:rFonts w:ascii="Arial" w:cs="Arial" w:eastAsia="Arial" w:hAnsi="Arial"/>
                <w:sz w:val="14"/>
                <w:szCs w:val="14"/>
                <w:b w:val="1"/>
                <w:bCs w:val="1"/>
                <w:color w:val="auto"/>
              </w:rPr>
              <w:t>Canadian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gridSpan w:val="6"/>
            <w:vMerge w:val="restart"/>
          </w:tcPr>
          <w:p>
            <w:pPr>
              <w:jc w:val="center"/>
              <w:ind w:right="900"/>
              <w:spacing w:after="0"/>
              <w:rPr>
                <w:sz w:val="20"/>
                <w:szCs w:val="20"/>
                <w:color w:val="auto"/>
              </w:rPr>
            </w:pPr>
            <w:r>
              <w:rPr>
                <w:rFonts w:ascii="Arial" w:cs="Arial" w:eastAsia="Arial" w:hAnsi="Arial"/>
                <w:sz w:val="14"/>
                <w:szCs w:val="14"/>
                <w:b w:val="1"/>
                <w:bCs w:val="1"/>
                <w:color w:val="auto"/>
                <w:w w:val="92"/>
              </w:rPr>
              <w:t>Revolving</w:t>
            </w:r>
          </w:p>
        </w:tc>
        <w:tc>
          <w:tcPr>
            <w:tcW w:w="178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92"/>
              </w:rPr>
              <w:t>Applicable Percentage of</w:t>
            </w:r>
          </w:p>
        </w:tc>
        <w:tc>
          <w:tcPr>
            <w:tcW w:w="0" w:type="dxa"/>
            <w:vAlign w:val="bottom"/>
          </w:tcPr>
          <w:p>
            <w:pPr>
              <w:spacing w:after="0"/>
              <w:rPr>
                <w:sz w:val="1"/>
                <w:szCs w:val="1"/>
                <w:color w:val="auto"/>
              </w:rPr>
            </w:pPr>
          </w:p>
        </w:tc>
      </w:tr>
      <w:tr>
        <w:trPr>
          <w:trHeight w:val="148"/>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Lender</w:t>
            </w:r>
          </w:p>
        </w:tc>
        <w:tc>
          <w:tcPr>
            <w:tcW w:w="2940" w:type="dxa"/>
            <w:vAlign w:val="bottom"/>
            <w:gridSpan w:val="3"/>
            <w:vMerge w:val="restart"/>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0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0" w:type="dxa"/>
            <w:vAlign w:val="bottom"/>
            <w:gridSpan w:val="6"/>
            <w:vMerge w:val="continue"/>
          </w:tcPr>
          <w:p>
            <w:pPr>
              <w:spacing w:after="0"/>
              <w:rPr>
                <w:sz w:val="12"/>
                <w:szCs w:val="12"/>
                <w:color w:val="auto"/>
              </w:rPr>
            </w:pPr>
          </w:p>
        </w:tc>
        <w:tc>
          <w:tcPr>
            <w:tcW w:w="1780" w:type="dxa"/>
            <w:vAlign w:val="bottom"/>
            <w:gridSpan w:val="4"/>
          </w:tcPr>
          <w:p>
            <w:pPr>
              <w:jc w:val="center"/>
              <w:ind w:right="133"/>
              <w:spacing w:after="0" w:line="149" w:lineRule="exact"/>
              <w:rPr>
                <w:sz w:val="20"/>
                <w:szCs w:val="20"/>
                <w:color w:val="auto"/>
              </w:rPr>
            </w:pPr>
            <w:r>
              <w:rPr>
                <w:rFonts w:ascii="Arial" w:cs="Arial" w:eastAsia="Arial" w:hAnsi="Arial"/>
                <w:sz w:val="14"/>
                <w:szCs w:val="14"/>
                <w:b w:val="1"/>
                <w:bCs w:val="1"/>
                <w:color w:val="auto"/>
                <w:w w:val="91"/>
              </w:rPr>
              <w:t>Aggregate Revolving</w:t>
            </w:r>
          </w:p>
        </w:tc>
        <w:tc>
          <w:tcPr>
            <w:tcW w:w="0" w:type="dxa"/>
            <w:vAlign w:val="bottom"/>
          </w:tcPr>
          <w:p>
            <w:pPr>
              <w:spacing w:after="0"/>
              <w:rPr>
                <w:sz w:val="1"/>
                <w:szCs w:val="1"/>
                <w:color w:val="auto"/>
              </w:rPr>
            </w:pPr>
          </w:p>
        </w:tc>
      </w:tr>
      <w:tr>
        <w:trPr>
          <w:trHeight w:val="178"/>
        </w:trPr>
        <w:tc>
          <w:tcPr>
            <w:tcW w:w="460" w:type="dxa"/>
            <w:vAlign w:val="bottom"/>
            <w:tcBorders>
              <w:bottom w:val="single" w:sz="8" w:color="auto"/>
            </w:tcBorders>
            <w:vMerge w:val="continue"/>
          </w:tcPr>
          <w:p>
            <w:pPr>
              <w:spacing w:after="0"/>
              <w:rPr>
                <w:sz w:val="15"/>
                <w:szCs w:val="15"/>
                <w:color w:val="auto"/>
              </w:rPr>
            </w:pPr>
          </w:p>
        </w:tc>
        <w:tc>
          <w:tcPr>
            <w:tcW w:w="29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gridSpan w:val="5"/>
          </w:tcPr>
          <w:p>
            <w:pPr>
              <w:ind w:left="440"/>
              <w:spacing w:after="0" w:line="158" w:lineRule="exact"/>
              <w:rPr>
                <w:sz w:val="20"/>
                <w:szCs w:val="20"/>
                <w:color w:val="auto"/>
              </w:rPr>
            </w:pPr>
            <w:r>
              <w:rPr>
                <w:rFonts w:ascii="Arial" w:cs="Arial" w:eastAsia="Arial" w:hAnsi="Arial"/>
                <w:sz w:val="14"/>
                <w:szCs w:val="14"/>
                <w:b w:val="1"/>
                <w:bCs w:val="1"/>
                <w:color w:val="auto"/>
              </w:rPr>
              <w:t>Commitment*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0" w:type="dxa"/>
            <w:vAlign w:val="bottom"/>
            <w:gridSpan w:val="6"/>
          </w:tcPr>
          <w:p>
            <w:pPr>
              <w:jc w:val="center"/>
              <w:ind w:right="900"/>
              <w:spacing w:after="0" w:line="158" w:lineRule="exact"/>
              <w:rPr>
                <w:sz w:val="20"/>
                <w:szCs w:val="20"/>
                <w:color w:val="auto"/>
              </w:rPr>
            </w:pPr>
            <w:r>
              <w:rPr>
                <w:rFonts w:ascii="Arial" w:cs="Arial" w:eastAsia="Arial" w:hAnsi="Arial"/>
                <w:sz w:val="14"/>
                <w:szCs w:val="14"/>
                <w:b w:val="1"/>
                <w:bCs w:val="1"/>
                <w:color w:val="auto"/>
                <w:w w:val="95"/>
              </w:rPr>
              <w:t>Commitment</w:t>
            </w:r>
          </w:p>
        </w:tc>
        <w:tc>
          <w:tcPr>
            <w:tcW w:w="1780" w:type="dxa"/>
            <w:vAlign w:val="bottom"/>
            <w:gridSpan w:val="4"/>
          </w:tcPr>
          <w:p>
            <w:pPr>
              <w:jc w:val="center"/>
              <w:ind w:right="153"/>
              <w:spacing w:after="0" w:line="158" w:lineRule="exact"/>
              <w:rPr>
                <w:sz w:val="20"/>
                <w:szCs w:val="20"/>
                <w:color w:val="auto"/>
              </w:rPr>
            </w:pPr>
            <w:r>
              <w:rPr>
                <w:rFonts w:ascii="Arial" w:cs="Arial" w:eastAsia="Arial" w:hAnsi="Arial"/>
                <w:sz w:val="14"/>
                <w:szCs w:val="14"/>
                <w:b w:val="1"/>
                <w:bCs w:val="1"/>
                <w:color w:val="auto"/>
                <w:w w:val="92"/>
              </w:rPr>
              <w:t>Commitments</w:t>
            </w:r>
          </w:p>
        </w:tc>
        <w:tc>
          <w:tcPr>
            <w:tcW w:w="0" w:type="dxa"/>
            <w:vAlign w:val="bottom"/>
          </w:tcPr>
          <w:p>
            <w:pPr>
              <w:spacing w:after="0"/>
              <w:rPr>
                <w:sz w:val="1"/>
                <w:szCs w:val="1"/>
                <w:color w:val="auto"/>
              </w:rPr>
            </w:pPr>
          </w:p>
        </w:tc>
      </w:tr>
      <w:tr>
        <w:trPr>
          <w:trHeight w:val="188"/>
        </w:trPr>
        <w:tc>
          <w:tcPr>
            <w:tcW w:w="3400" w:type="dxa"/>
            <w:vAlign w:val="bottom"/>
            <w:tcBorders>
              <w:top w:val="single" w:sz="8" w:color="CCEEFF"/>
              <w:bottom w:val="single" w:sz="8" w:color="CCEEFF"/>
            </w:tcBorders>
            <w:gridSpan w:val="4"/>
            <w:shd w:val="clear" w:color="auto" w:fill="CCEEFF"/>
          </w:tcPr>
          <w:p>
            <w:pPr>
              <w:spacing w:after="0" w:line="163" w:lineRule="exact"/>
              <w:rPr>
                <w:sz w:val="20"/>
                <w:szCs w:val="20"/>
                <w:color w:val="auto"/>
              </w:rPr>
            </w:pPr>
            <w:r>
              <w:rPr>
                <w:rFonts w:ascii="Arial" w:cs="Arial" w:eastAsia="Arial" w:hAnsi="Arial"/>
                <w:sz w:val="18"/>
                <w:szCs w:val="18"/>
                <w:color w:val="auto"/>
              </w:rPr>
              <w:t>Barclays Bank PLC</w:t>
            </w:r>
          </w:p>
        </w:tc>
        <w:tc>
          <w:tcPr>
            <w:tcW w:w="100" w:type="dxa"/>
            <w:vAlign w:val="bottom"/>
            <w:tcBorders>
              <w:top w:val="single" w:sz="8" w:color="auto"/>
              <w:bottom w:val="single" w:sz="8" w:color="CCEEFF"/>
            </w:tcBorders>
            <w:gridSpan w:val="2"/>
            <w:shd w:val="clear" w:color="auto" w:fill="CCEEFF"/>
          </w:tcPr>
          <w:p>
            <w:pPr>
              <w:jc w:val="right"/>
              <w:ind w:right="20"/>
              <w:spacing w:after="0" w:line="163" w:lineRule="exact"/>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CCEEFF"/>
            </w:tcBorders>
            <w:gridSpan w:val="4"/>
            <w:shd w:val="clear" w:color="auto" w:fill="CCEEFF"/>
          </w:tcPr>
          <w:p>
            <w:pPr>
              <w:ind w:left="180"/>
              <w:spacing w:after="0" w:line="163" w:lineRule="exact"/>
              <w:rPr>
                <w:sz w:val="20"/>
                <w:szCs w:val="20"/>
                <w:color w:val="auto"/>
              </w:rPr>
            </w:pPr>
            <w:r>
              <w:rPr>
                <w:rFonts w:ascii="Arial" w:cs="Arial" w:eastAsia="Arial" w:hAnsi="Arial"/>
                <w:sz w:val="18"/>
                <w:szCs w:val="18"/>
                <w:color w:val="FF0000"/>
                <w:strike w:val="1"/>
                <w:w w:val="88"/>
              </w:rPr>
              <w:t>55,000,000.00</w:t>
            </w:r>
          </w:p>
        </w:tc>
        <w:tc>
          <w:tcPr>
            <w:tcW w:w="1020" w:type="dxa"/>
            <w:vAlign w:val="bottom"/>
            <w:tcBorders>
              <w:top w:val="single" w:sz="8" w:color="auto"/>
              <w:bottom w:val="single" w:sz="8" w:color="0000FF"/>
            </w:tcBorders>
            <w:shd w:val="clear" w:color="auto" w:fill="CCEEFF"/>
          </w:tcPr>
          <w:p>
            <w:pPr>
              <w:jc w:val="right"/>
              <w:spacing w:after="0" w:line="163" w:lineRule="exact"/>
              <w:rPr>
                <w:sz w:val="20"/>
                <w:szCs w:val="20"/>
                <w:color w:val="auto"/>
              </w:rPr>
            </w:pPr>
            <w:r>
              <w:rPr>
                <w:rFonts w:ascii="Arial" w:cs="Arial" w:eastAsia="Arial" w:hAnsi="Arial"/>
                <w:sz w:val="18"/>
                <w:szCs w:val="18"/>
                <w:color w:val="0000FF"/>
                <w:w w:val="86"/>
              </w:rPr>
              <w:t>62,950,819.65</w:t>
            </w: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gridSpan w:val="2"/>
            <w:shd w:val="clear" w:color="auto" w:fill="CCEEFF"/>
          </w:tcPr>
          <w:p>
            <w:pPr>
              <w:jc w:val="right"/>
              <w:ind w:right="20"/>
              <w:spacing w:after="0" w:line="163" w:lineRule="exact"/>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CCEEFF"/>
            </w:tcBorders>
            <w:gridSpan w:val="3"/>
            <w:shd w:val="clear" w:color="auto" w:fill="CCEEFF"/>
          </w:tcPr>
          <w:p>
            <w:pPr>
              <w:jc w:val="right"/>
              <w:spacing w:after="0" w:line="163" w:lineRule="exact"/>
              <w:rPr>
                <w:sz w:val="20"/>
                <w:szCs w:val="20"/>
                <w:color w:val="auto"/>
              </w:rPr>
            </w:pPr>
            <w:r>
              <w:rPr>
                <w:rFonts w:ascii="Arial" w:cs="Arial" w:eastAsia="Arial" w:hAnsi="Arial"/>
                <w:sz w:val="18"/>
                <w:szCs w:val="18"/>
                <w:color w:val="FF0000"/>
                <w:strike w:val="1"/>
              </w:rPr>
              <w:t>135,000,000.00</w:t>
            </w:r>
          </w:p>
        </w:tc>
        <w:tc>
          <w:tcPr>
            <w:tcW w:w="1120" w:type="dxa"/>
            <w:vAlign w:val="bottom"/>
            <w:tcBorders>
              <w:top w:val="single" w:sz="8" w:color="auto"/>
              <w:bottom w:val="single" w:sz="8" w:color="0000FF"/>
            </w:tcBorders>
            <w:gridSpan w:val="3"/>
            <w:shd w:val="clear" w:color="auto" w:fill="CCEEFF"/>
          </w:tcPr>
          <w:p>
            <w:pPr>
              <w:jc w:val="right"/>
              <w:spacing w:after="0" w:line="163" w:lineRule="exact"/>
              <w:rPr>
                <w:sz w:val="20"/>
                <w:szCs w:val="20"/>
                <w:color w:val="auto"/>
              </w:rPr>
            </w:pPr>
            <w:r>
              <w:rPr>
                <w:rFonts w:ascii="Arial" w:cs="Arial" w:eastAsia="Arial" w:hAnsi="Arial"/>
                <w:sz w:val="18"/>
                <w:szCs w:val="18"/>
                <w:color w:val="0000FF"/>
                <w:w w:val="87"/>
              </w:rPr>
              <w:t>160,000,000.00</w:t>
            </w: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jc w:val="right"/>
              <w:spacing w:after="0" w:line="163" w:lineRule="exact"/>
              <w:rPr>
                <w:sz w:val="20"/>
                <w:szCs w:val="20"/>
                <w:color w:val="auto"/>
              </w:rPr>
            </w:pPr>
            <w:r>
              <w:rPr>
                <w:rFonts w:ascii="Arial" w:cs="Arial" w:eastAsia="Arial" w:hAnsi="Arial"/>
                <w:sz w:val="18"/>
                <w:szCs w:val="18"/>
                <w:color w:val="FF0000"/>
                <w:strike w:val="1"/>
              </w:rPr>
              <w:t>10.00</w:t>
            </w:r>
          </w:p>
        </w:tc>
        <w:tc>
          <w:tcPr>
            <w:tcW w:w="500" w:type="dxa"/>
            <w:vAlign w:val="bottom"/>
            <w:tcBorders>
              <w:top w:val="single" w:sz="8" w:color="auto"/>
              <w:bottom w:val="single" w:sz="8" w:color="0000FF"/>
            </w:tcBorders>
            <w:gridSpan w:val="2"/>
            <w:shd w:val="clear" w:color="auto" w:fill="CCEEFF"/>
          </w:tcPr>
          <w:p>
            <w:pPr>
              <w:jc w:val="right"/>
              <w:spacing w:after="0" w:line="163" w:lineRule="exact"/>
              <w:rPr>
                <w:sz w:val="20"/>
                <w:szCs w:val="20"/>
                <w:color w:val="auto"/>
              </w:rPr>
            </w:pPr>
            <w:r>
              <w:rPr>
                <w:rFonts w:ascii="Arial" w:cs="Arial" w:eastAsia="Arial" w:hAnsi="Arial"/>
                <w:sz w:val="18"/>
                <w:szCs w:val="18"/>
                <w:color w:val="0000FF"/>
                <w:w w:val="87"/>
              </w:rPr>
              <w:t>10.492</w:t>
            </w:r>
          </w:p>
        </w:tc>
        <w:tc>
          <w:tcPr>
            <w:tcW w:w="240" w:type="dxa"/>
            <w:vAlign w:val="bottom"/>
            <w:tcBorders>
              <w:top w:val="single" w:sz="8" w:color="CCEEFF"/>
              <w:bottom w:val="single" w:sz="8" w:color="CCEEFF"/>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gridSpan w:val="4"/>
            <w:vMerge w:val="restart"/>
          </w:tcPr>
          <w:p>
            <w:pPr>
              <w:spacing w:after="0" w:line="201" w:lineRule="exact"/>
              <w:rPr>
                <w:sz w:val="20"/>
                <w:szCs w:val="20"/>
                <w:color w:val="auto"/>
              </w:rPr>
            </w:pPr>
            <w:r>
              <w:rPr>
                <w:rFonts w:ascii="Arial" w:cs="Arial" w:eastAsia="Arial" w:hAnsi="Arial"/>
                <w:sz w:val="18"/>
                <w:szCs w:val="18"/>
                <w:color w:val="auto"/>
              </w:rPr>
              <w:t>Canadian Imperial Bank of Commerce,</w:t>
            </w: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1020" w:type="dxa"/>
            <w:vAlign w:val="bottom"/>
            <w:tcBorders>
              <w:top w:val="single" w:sz="8" w:color="CCEEFF"/>
              <w:bottom w:val="single" w:sz="8" w:color="0000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0000FF"/>
            </w:tcBorders>
          </w:tcPr>
          <w:p>
            <w:pPr>
              <w:spacing w:after="0" w:line="20" w:lineRule="exact"/>
              <w:rPr>
                <w:sz w:val="1"/>
                <w:szCs w:val="1"/>
                <w:color w:val="auto"/>
              </w:rPr>
            </w:pPr>
          </w:p>
        </w:tc>
        <w:tc>
          <w:tcPr>
            <w:tcW w:w="1040" w:type="dxa"/>
            <w:vAlign w:val="bottom"/>
            <w:tcBorders>
              <w:top w:val="single" w:sz="8" w:color="CCEEFF"/>
              <w:bottom w:val="single" w:sz="8" w:color="0000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0000FF"/>
            </w:tcBorders>
          </w:tcPr>
          <w:p>
            <w:pPr>
              <w:spacing w:after="0" w:line="20" w:lineRule="exact"/>
              <w:rPr>
                <w:sz w:val="1"/>
                <w:szCs w:val="1"/>
                <w:color w:val="auto"/>
              </w:rPr>
            </w:pPr>
          </w:p>
        </w:tc>
        <w:tc>
          <w:tcPr>
            <w:tcW w:w="400" w:type="dxa"/>
            <w:vAlign w:val="bottom"/>
            <w:tcBorders>
              <w:top w:val="single" w:sz="8" w:color="CCEEFF"/>
              <w:bottom w:val="single" w:sz="8" w:color="0000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4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00" w:type="dxa"/>
            <w:vAlign w:val="bottom"/>
            <w:gridSpan w:val="4"/>
          </w:tcPr>
          <w:p>
            <w:pPr>
              <w:ind w:left="180"/>
              <w:spacing w:after="0" w:line="190" w:lineRule="exact"/>
              <w:rPr>
                <w:sz w:val="20"/>
                <w:szCs w:val="20"/>
                <w:color w:val="auto"/>
              </w:rPr>
            </w:pPr>
            <w:r>
              <w:rPr>
                <w:rFonts w:ascii="Arial" w:cs="Arial" w:eastAsia="Arial" w:hAnsi="Arial"/>
                <w:sz w:val="18"/>
                <w:szCs w:val="18"/>
                <w:color w:val="auto"/>
              </w:rPr>
              <w:t>New York Branch</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6"/>
                <w:szCs w:val="16"/>
                <w:color w:val="auto"/>
              </w:rPr>
            </w:pPr>
          </w:p>
        </w:tc>
        <w:tc>
          <w:tcPr>
            <w:tcW w:w="1040" w:type="dxa"/>
            <w:vAlign w:val="bottom"/>
            <w:gridSpan w:val="3"/>
          </w:tcPr>
          <w:p>
            <w:pPr>
              <w:spacing w:after="0" w:line="190" w:lineRule="exact"/>
              <w:rPr>
                <w:sz w:val="20"/>
                <w:szCs w:val="20"/>
                <w:color w:val="auto"/>
              </w:rPr>
            </w:pPr>
            <w:r>
              <w:rPr>
                <w:rFonts w:ascii="Arial" w:cs="Arial" w:eastAsia="Arial" w:hAnsi="Arial"/>
                <w:sz w:val="18"/>
                <w:szCs w:val="18"/>
                <w:color w:val="FF0000"/>
                <w:strike w:val="1"/>
                <w:w w:val="88"/>
              </w:rPr>
              <w:t>50,110,000.00</w:t>
            </w:r>
          </w:p>
        </w:tc>
        <w:tc>
          <w:tcPr>
            <w:tcW w:w="1460" w:type="dxa"/>
            <w:vAlign w:val="bottom"/>
            <w:gridSpan w:val="2"/>
          </w:tcPr>
          <w:p>
            <w:pPr>
              <w:jc w:val="right"/>
              <w:ind w:right="440"/>
              <w:spacing w:after="0" w:line="190" w:lineRule="exact"/>
              <w:rPr>
                <w:sz w:val="20"/>
                <w:szCs w:val="20"/>
                <w:color w:val="auto"/>
              </w:rPr>
            </w:pPr>
            <w:r>
              <w:rPr>
                <w:rFonts w:ascii="Arial" w:cs="Arial" w:eastAsia="Arial" w:hAnsi="Arial"/>
                <w:sz w:val="18"/>
                <w:szCs w:val="18"/>
                <w:color w:val="0000FF"/>
                <w:w w:val="86"/>
              </w:rPr>
              <w:t>55,081,967.21</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spacing w:after="0" w:line="190" w:lineRule="exact"/>
              <w:rPr>
                <w:sz w:val="20"/>
                <w:szCs w:val="20"/>
                <w:color w:val="auto"/>
              </w:rPr>
            </w:pPr>
            <w:r>
              <w:rPr>
                <w:rFonts w:ascii="Arial" w:cs="Arial" w:eastAsia="Arial" w:hAnsi="Arial"/>
                <w:sz w:val="18"/>
                <w:szCs w:val="18"/>
                <w:color w:val="FF0000"/>
                <w:strike w:val="1"/>
              </w:rPr>
              <w:t>123,000,000.00</w:t>
            </w:r>
          </w:p>
        </w:tc>
        <w:tc>
          <w:tcPr>
            <w:tcW w:w="1560" w:type="dxa"/>
            <w:vAlign w:val="bottom"/>
            <w:gridSpan w:val="4"/>
          </w:tcPr>
          <w:p>
            <w:pPr>
              <w:jc w:val="right"/>
              <w:ind w:right="440"/>
              <w:spacing w:after="0" w:line="190" w:lineRule="exact"/>
              <w:rPr>
                <w:sz w:val="20"/>
                <w:szCs w:val="20"/>
                <w:color w:val="auto"/>
              </w:rPr>
            </w:pPr>
            <w:r>
              <w:rPr>
                <w:rFonts w:ascii="Arial" w:cs="Arial" w:eastAsia="Arial" w:hAnsi="Arial"/>
                <w:sz w:val="18"/>
                <w:szCs w:val="18"/>
                <w:color w:val="0000FF"/>
                <w:w w:val="87"/>
              </w:rPr>
              <w:t>140,000,000.00</w:t>
            </w:r>
          </w:p>
        </w:tc>
        <w:tc>
          <w:tcPr>
            <w:tcW w:w="1140" w:type="dxa"/>
            <w:vAlign w:val="bottom"/>
            <w:gridSpan w:val="2"/>
          </w:tcPr>
          <w:p>
            <w:pPr>
              <w:jc w:val="right"/>
              <w:spacing w:after="0" w:line="190" w:lineRule="exact"/>
              <w:rPr>
                <w:sz w:val="20"/>
                <w:szCs w:val="20"/>
                <w:color w:val="auto"/>
              </w:rPr>
            </w:pPr>
            <w:r>
              <w:rPr>
                <w:rFonts w:ascii="Arial" w:cs="Arial" w:eastAsia="Arial" w:hAnsi="Arial"/>
                <w:sz w:val="18"/>
                <w:szCs w:val="18"/>
                <w:color w:val="FF0000"/>
                <w:strike w:val="1"/>
              </w:rPr>
              <w:t>9.11</w:t>
            </w:r>
          </w:p>
        </w:tc>
        <w:tc>
          <w:tcPr>
            <w:tcW w:w="640" w:type="dxa"/>
            <w:vAlign w:val="bottom"/>
            <w:gridSpan w:val="2"/>
          </w:tcPr>
          <w:p>
            <w:pPr>
              <w:jc w:val="right"/>
              <w:spacing w:after="0" w:line="190" w:lineRule="exact"/>
              <w:rPr>
                <w:sz w:val="20"/>
                <w:szCs w:val="20"/>
                <w:color w:val="auto"/>
              </w:rPr>
            </w:pPr>
            <w:r>
              <w:rPr>
                <w:rFonts w:ascii="Arial" w:cs="Arial" w:eastAsia="Arial" w:hAnsi="Arial"/>
                <w:sz w:val="18"/>
                <w:szCs w:val="18"/>
                <w:color w:val="0000FF"/>
                <w:w w:val="88"/>
              </w:rPr>
              <w:t>9.180</w:t>
            </w:r>
            <w:r>
              <w:rPr>
                <w:rFonts w:ascii="Arial" w:cs="Arial" w:eastAsia="Arial" w:hAnsi="Arial"/>
                <w:sz w:val="18"/>
                <w:szCs w:val="18"/>
                <w:color w:val="000000"/>
                <w:w w:val="88"/>
              </w:rPr>
              <w:t>%</w:t>
            </w:r>
          </w:p>
        </w:tc>
        <w:tc>
          <w:tcPr>
            <w:tcW w:w="0" w:type="dxa"/>
            <w:vAlign w:val="bottom"/>
          </w:tcPr>
          <w:p>
            <w:pPr>
              <w:spacing w:after="0"/>
              <w:rPr>
                <w:sz w:val="1"/>
                <w:szCs w:val="1"/>
                <w:color w:val="auto"/>
              </w:rPr>
            </w:pPr>
          </w:p>
        </w:tc>
      </w:tr>
      <w:tr>
        <w:trPr>
          <w:trHeight w:val="28"/>
        </w:trPr>
        <w:tc>
          <w:tcPr>
            <w:tcW w:w="4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20" w:type="dxa"/>
            <w:vAlign w:val="bottom"/>
            <w:tcBorders>
              <w:top w:val="single" w:sz="8" w:color="0000FF"/>
              <w:bottom w:val="single" w:sz="8" w:color="0000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1040" w:type="dxa"/>
            <w:vAlign w:val="bottom"/>
            <w:tcBorders>
              <w:top w:val="single" w:sz="8" w:color="0000FF"/>
              <w:bottom w:val="single" w:sz="8" w:color="0000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400" w:type="dxa"/>
            <w:vAlign w:val="bottom"/>
            <w:tcBorders>
              <w:bottom w:val="single" w:sz="8" w:color="CCEEFF"/>
            </w:tcBorders>
            <w:gridSpan w:val="4"/>
            <w:shd w:val="clear" w:color="auto" w:fill="CCEEFF"/>
          </w:tcPr>
          <w:p>
            <w:pPr>
              <w:spacing w:after="0" w:line="149" w:lineRule="exact"/>
              <w:rPr>
                <w:sz w:val="20"/>
                <w:szCs w:val="20"/>
                <w:color w:val="auto"/>
              </w:rPr>
            </w:pPr>
            <w:r>
              <w:rPr>
                <w:rFonts w:ascii="Arial" w:cs="Arial" w:eastAsia="Arial" w:hAnsi="Arial"/>
                <w:sz w:val="17"/>
                <w:szCs w:val="17"/>
                <w:color w:val="auto"/>
              </w:rPr>
              <w:t>Fifth Third Bank, National Association</w:t>
            </w:r>
          </w:p>
        </w:tc>
        <w:tc>
          <w:tcPr>
            <w:tcW w:w="100" w:type="dxa"/>
            <w:vAlign w:val="bottom"/>
            <w:tcBorders>
              <w:bottom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7"/>
                <w:szCs w:val="17"/>
                <w:color w:val="FF0000"/>
                <w:strike w:val="1"/>
                <w:w w:val="91"/>
              </w:rPr>
              <w:t>50,110,000.00</w:t>
            </w:r>
          </w:p>
        </w:tc>
        <w:tc>
          <w:tcPr>
            <w:tcW w:w="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0000FF"/>
            </w:tcBorders>
            <w:shd w:val="clear" w:color="auto" w:fill="CCEEFF"/>
          </w:tcPr>
          <w:p>
            <w:pPr>
              <w:jc w:val="right"/>
              <w:spacing w:after="0" w:line="149" w:lineRule="exact"/>
              <w:rPr>
                <w:sz w:val="20"/>
                <w:szCs w:val="20"/>
                <w:color w:val="auto"/>
              </w:rPr>
            </w:pPr>
            <w:r>
              <w:rPr>
                <w:rFonts w:ascii="Arial" w:cs="Arial" w:eastAsia="Arial" w:hAnsi="Arial"/>
                <w:sz w:val="17"/>
                <w:szCs w:val="17"/>
                <w:color w:val="0000FF"/>
                <w:w w:val="91"/>
              </w:rPr>
              <w:t>48,393,442.62</w:t>
            </w: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7"/>
                <w:szCs w:val="17"/>
                <w:color w:val="auto"/>
                <w:w w:val="91"/>
              </w:rPr>
              <w:t>123,000,000.00</w:t>
            </w:r>
          </w:p>
        </w:tc>
        <w:tc>
          <w:tcPr>
            <w:tcW w:w="4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7"/>
                <w:szCs w:val="17"/>
                <w:color w:val="FF0000"/>
                <w:strike w:val="1"/>
              </w:rPr>
              <w:t>9.11</w:t>
            </w:r>
          </w:p>
        </w:tc>
        <w:tc>
          <w:tcPr>
            <w:tcW w:w="400" w:type="dxa"/>
            <w:vAlign w:val="bottom"/>
            <w:tcBorders>
              <w:bottom w:val="single" w:sz="8" w:color="0000FF"/>
            </w:tcBorders>
            <w:shd w:val="clear" w:color="auto" w:fill="CCEEFF"/>
          </w:tcPr>
          <w:p>
            <w:pPr>
              <w:jc w:val="right"/>
              <w:spacing w:after="0" w:line="149" w:lineRule="exact"/>
              <w:rPr>
                <w:sz w:val="20"/>
                <w:szCs w:val="20"/>
                <w:color w:val="auto"/>
              </w:rPr>
            </w:pPr>
            <w:r>
              <w:rPr>
                <w:rFonts w:ascii="Arial" w:cs="Arial" w:eastAsia="Arial" w:hAnsi="Arial"/>
                <w:sz w:val="17"/>
                <w:szCs w:val="17"/>
                <w:color w:val="0000FF"/>
                <w:w w:val="89"/>
              </w:rPr>
              <w:t>8.066</w:t>
            </w:r>
          </w:p>
        </w:tc>
        <w:tc>
          <w:tcPr>
            <w:tcW w:w="2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color w:val="auto"/>
              </w:rPr>
              <w:t>PNC Bank, National Association</w:t>
            </w:r>
          </w:p>
        </w:tc>
        <w:tc>
          <w:tcPr>
            <w:tcW w:w="10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spacing w:after="0" w:line="176" w:lineRule="exact"/>
              <w:rPr>
                <w:sz w:val="20"/>
                <w:szCs w:val="20"/>
                <w:color w:val="auto"/>
              </w:rPr>
            </w:pPr>
            <w:r>
              <w:rPr>
                <w:rFonts w:ascii="Arial" w:cs="Arial" w:eastAsia="Arial" w:hAnsi="Arial"/>
                <w:sz w:val="18"/>
                <w:szCs w:val="18"/>
                <w:color w:val="FF0000"/>
                <w:strike w:val="1"/>
                <w:w w:val="86"/>
              </w:rPr>
              <w:t>50,110,000.00</w:t>
            </w:r>
          </w:p>
        </w:tc>
        <w:tc>
          <w:tcPr>
            <w:tcW w:w="1040" w:type="dxa"/>
            <w:vAlign w:val="bottom"/>
            <w:tcBorders>
              <w:top w:val="single" w:sz="8" w:color="CCEEFF"/>
              <w:bottom w:val="single" w:sz="8" w:color="0000FF"/>
            </w:tcBorders>
            <w:gridSpan w:val="2"/>
          </w:tcPr>
          <w:p>
            <w:pPr>
              <w:spacing w:after="0" w:line="20" w:lineRule="exact"/>
              <w:rPr>
                <w:sz w:val="1"/>
                <w:szCs w:val="1"/>
                <w:color w:val="auto"/>
              </w:rPr>
            </w:pPr>
          </w:p>
        </w:tc>
        <w:tc>
          <w:tcPr>
            <w:tcW w:w="440" w:type="dxa"/>
            <w:vAlign w:val="bottom"/>
            <w:tcBorders>
              <w:top w:val="single" w:sz="8" w:color="CCEEFF"/>
              <w:bottom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CCEEFF"/>
              <w:bottom w:val="single" w:sz="8" w:color="CCEEFF"/>
            </w:tcBorders>
            <w:gridSpan w:val="3"/>
            <w:vMerge w:val="restart"/>
          </w:tcPr>
          <w:p>
            <w:pPr>
              <w:jc w:val="right"/>
              <w:spacing w:after="0" w:line="176" w:lineRule="exact"/>
              <w:rPr>
                <w:sz w:val="20"/>
                <w:szCs w:val="20"/>
                <w:color w:val="auto"/>
              </w:rPr>
            </w:pPr>
            <w:r>
              <w:rPr>
                <w:rFonts w:ascii="Arial" w:cs="Arial" w:eastAsia="Arial" w:hAnsi="Arial"/>
                <w:sz w:val="18"/>
                <w:szCs w:val="18"/>
                <w:color w:val="FF0000"/>
                <w:strike w:val="1"/>
              </w:rPr>
              <w:t>123,000,000.00</w:t>
            </w:r>
          </w:p>
        </w:tc>
        <w:tc>
          <w:tcPr>
            <w:tcW w:w="1560" w:type="dxa"/>
            <w:vAlign w:val="bottom"/>
            <w:tcBorders>
              <w:top w:val="single" w:sz="8" w:color="CCEEFF"/>
              <w:bottom w:val="single" w:sz="8" w:color="CCEEFF"/>
            </w:tcBorders>
            <w:gridSpan w:val="4"/>
            <w:vMerge w:val="restart"/>
          </w:tcPr>
          <w:p>
            <w:pPr>
              <w:jc w:val="right"/>
              <w:ind w:right="440"/>
              <w:spacing w:after="0" w:line="176" w:lineRule="exact"/>
              <w:rPr>
                <w:sz w:val="20"/>
                <w:szCs w:val="20"/>
                <w:color w:val="auto"/>
              </w:rPr>
            </w:pPr>
            <w:r>
              <w:rPr>
                <w:rFonts w:ascii="Arial" w:cs="Arial" w:eastAsia="Arial" w:hAnsi="Arial"/>
                <w:sz w:val="18"/>
                <w:szCs w:val="18"/>
                <w:color w:val="0000FF"/>
                <w:w w:val="87"/>
              </w:rPr>
              <w:t>131,000,000.00</w:t>
            </w:r>
          </w:p>
        </w:tc>
        <w:tc>
          <w:tcPr>
            <w:tcW w:w="1140" w:type="dxa"/>
            <w:vAlign w:val="bottom"/>
            <w:tcBorders>
              <w:top w:val="single" w:sz="8" w:color="CCEEFF"/>
              <w:bottom w:val="single" w:sz="8" w:color="CCEEFF"/>
            </w:tcBorders>
            <w:gridSpan w:val="2"/>
            <w:vMerge w:val="restart"/>
          </w:tcPr>
          <w:p>
            <w:pPr>
              <w:jc w:val="right"/>
              <w:spacing w:after="0" w:line="176" w:lineRule="exact"/>
              <w:rPr>
                <w:sz w:val="20"/>
                <w:szCs w:val="20"/>
                <w:color w:val="auto"/>
              </w:rPr>
            </w:pPr>
            <w:r>
              <w:rPr>
                <w:rFonts w:ascii="Arial" w:cs="Arial" w:eastAsia="Arial" w:hAnsi="Arial"/>
                <w:sz w:val="18"/>
                <w:szCs w:val="18"/>
                <w:color w:val="FF0000"/>
                <w:strike w:val="1"/>
              </w:rPr>
              <w:t>9.11</w:t>
            </w:r>
          </w:p>
        </w:tc>
        <w:tc>
          <w:tcPr>
            <w:tcW w:w="400" w:type="dxa"/>
            <w:vAlign w:val="bottom"/>
            <w:tcBorders>
              <w:top w:val="single" w:sz="8" w:color="CCEEFF"/>
              <w:bottom w:val="single" w:sz="8" w:color="0000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36"/>
        </w:trPr>
        <w:tc>
          <w:tcPr>
            <w:tcW w:w="3400" w:type="dxa"/>
            <w:vAlign w:val="bottom"/>
            <w:gridSpan w:val="4"/>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5"/>
                <w:szCs w:val="15"/>
                <w:color w:val="0000FF"/>
              </w:rPr>
              <w:t>51,540,983.61</w:t>
            </w:r>
          </w:p>
        </w:tc>
        <w:tc>
          <w:tcPr>
            <w:tcW w:w="440" w:type="dxa"/>
            <w:vAlign w:val="bottom"/>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560" w:type="dxa"/>
            <w:vAlign w:val="bottom"/>
            <w:gridSpan w:val="4"/>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400" w:type="dxa"/>
            <w:vAlign w:val="bottom"/>
          </w:tcPr>
          <w:p>
            <w:pPr>
              <w:jc w:val="right"/>
              <w:spacing w:after="0" w:line="136" w:lineRule="exact"/>
              <w:rPr>
                <w:sz w:val="20"/>
                <w:szCs w:val="20"/>
                <w:color w:val="auto"/>
              </w:rPr>
            </w:pPr>
            <w:r>
              <w:rPr>
                <w:rFonts w:ascii="Arial" w:cs="Arial" w:eastAsia="Arial" w:hAnsi="Arial"/>
                <w:sz w:val="15"/>
                <w:szCs w:val="15"/>
                <w:color w:val="0000FF"/>
              </w:rPr>
              <w:t>8.590</w:t>
            </w: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4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20" w:type="dxa"/>
            <w:vAlign w:val="bottom"/>
            <w:tcBorders>
              <w:top w:val="single" w:sz="8" w:color="0000FF"/>
              <w:bottom w:val="single" w:sz="8" w:color="0000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1040" w:type="dxa"/>
            <w:vAlign w:val="bottom"/>
            <w:tcBorders>
              <w:top w:val="single" w:sz="8" w:color="0000FF"/>
              <w:bottom w:val="single" w:sz="8" w:color="0000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400" w:type="dxa"/>
            <w:vAlign w:val="bottom"/>
            <w:tcBorders>
              <w:bottom w:val="single" w:sz="8" w:color="CCEEFF"/>
            </w:tcBorders>
            <w:gridSpan w:val="4"/>
            <w:shd w:val="clear" w:color="auto" w:fill="CCEEFF"/>
          </w:tcPr>
          <w:p>
            <w:pPr>
              <w:spacing w:after="0" w:line="149" w:lineRule="exact"/>
              <w:rPr>
                <w:sz w:val="20"/>
                <w:szCs w:val="20"/>
                <w:color w:val="auto"/>
              </w:rPr>
            </w:pPr>
            <w:r>
              <w:rPr>
                <w:rFonts w:ascii="Arial" w:cs="Arial" w:eastAsia="Arial" w:hAnsi="Arial"/>
                <w:sz w:val="17"/>
                <w:szCs w:val="17"/>
                <w:color w:val="auto"/>
              </w:rPr>
              <w:t>TD Bank, N.A.</w:t>
            </w:r>
          </w:p>
        </w:tc>
        <w:tc>
          <w:tcPr>
            <w:tcW w:w="100" w:type="dxa"/>
            <w:vAlign w:val="bottom"/>
            <w:tcBorders>
              <w:bottom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7"/>
                <w:szCs w:val="17"/>
                <w:color w:val="FF0000"/>
                <w:strike w:val="1"/>
                <w:w w:val="91"/>
              </w:rPr>
              <w:t>50,110,000.00</w:t>
            </w:r>
          </w:p>
        </w:tc>
        <w:tc>
          <w:tcPr>
            <w:tcW w:w="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0000FF"/>
            </w:tcBorders>
            <w:shd w:val="clear" w:color="auto" w:fill="CCEEFF"/>
          </w:tcPr>
          <w:p>
            <w:pPr>
              <w:jc w:val="right"/>
              <w:spacing w:after="0" w:line="149" w:lineRule="exact"/>
              <w:rPr>
                <w:sz w:val="20"/>
                <w:szCs w:val="20"/>
                <w:color w:val="auto"/>
              </w:rPr>
            </w:pPr>
            <w:r>
              <w:rPr>
                <w:rFonts w:ascii="Arial" w:cs="Arial" w:eastAsia="Arial" w:hAnsi="Arial"/>
                <w:sz w:val="17"/>
                <w:szCs w:val="17"/>
                <w:color w:val="0000FF"/>
                <w:w w:val="91"/>
              </w:rPr>
              <w:t>51,540,983.61</w:t>
            </w: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7"/>
                <w:szCs w:val="17"/>
                <w:color w:val="FF0000"/>
                <w:strike w:val="1"/>
              </w:rPr>
              <w:t>123,000,000.00</w:t>
            </w:r>
          </w:p>
        </w:tc>
        <w:tc>
          <w:tcPr>
            <w:tcW w:w="20" w:type="dxa"/>
            <w:vAlign w:val="bottom"/>
            <w:tcBorders>
              <w:bottom w:val="single" w:sz="8" w:color="0000FF"/>
            </w:tcBorders>
            <w:shd w:val="clear" w:color="auto" w:fill="CCEEFF"/>
          </w:tcPr>
          <w:p>
            <w:pPr>
              <w:spacing w:after="0"/>
              <w:rPr>
                <w:sz w:val="14"/>
                <w:szCs w:val="14"/>
                <w:color w:val="auto"/>
              </w:rPr>
            </w:pPr>
          </w:p>
        </w:tc>
        <w:tc>
          <w:tcPr>
            <w:tcW w:w="1100" w:type="dxa"/>
            <w:vAlign w:val="bottom"/>
            <w:tcBorders>
              <w:bottom w:val="single" w:sz="8" w:color="0000FF"/>
            </w:tcBorders>
            <w:gridSpan w:val="2"/>
            <w:shd w:val="clear" w:color="auto" w:fill="CCEEFF"/>
          </w:tcPr>
          <w:p>
            <w:pPr>
              <w:jc w:val="right"/>
              <w:spacing w:after="0" w:line="149" w:lineRule="exact"/>
              <w:rPr>
                <w:sz w:val="20"/>
                <w:szCs w:val="20"/>
                <w:color w:val="auto"/>
              </w:rPr>
            </w:pPr>
            <w:r>
              <w:rPr>
                <w:rFonts w:ascii="Arial" w:cs="Arial" w:eastAsia="Arial" w:hAnsi="Arial"/>
                <w:sz w:val="17"/>
                <w:szCs w:val="17"/>
                <w:color w:val="0000FF"/>
                <w:w w:val="91"/>
              </w:rPr>
              <w:t>131,000,000.00</w:t>
            </w:r>
          </w:p>
        </w:tc>
        <w:tc>
          <w:tcPr>
            <w:tcW w:w="4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7"/>
                <w:szCs w:val="17"/>
                <w:color w:val="FF0000"/>
                <w:strike w:val="1"/>
              </w:rPr>
              <w:t>9.11</w:t>
            </w:r>
          </w:p>
        </w:tc>
        <w:tc>
          <w:tcPr>
            <w:tcW w:w="400" w:type="dxa"/>
            <w:vAlign w:val="bottom"/>
            <w:tcBorders>
              <w:bottom w:val="single" w:sz="8" w:color="0000FF"/>
            </w:tcBorders>
            <w:shd w:val="clear" w:color="auto" w:fill="CCEEFF"/>
          </w:tcPr>
          <w:p>
            <w:pPr>
              <w:jc w:val="right"/>
              <w:spacing w:after="0" w:line="149" w:lineRule="exact"/>
              <w:rPr>
                <w:sz w:val="20"/>
                <w:szCs w:val="20"/>
                <w:color w:val="auto"/>
              </w:rPr>
            </w:pPr>
            <w:r>
              <w:rPr>
                <w:rFonts w:ascii="Arial" w:cs="Arial" w:eastAsia="Arial" w:hAnsi="Arial"/>
                <w:sz w:val="17"/>
                <w:szCs w:val="17"/>
                <w:color w:val="0000FF"/>
                <w:w w:val="89"/>
              </w:rPr>
              <w:t>8.590</w:t>
            </w:r>
          </w:p>
        </w:tc>
        <w:tc>
          <w:tcPr>
            <w:tcW w:w="2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color w:val="auto"/>
              </w:rPr>
              <w:t>U.S. Bank National Association</w:t>
            </w:r>
          </w:p>
        </w:tc>
        <w:tc>
          <w:tcPr>
            <w:tcW w:w="10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spacing w:after="0" w:line="176" w:lineRule="exact"/>
              <w:rPr>
                <w:sz w:val="20"/>
                <w:szCs w:val="20"/>
                <w:color w:val="auto"/>
              </w:rPr>
            </w:pPr>
            <w:r>
              <w:rPr>
                <w:rFonts w:ascii="Arial" w:cs="Arial" w:eastAsia="Arial" w:hAnsi="Arial"/>
                <w:sz w:val="18"/>
                <w:szCs w:val="18"/>
                <w:color w:val="FF0000"/>
                <w:strike w:val="1"/>
                <w:w w:val="86"/>
              </w:rPr>
              <w:t>50,110,000.00</w:t>
            </w:r>
          </w:p>
        </w:tc>
        <w:tc>
          <w:tcPr>
            <w:tcW w:w="1040" w:type="dxa"/>
            <w:vAlign w:val="bottom"/>
            <w:tcBorders>
              <w:top w:val="single" w:sz="8" w:color="CCEEFF"/>
              <w:bottom w:val="single" w:sz="8" w:color="0000FF"/>
            </w:tcBorders>
            <w:gridSpan w:val="2"/>
          </w:tcPr>
          <w:p>
            <w:pPr>
              <w:spacing w:after="0" w:line="20" w:lineRule="exact"/>
              <w:rPr>
                <w:sz w:val="1"/>
                <w:szCs w:val="1"/>
                <w:color w:val="auto"/>
              </w:rPr>
            </w:pPr>
          </w:p>
        </w:tc>
        <w:tc>
          <w:tcPr>
            <w:tcW w:w="440" w:type="dxa"/>
            <w:vAlign w:val="bottom"/>
            <w:tcBorders>
              <w:top w:val="single" w:sz="8" w:color="CCEEFF"/>
              <w:bottom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CCEEFF"/>
              <w:bottom w:val="single" w:sz="8" w:color="CCEEFF"/>
            </w:tcBorders>
            <w:gridSpan w:val="3"/>
            <w:vMerge w:val="restart"/>
          </w:tcPr>
          <w:p>
            <w:pPr>
              <w:jc w:val="right"/>
              <w:spacing w:after="0" w:line="176" w:lineRule="exact"/>
              <w:rPr>
                <w:sz w:val="20"/>
                <w:szCs w:val="20"/>
                <w:color w:val="auto"/>
              </w:rPr>
            </w:pPr>
            <w:r>
              <w:rPr>
                <w:rFonts w:ascii="Arial" w:cs="Arial" w:eastAsia="Arial" w:hAnsi="Arial"/>
                <w:sz w:val="18"/>
                <w:szCs w:val="18"/>
                <w:color w:val="FF0000"/>
                <w:strike w:val="1"/>
              </w:rPr>
              <w:t>123,000,000.00</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bottom w:val="single" w:sz="8" w:color="0000FF"/>
            </w:tcBorders>
          </w:tcPr>
          <w:p>
            <w:pPr>
              <w:spacing w:after="0" w:line="20" w:lineRule="exact"/>
              <w:rPr>
                <w:sz w:val="1"/>
                <w:szCs w:val="1"/>
                <w:color w:val="auto"/>
              </w:rPr>
            </w:pPr>
          </w:p>
        </w:tc>
        <w:tc>
          <w:tcPr>
            <w:tcW w:w="1040" w:type="dxa"/>
            <w:vAlign w:val="bottom"/>
            <w:tcBorders>
              <w:top w:val="single" w:sz="8" w:color="CCEEFF"/>
              <w:bottom w:val="single" w:sz="8" w:color="0000FF"/>
            </w:tcBorders>
          </w:tcPr>
          <w:p>
            <w:pPr>
              <w:spacing w:after="0" w:line="20" w:lineRule="exact"/>
              <w:rPr>
                <w:sz w:val="1"/>
                <w:szCs w:val="1"/>
                <w:color w:val="auto"/>
              </w:rPr>
            </w:pPr>
          </w:p>
        </w:tc>
        <w:tc>
          <w:tcPr>
            <w:tcW w:w="440" w:type="dxa"/>
            <w:vAlign w:val="bottom"/>
            <w:tcBorders>
              <w:top w:val="single" w:sz="8" w:color="CCEEFF"/>
              <w:bottom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gridSpan w:val="2"/>
            <w:vMerge w:val="restart"/>
          </w:tcPr>
          <w:p>
            <w:pPr>
              <w:jc w:val="right"/>
              <w:spacing w:after="0" w:line="176" w:lineRule="exact"/>
              <w:rPr>
                <w:sz w:val="20"/>
                <w:szCs w:val="20"/>
                <w:color w:val="auto"/>
              </w:rPr>
            </w:pPr>
            <w:r>
              <w:rPr>
                <w:rFonts w:ascii="Arial" w:cs="Arial" w:eastAsia="Arial" w:hAnsi="Arial"/>
                <w:sz w:val="18"/>
                <w:szCs w:val="18"/>
                <w:color w:val="FF0000"/>
                <w:strike w:val="1"/>
              </w:rPr>
              <w:t>9.11</w:t>
            </w:r>
          </w:p>
        </w:tc>
        <w:tc>
          <w:tcPr>
            <w:tcW w:w="400" w:type="dxa"/>
            <w:vAlign w:val="bottom"/>
            <w:tcBorders>
              <w:top w:val="single" w:sz="8" w:color="CCEEFF"/>
              <w:bottom w:val="single" w:sz="8" w:color="0000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35"/>
        </w:trPr>
        <w:tc>
          <w:tcPr>
            <w:tcW w:w="3400" w:type="dxa"/>
            <w:vAlign w:val="bottom"/>
            <w:gridSpan w:val="4"/>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Borders>
              <w:bottom w:val="single" w:sz="8" w:color="0000FF"/>
            </w:tcBorders>
          </w:tcPr>
          <w:p>
            <w:pPr>
              <w:jc w:val="right"/>
              <w:spacing w:after="0" w:line="136" w:lineRule="exact"/>
              <w:rPr>
                <w:sz w:val="20"/>
                <w:szCs w:val="20"/>
                <w:color w:val="auto"/>
              </w:rPr>
            </w:pPr>
            <w:r>
              <w:rPr>
                <w:rFonts w:ascii="Arial" w:cs="Arial" w:eastAsia="Arial" w:hAnsi="Arial"/>
                <w:sz w:val="15"/>
                <w:szCs w:val="15"/>
                <w:color w:val="0000FF"/>
              </w:rPr>
              <w:t>57,049,180.33</w:t>
            </w:r>
          </w:p>
        </w:tc>
        <w:tc>
          <w:tcPr>
            <w:tcW w:w="440" w:type="dxa"/>
            <w:vAlign w:val="bottom"/>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100" w:type="dxa"/>
            <w:vAlign w:val="bottom"/>
            <w:tcBorders>
              <w:bottom w:val="single" w:sz="8" w:color="0000FF"/>
            </w:tcBorders>
            <w:gridSpan w:val="2"/>
          </w:tcPr>
          <w:p>
            <w:pPr>
              <w:jc w:val="right"/>
              <w:spacing w:after="0" w:line="136" w:lineRule="exact"/>
              <w:rPr>
                <w:sz w:val="20"/>
                <w:szCs w:val="20"/>
                <w:color w:val="auto"/>
              </w:rPr>
            </w:pPr>
            <w:r>
              <w:rPr>
                <w:rFonts w:ascii="Arial" w:cs="Arial" w:eastAsia="Arial" w:hAnsi="Arial"/>
                <w:sz w:val="15"/>
                <w:szCs w:val="15"/>
                <w:color w:val="0000FF"/>
              </w:rPr>
              <w:t>145,000,000.00</w:t>
            </w:r>
          </w:p>
        </w:tc>
        <w:tc>
          <w:tcPr>
            <w:tcW w:w="4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400" w:type="dxa"/>
            <w:vAlign w:val="bottom"/>
            <w:tcBorders>
              <w:bottom w:val="single" w:sz="8" w:color="0000FF"/>
            </w:tcBorders>
          </w:tcPr>
          <w:p>
            <w:pPr>
              <w:jc w:val="right"/>
              <w:spacing w:after="0" w:line="136" w:lineRule="exact"/>
              <w:rPr>
                <w:sz w:val="20"/>
                <w:szCs w:val="20"/>
                <w:color w:val="auto"/>
              </w:rPr>
            </w:pPr>
            <w:r>
              <w:rPr>
                <w:rFonts w:ascii="Arial" w:cs="Arial" w:eastAsia="Arial" w:hAnsi="Arial"/>
                <w:sz w:val="15"/>
                <w:szCs w:val="15"/>
                <w:color w:val="0000FF"/>
              </w:rPr>
              <w:t>9.508</w:t>
            </w: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4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20" w:type="dxa"/>
            <w:vAlign w:val="bottom"/>
            <w:tcBorders>
              <w:bottom w:val="single" w:sz="8" w:color="0000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1040" w:type="dxa"/>
            <w:vAlign w:val="bottom"/>
            <w:tcBorders>
              <w:bottom w:val="single" w:sz="8" w:color="0000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0000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400" w:type="dxa"/>
            <w:vAlign w:val="bottom"/>
            <w:tcBorders>
              <w:bottom w:val="single" w:sz="8" w:color="CCEEFF"/>
            </w:tcBorders>
            <w:gridSpan w:val="4"/>
            <w:shd w:val="clear" w:color="auto" w:fill="CCEEFF"/>
          </w:tcPr>
          <w:p>
            <w:pPr>
              <w:spacing w:after="0" w:line="149" w:lineRule="exact"/>
              <w:rPr>
                <w:sz w:val="20"/>
                <w:szCs w:val="20"/>
                <w:color w:val="auto"/>
              </w:rPr>
            </w:pPr>
            <w:r>
              <w:rPr>
                <w:rFonts w:ascii="Arial" w:cs="Arial" w:eastAsia="Arial" w:hAnsi="Arial"/>
                <w:sz w:val="17"/>
                <w:szCs w:val="17"/>
                <w:color w:val="auto"/>
              </w:rPr>
              <w:t>Bank of America N.A.</w:t>
            </w:r>
          </w:p>
        </w:tc>
        <w:tc>
          <w:tcPr>
            <w:tcW w:w="100" w:type="dxa"/>
            <w:vAlign w:val="bottom"/>
            <w:tcBorders>
              <w:bottom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gridSpan w:val="3"/>
            <w:shd w:val="clear" w:color="auto" w:fill="CCEEFF"/>
          </w:tcPr>
          <w:p>
            <w:pPr>
              <w:ind w:left="180"/>
              <w:spacing w:after="0" w:line="149" w:lineRule="exact"/>
              <w:rPr>
                <w:sz w:val="20"/>
                <w:szCs w:val="20"/>
                <w:color w:val="auto"/>
              </w:rPr>
            </w:pPr>
            <w:r>
              <w:rPr>
                <w:rFonts w:ascii="Arial" w:cs="Arial" w:eastAsia="Arial" w:hAnsi="Arial"/>
                <w:sz w:val="17"/>
                <w:szCs w:val="17"/>
                <w:color w:val="FF0000"/>
                <w:strike w:val="1"/>
                <w:w w:val="91"/>
              </w:rPr>
              <w:t>36,670,000.00</w:t>
            </w:r>
          </w:p>
        </w:tc>
        <w:tc>
          <w:tcPr>
            <w:tcW w:w="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0000FF"/>
            </w:tcBorders>
            <w:shd w:val="clear" w:color="auto" w:fill="CCEEFF"/>
          </w:tcPr>
          <w:p>
            <w:pPr>
              <w:jc w:val="right"/>
              <w:spacing w:after="0" w:line="149" w:lineRule="exact"/>
              <w:rPr>
                <w:sz w:val="20"/>
                <w:szCs w:val="20"/>
                <w:color w:val="auto"/>
              </w:rPr>
            </w:pPr>
            <w:r>
              <w:rPr>
                <w:rFonts w:ascii="Arial" w:cs="Arial" w:eastAsia="Arial" w:hAnsi="Arial"/>
                <w:sz w:val="17"/>
                <w:szCs w:val="17"/>
                <w:color w:val="0000FF"/>
                <w:w w:val="91"/>
              </w:rPr>
              <w:t>35,409,836.07</w:t>
            </w: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7"/>
                <w:szCs w:val="17"/>
                <w:color w:val="auto"/>
                <w:w w:val="99"/>
              </w:rPr>
              <w:t>90,000,000.00</w:t>
            </w:r>
          </w:p>
        </w:tc>
        <w:tc>
          <w:tcPr>
            <w:tcW w:w="4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7"/>
                <w:szCs w:val="17"/>
                <w:color w:val="FF0000"/>
                <w:strike w:val="1"/>
              </w:rPr>
              <w:t>6.67</w:t>
            </w:r>
          </w:p>
        </w:tc>
        <w:tc>
          <w:tcPr>
            <w:tcW w:w="400" w:type="dxa"/>
            <w:vAlign w:val="bottom"/>
            <w:tcBorders>
              <w:bottom w:val="single" w:sz="8" w:color="0000FF"/>
            </w:tcBorders>
            <w:shd w:val="clear" w:color="auto" w:fill="CCEEFF"/>
          </w:tcPr>
          <w:p>
            <w:pPr>
              <w:jc w:val="right"/>
              <w:spacing w:after="0" w:line="149" w:lineRule="exact"/>
              <w:rPr>
                <w:sz w:val="20"/>
                <w:szCs w:val="20"/>
                <w:color w:val="auto"/>
              </w:rPr>
            </w:pPr>
            <w:r>
              <w:rPr>
                <w:rFonts w:ascii="Arial" w:cs="Arial" w:eastAsia="Arial" w:hAnsi="Arial"/>
                <w:sz w:val="17"/>
                <w:szCs w:val="17"/>
                <w:color w:val="0000FF"/>
                <w:w w:val="89"/>
              </w:rPr>
              <w:t>5.902</w:t>
            </w:r>
          </w:p>
        </w:tc>
        <w:tc>
          <w:tcPr>
            <w:tcW w:w="2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color w:val="auto"/>
              </w:rPr>
              <w:t>Citizens Bank</w:t>
            </w:r>
          </w:p>
        </w:tc>
        <w:tc>
          <w:tcPr>
            <w:tcW w:w="10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bottom w:val="single" w:sz="8" w:color="CCEEFF"/>
            </w:tcBorders>
            <w:gridSpan w:val="3"/>
            <w:vMerge w:val="restart"/>
          </w:tcPr>
          <w:p>
            <w:pPr>
              <w:ind w:left="180"/>
              <w:spacing w:after="0" w:line="176" w:lineRule="exact"/>
              <w:rPr>
                <w:sz w:val="20"/>
                <w:szCs w:val="20"/>
                <w:color w:val="auto"/>
              </w:rPr>
            </w:pPr>
            <w:r>
              <w:rPr>
                <w:rFonts w:ascii="Arial" w:cs="Arial" w:eastAsia="Arial" w:hAnsi="Arial"/>
                <w:sz w:val="18"/>
                <w:szCs w:val="18"/>
                <w:color w:val="FF0000"/>
                <w:strike w:val="1"/>
                <w:w w:val="86"/>
              </w:rPr>
              <w:t>36,670,000.00</w:t>
            </w:r>
          </w:p>
        </w:tc>
        <w:tc>
          <w:tcPr>
            <w:tcW w:w="1040" w:type="dxa"/>
            <w:vAlign w:val="bottom"/>
            <w:tcBorders>
              <w:top w:val="single" w:sz="8" w:color="CCEEFF"/>
              <w:bottom w:val="single" w:sz="8" w:color="0000FF"/>
            </w:tcBorders>
            <w:gridSpan w:val="2"/>
          </w:tcPr>
          <w:p>
            <w:pPr>
              <w:spacing w:after="0" w:line="20" w:lineRule="exact"/>
              <w:rPr>
                <w:sz w:val="1"/>
                <w:szCs w:val="1"/>
                <w:color w:val="auto"/>
              </w:rPr>
            </w:pPr>
          </w:p>
        </w:tc>
        <w:tc>
          <w:tcPr>
            <w:tcW w:w="440" w:type="dxa"/>
            <w:vAlign w:val="bottom"/>
            <w:tcBorders>
              <w:top w:val="single" w:sz="8" w:color="CCEEFF"/>
              <w:bottom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right"/>
              <w:spacing w:after="0" w:line="176" w:lineRule="exact"/>
              <w:rPr>
                <w:sz w:val="20"/>
                <w:szCs w:val="20"/>
                <w:color w:val="auto"/>
              </w:rPr>
            </w:pPr>
            <w:r>
              <w:rPr>
                <w:rFonts w:ascii="Arial" w:cs="Arial" w:eastAsia="Arial" w:hAnsi="Arial"/>
                <w:sz w:val="18"/>
                <w:szCs w:val="18"/>
                <w:color w:val="FF0000"/>
                <w:strike w:val="1"/>
                <w:w w:val="88"/>
              </w:rPr>
              <w:t>90,000,000.00</w:t>
            </w:r>
          </w:p>
        </w:tc>
        <w:tc>
          <w:tcPr>
            <w:tcW w:w="1560" w:type="dxa"/>
            <w:vAlign w:val="bottom"/>
            <w:tcBorders>
              <w:top w:val="single" w:sz="8" w:color="CCEEFF"/>
              <w:bottom w:val="single" w:sz="8" w:color="CCEEFF"/>
            </w:tcBorders>
            <w:gridSpan w:val="4"/>
            <w:vMerge w:val="restart"/>
          </w:tcPr>
          <w:p>
            <w:pPr>
              <w:jc w:val="right"/>
              <w:ind w:right="440"/>
              <w:spacing w:after="0" w:line="176" w:lineRule="exact"/>
              <w:rPr>
                <w:sz w:val="20"/>
                <w:szCs w:val="20"/>
                <w:color w:val="auto"/>
              </w:rPr>
            </w:pPr>
            <w:r>
              <w:rPr>
                <w:rFonts w:ascii="Arial" w:cs="Arial" w:eastAsia="Arial" w:hAnsi="Arial"/>
                <w:sz w:val="18"/>
                <w:szCs w:val="18"/>
                <w:color w:val="0000FF"/>
                <w:w w:val="87"/>
              </w:rPr>
              <w:t>100,000,000.00</w:t>
            </w:r>
          </w:p>
        </w:tc>
        <w:tc>
          <w:tcPr>
            <w:tcW w:w="1140" w:type="dxa"/>
            <w:vAlign w:val="bottom"/>
            <w:tcBorders>
              <w:top w:val="single" w:sz="8" w:color="CCEEFF"/>
              <w:bottom w:val="single" w:sz="8" w:color="CCEEFF"/>
            </w:tcBorders>
            <w:gridSpan w:val="2"/>
            <w:vMerge w:val="restart"/>
          </w:tcPr>
          <w:p>
            <w:pPr>
              <w:jc w:val="right"/>
              <w:spacing w:after="0" w:line="176" w:lineRule="exact"/>
              <w:rPr>
                <w:sz w:val="20"/>
                <w:szCs w:val="20"/>
                <w:color w:val="auto"/>
              </w:rPr>
            </w:pPr>
            <w:r>
              <w:rPr>
                <w:rFonts w:ascii="Arial" w:cs="Arial" w:eastAsia="Arial" w:hAnsi="Arial"/>
                <w:sz w:val="18"/>
                <w:szCs w:val="18"/>
                <w:color w:val="FF0000"/>
                <w:strike w:val="1"/>
              </w:rPr>
              <w:t>6.67</w:t>
            </w:r>
          </w:p>
        </w:tc>
        <w:tc>
          <w:tcPr>
            <w:tcW w:w="400" w:type="dxa"/>
            <w:vAlign w:val="bottom"/>
            <w:tcBorders>
              <w:top w:val="single" w:sz="8" w:color="CCEEFF"/>
              <w:bottom w:val="single" w:sz="8" w:color="0000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35"/>
        </w:trPr>
        <w:tc>
          <w:tcPr>
            <w:tcW w:w="3400" w:type="dxa"/>
            <w:vAlign w:val="bottom"/>
            <w:gridSpan w:val="4"/>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5"/>
                <w:szCs w:val="15"/>
                <w:color w:val="0000FF"/>
              </w:rPr>
              <w:t>39,344,262.30</w:t>
            </w:r>
          </w:p>
        </w:tc>
        <w:tc>
          <w:tcPr>
            <w:tcW w:w="440" w:type="dxa"/>
            <w:vAlign w:val="bottom"/>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560" w:type="dxa"/>
            <w:vAlign w:val="bottom"/>
            <w:gridSpan w:val="4"/>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400" w:type="dxa"/>
            <w:vAlign w:val="bottom"/>
          </w:tcPr>
          <w:p>
            <w:pPr>
              <w:jc w:val="right"/>
              <w:spacing w:after="0" w:line="136" w:lineRule="exact"/>
              <w:rPr>
                <w:sz w:val="20"/>
                <w:szCs w:val="20"/>
                <w:color w:val="auto"/>
              </w:rPr>
            </w:pPr>
            <w:r>
              <w:rPr>
                <w:rFonts w:ascii="Arial" w:cs="Arial" w:eastAsia="Arial" w:hAnsi="Arial"/>
                <w:sz w:val="15"/>
                <w:szCs w:val="15"/>
                <w:color w:val="0000FF"/>
              </w:rPr>
              <w:t>6.557</w:t>
            </w: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4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20" w:type="dxa"/>
            <w:vAlign w:val="bottom"/>
            <w:tcBorders>
              <w:top w:val="single" w:sz="8" w:color="0000FF"/>
              <w:bottom w:val="single" w:sz="8" w:color="0000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1040" w:type="dxa"/>
            <w:vAlign w:val="bottom"/>
            <w:tcBorders>
              <w:top w:val="single" w:sz="8" w:color="0000FF"/>
              <w:bottom w:val="single" w:sz="8" w:color="0000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400" w:type="dxa"/>
            <w:vAlign w:val="bottom"/>
            <w:tcBorders>
              <w:bottom w:val="single" w:sz="8" w:color="CCEEFF"/>
            </w:tcBorders>
            <w:gridSpan w:val="4"/>
            <w:shd w:val="clear" w:color="auto" w:fill="CCEEFF"/>
          </w:tcPr>
          <w:p>
            <w:pPr>
              <w:spacing w:after="0" w:line="149" w:lineRule="exact"/>
              <w:rPr>
                <w:sz w:val="20"/>
                <w:szCs w:val="20"/>
                <w:color w:val="auto"/>
              </w:rPr>
            </w:pPr>
            <w:r>
              <w:rPr>
                <w:rFonts w:ascii="Arial" w:cs="Arial" w:eastAsia="Arial" w:hAnsi="Arial"/>
                <w:sz w:val="17"/>
                <w:szCs w:val="17"/>
                <w:color w:val="auto"/>
              </w:rPr>
              <w:t>HSBC Bank USA, National Association</w:t>
            </w:r>
          </w:p>
        </w:tc>
        <w:tc>
          <w:tcPr>
            <w:tcW w:w="100" w:type="dxa"/>
            <w:vAlign w:val="bottom"/>
            <w:tcBorders>
              <w:bottom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gridSpan w:val="3"/>
            <w:shd w:val="clear" w:color="auto" w:fill="CCEEFF"/>
          </w:tcPr>
          <w:p>
            <w:pPr>
              <w:ind w:left="180"/>
              <w:spacing w:after="0" w:line="149" w:lineRule="exact"/>
              <w:rPr>
                <w:sz w:val="20"/>
                <w:szCs w:val="20"/>
                <w:color w:val="auto"/>
              </w:rPr>
            </w:pPr>
            <w:r>
              <w:rPr>
                <w:rFonts w:ascii="Arial" w:cs="Arial" w:eastAsia="Arial" w:hAnsi="Arial"/>
                <w:sz w:val="17"/>
                <w:szCs w:val="17"/>
                <w:color w:val="FF0000"/>
                <w:strike w:val="1"/>
                <w:w w:val="91"/>
              </w:rPr>
              <w:t>36,670,000.00</w:t>
            </w:r>
          </w:p>
        </w:tc>
        <w:tc>
          <w:tcPr>
            <w:tcW w:w="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0000FF"/>
            </w:tcBorders>
            <w:shd w:val="clear" w:color="auto" w:fill="CCEEFF"/>
          </w:tcPr>
          <w:p>
            <w:pPr>
              <w:jc w:val="right"/>
              <w:spacing w:after="0" w:line="149" w:lineRule="exact"/>
              <w:rPr>
                <w:sz w:val="20"/>
                <w:szCs w:val="20"/>
                <w:color w:val="auto"/>
              </w:rPr>
            </w:pPr>
            <w:r>
              <w:rPr>
                <w:rFonts w:ascii="Arial" w:cs="Arial" w:eastAsia="Arial" w:hAnsi="Arial"/>
                <w:sz w:val="17"/>
                <w:szCs w:val="17"/>
                <w:color w:val="0000FF"/>
                <w:w w:val="91"/>
              </w:rPr>
              <w:t>39,344,262.30</w:t>
            </w: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7"/>
                <w:szCs w:val="17"/>
                <w:color w:val="FF0000"/>
                <w:strike w:val="1"/>
                <w:w w:val="93"/>
              </w:rPr>
              <w:t>90,000,000.00</w:t>
            </w:r>
          </w:p>
        </w:tc>
        <w:tc>
          <w:tcPr>
            <w:tcW w:w="20" w:type="dxa"/>
            <w:vAlign w:val="bottom"/>
            <w:tcBorders>
              <w:bottom w:val="single" w:sz="8" w:color="0000FF"/>
            </w:tcBorders>
            <w:shd w:val="clear" w:color="auto" w:fill="CCEEFF"/>
          </w:tcPr>
          <w:p>
            <w:pPr>
              <w:spacing w:after="0"/>
              <w:rPr>
                <w:sz w:val="14"/>
                <w:szCs w:val="14"/>
                <w:color w:val="auto"/>
              </w:rPr>
            </w:pPr>
          </w:p>
        </w:tc>
        <w:tc>
          <w:tcPr>
            <w:tcW w:w="1100" w:type="dxa"/>
            <w:vAlign w:val="bottom"/>
            <w:tcBorders>
              <w:bottom w:val="single" w:sz="8" w:color="0000FF"/>
            </w:tcBorders>
            <w:gridSpan w:val="2"/>
            <w:shd w:val="clear" w:color="auto" w:fill="CCEEFF"/>
          </w:tcPr>
          <w:p>
            <w:pPr>
              <w:jc w:val="right"/>
              <w:spacing w:after="0" w:line="149" w:lineRule="exact"/>
              <w:rPr>
                <w:sz w:val="20"/>
                <w:szCs w:val="20"/>
                <w:color w:val="auto"/>
              </w:rPr>
            </w:pPr>
            <w:r>
              <w:rPr>
                <w:rFonts w:ascii="Arial" w:cs="Arial" w:eastAsia="Arial" w:hAnsi="Arial"/>
                <w:sz w:val="17"/>
                <w:szCs w:val="17"/>
                <w:color w:val="0000FF"/>
                <w:w w:val="91"/>
              </w:rPr>
              <w:t>100,000,000.00</w:t>
            </w:r>
          </w:p>
        </w:tc>
        <w:tc>
          <w:tcPr>
            <w:tcW w:w="4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7"/>
                <w:szCs w:val="17"/>
                <w:color w:val="FF0000"/>
                <w:strike w:val="1"/>
              </w:rPr>
              <w:t>6.67</w:t>
            </w:r>
          </w:p>
        </w:tc>
        <w:tc>
          <w:tcPr>
            <w:tcW w:w="400" w:type="dxa"/>
            <w:vAlign w:val="bottom"/>
            <w:tcBorders>
              <w:bottom w:val="single" w:sz="8" w:color="0000FF"/>
            </w:tcBorders>
            <w:shd w:val="clear" w:color="auto" w:fill="CCEEFF"/>
          </w:tcPr>
          <w:p>
            <w:pPr>
              <w:jc w:val="right"/>
              <w:spacing w:after="0" w:line="149" w:lineRule="exact"/>
              <w:rPr>
                <w:sz w:val="20"/>
                <w:szCs w:val="20"/>
                <w:color w:val="auto"/>
              </w:rPr>
            </w:pPr>
            <w:r>
              <w:rPr>
                <w:rFonts w:ascii="Arial" w:cs="Arial" w:eastAsia="Arial" w:hAnsi="Arial"/>
                <w:sz w:val="17"/>
                <w:szCs w:val="17"/>
                <w:color w:val="0000FF"/>
                <w:w w:val="89"/>
              </w:rPr>
              <w:t>6.557</w:t>
            </w:r>
          </w:p>
        </w:tc>
        <w:tc>
          <w:tcPr>
            <w:tcW w:w="2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color w:val="auto"/>
              </w:rPr>
              <w:t>The Bank of Nova Scotia</w:t>
            </w:r>
          </w:p>
        </w:tc>
        <w:tc>
          <w:tcPr>
            <w:tcW w:w="10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bottom w:val="single" w:sz="8" w:color="CCEEFF"/>
            </w:tcBorders>
            <w:gridSpan w:val="3"/>
            <w:vMerge w:val="restart"/>
          </w:tcPr>
          <w:p>
            <w:pPr>
              <w:ind w:left="180"/>
              <w:spacing w:after="0" w:line="176" w:lineRule="exact"/>
              <w:rPr>
                <w:sz w:val="20"/>
                <w:szCs w:val="20"/>
                <w:color w:val="auto"/>
              </w:rPr>
            </w:pPr>
            <w:r>
              <w:rPr>
                <w:rFonts w:ascii="Arial" w:cs="Arial" w:eastAsia="Arial" w:hAnsi="Arial"/>
                <w:sz w:val="18"/>
                <w:szCs w:val="18"/>
                <w:color w:val="FF0000"/>
                <w:strike w:val="1"/>
                <w:w w:val="86"/>
              </w:rPr>
              <w:t>36,670,000.00</w:t>
            </w:r>
          </w:p>
        </w:tc>
        <w:tc>
          <w:tcPr>
            <w:tcW w:w="1040" w:type="dxa"/>
            <w:vAlign w:val="bottom"/>
            <w:tcBorders>
              <w:top w:val="single" w:sz="8" w:color="CCEEFF"/>
              <w:bottom w:val="single" w:sz="8" w:color="0000FF"/>
            </w:tcBorders>
            <w:gridSpan w:val="2"/>
          </w:tcPr>
          <w:p>
            <w:pPr>
              <w:spacing w:after="0" w:line="20" w:lineRule="exact"/>
              <w:rPr>
                <w:sz w:val="1"/>
                <w:szCs w:val="1"/>
                <w:color w:val="auto"/>
              </w:rPr>
            </w:pPr>
          </w:p>
        </w:tc>
        <w:tc>
          <w:tcPr>
            <w:tcW w:w="440" w:type="dxa"/>
            <w:vAlign w:val="bottom"/>
            <w:tcBorders>
              <w:top w:val="single" w:sz="8" w:color="CCEEFF"/>
              <w:bottom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CCEEFF"/>
              <w:bottom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CCEEFF"/>
            </w:tcBorders>
            <w:gridSpan w:val="2"/>
          </w:tcPr>
          <w:p>
            <w:pPr>
              <w:spacing w:after="0" w:line="20" w:lineRule="exact"/>
              <w:rPr>
                <w:sz w:val="1"/>
                <w:szCs w:val="1"/>
                <w:color w:val="auto"/>
              </w:rPr>
            </w:pPr>
          </w:p>
        </w:tc>
        <w:tc>
          <w:tcPr>
            <w:tcW w:w="60" w:type="dxa"/>
            <w:vAlign w:val="bottom"/>
            <w:tcBorders>
              <w:top w:val="single" w:sz="8" w:color="CCEEFF"/>
              <w:bottom w:val="single" w:sz="8" w:color="0000FF"/>
            </w:tcBorders>
          </w:tcPr>
          <w:p>
            <w:pPr>
              <w:spacing w:after="0" w:line="20" w:lineRule="exact"/>
              <w:rPr>
                <w:sz w:val="1"/>
                <w:szCs w:val="1"/>
                <w:color w:val="auto"/>
              </w:rPr>
            </w:pPr>
          </w:p>
        </w:tc>
        <w:tc>
          <w:tcPr>
            <w:tcW w:w="1040" w:type="dxa"/>
            <w:vAlign w:val="bottom"/>
            <w:tcBorders>
              <w:top w:val="single" w:sz="8" w:color="CCEEFF"/>
              <w:bottom w:val="single" w:sz="8" w:color="0000FF"/>
            </w:tcBorders>
          </w:tcPr>
          <w:p>
            <w:pPr>
              <w:spacing w:after="0" w:line="20" w:lineRule="exact"/>
              <w:rPr>
                <w:sz w:val="1"/>
                <w:szCs w:val="1"/>
                <w:color w:val="auto"/>
              </w:rPr>
            </w:pPr>
          </w:p>
        </w:tc>
        <w:tc>
          <w:tcPr>
            <w:tcW w:w="440" w:type="dxa"/>
            <w:vAlign w:val="bottom"/>
            <w:tcBorders>
              <w:top w:val="single" w:sz="8" w:color="CCEEFF"/>
              <w:bottom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gridSpan w:val="2"/>
            <w:vMerge w:val="restart"/>
          </w:tcPr>
          <w:p>
            <w:pPr>
              <w:jc w:val="right"/>
              <w:spacing w:after="0" w:line="176" w:lineRule="exact"/>
              <w:rPr>
                <w:sz w:val="20"/>
                <w:szCs w:val="20"/>
                <w:color w:val="auto"/>
              </w:rPr>
            </w:pPr>
            <w:r>
              <w:rPr>
                <w:rFonts w:ascii="Arial" w:cs="Arial" w:eastAsia="Arial" w:hAnsi="Arial"/>
                <w:sz w:val="18"/>
                <w:szCs w:val="18"/>
                <w:color w:val="FF0000"/>
                <w:strike w:val="1"/>
              </w:rPr>
              <w:t>6.67</w:t>
            </w:r>
          </w:p>
        </w:tc>
        <w:tc>
          <w:tcPr>
            <w:tcW w:w="400" w:type="dxa"/>
            <w:vAlign w:val="bottom"/>
            <w:tcBorders>
              <w:top w:val="single" w:sz="8" w:color="CCEEFF"/>
              <w:bottom w:val="single" w:sz="8" w:color="0000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36"/>
        </w:trPr>
        <w:tc>
          <w:tcPr>
            <w:tcW w:w="3400" w:type="dxa"/>
            <w:vAlign w:val="bottom"/>
            <w:gridSpan w:val="4"/>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Borders>
              <w:bottom w:val="single" w:sz="8" w:color="0000FF"/>
            </w:tcBorders>
          </w:tcPr>
          <w:p>
            <w:pPr>
              <w:jc w:val="right"/>
              <w:spacing w:after="0" w:line="136" w:lineRule="exact"/>
              <w:rPr>
                <w:sz w:val="20"/>
                <w:szCs w:val="20"/>
                <w:color w:val="auto"/>
              </w:rPr>
            </w:pPr>
            <w:r>
              <w:rPr>
                <w:rFonts w:ascii="Arial" w:cs="Arial" w:eastAsia="Arial" w:hAnsi="Arial"/>
                <w:sz w:val="15"/>
                <w:szCs w:val="15"/>
                <w:color w:val="0000FF"/>
              </w:rPr>
              <w:t>35,409,836.07</w:t>
            </w:r>
          </w:p>
        </w:tc>
        <w:tc>
          <w:tcPr>
            <w:tcW w:w="440" w:type="dxa"/>
            <w:vAlign w:val="bottom"/>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2"/>
          </w:tcPr>
          <w:p>
            <w:pPr>
              <w:jc w:val="right"/>
              <w:spacing w:after="0" w:line="136" w:lineRule="exact"/>
              <w:rPr>
                <w:sz w:val="20"/>
                <w:szCs w:val="20"/>
                <w:color w:val="auto"/>
              </w:rPr>
            </w:pPr>
            <w:r>
              <w:rPr>
                <w:rFonts w:ascii="Arial" w:cs="Arial" w:eastAsia="Arial" w:hAnsi="Arial"/>
                <w:sz w:val="15"/>
                <w:szCs w:val="15"/>
                <w:color w:val="auto"/>
              </w:rPr>
              <w:t>90,000,000.00</w:t>
            </w:r>
          </w:p>
        </w:tc>
        <w:tc>
          <w:tcPr>
            <w:tcW w:w="4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400" w:type="dxa"/>
            <w:vAlign w:val="bottom"/>
            <w:tcBorders>
              <w:bottom w:val="single" w:sz="8" w:color="0000FF"/>
            </w:tcBorders>
          </w:tcPr>
          <w:p>
            <w:pPr>
              <w:jc w:val="right"/>
              <w:spacing w:after="0" w:line="136" w:lineRule="exact"/>
              <w:rPr>
                <w:sz w:val="20"/>
                <w:szCs w:val="20"/>
                <w:color w:val="auto"/>
              </w:rPr>
            </w:pPr>
            <w:r>
              <w:rPr>
                <w:rFonts w:ascii="Arial" w:cs="Arial" w:eastAsia="Arial" w:hAnsi="Arial"/>
                <w:sz w:val="15"/>
                <w:szCs w:val="15"/>
                <w:color w:val="0000FF"/>
              </w:rPr>
              <w:t>5.902</w:t>
            </w: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4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20" w:type="dxa"/>
            <w:vAlign w:val="bottom"/>
            <w:tcBorders>
              <w:bottom w:val="single" w:sz="8" w:color="0000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0000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400" w:type="dxa"/>
            <w:vAlign w:val="bottom"/>
            <w:tcBorders>
              <w:bottom w:val="single" w:sz="8" w:color="CCEEFF"/>
            </w:tcBorders>
            <w:gridSpan w:val="4"/>
            <w:shd w:val="clear" w:color="auto" w:fill="CCEEFF"/>
          </w:tcPr>
          <w:p>
            <w:pPr>
              <w:spacing w:after="0" w:line="149" w:lineRule="exact"/>
              <w:rPr>
                <w:sz w:val="20"/>
                <w:szCs w:val="20"/>
                <w:color w:val="auto"/>
              </w:rPr>
            </w:pPr>
            <w:r>
              <w:rPr>
                <w:rFonts w:ascii="Arial" w:cs="Arial" w:eastAsia="Arial" w:hAnsi="Arial"/>
                <w:sz w:val="17"/>
                <w:szCs w:val="17"/>
                <w:color w:val="auto"/>
              </w:rPr>
              <w:t>Wells Fargo Bank, National Association</w:t>
            </w:r>
          </w:p>
        </w:tc>
        <w:tc>
          <w:tcPr>
            <w:tcW w:w="100" w:type="dxa"/>
            <w:vAlign w:val="bottom"/>
            <w:tcBorders>
              <w:bottom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gridSpan w:val="3"/>
            <w:shd w:val="clear" w:color="auto" w:fill="CCEEFF"/>
          </w:tcPr>
          <w:p>
            <w:pPr>
              <w:ind w:left="180"/>
              <w:spacing w:after="0" w:line="149" w:lineRule="exact"/>
              <w:rPr>
                <w:sz w:val="20"/>
                <w:szCs w:val="20"/>
                <w:color w:val="auto"/>
              </w:rPr>
            </w:pPr>
            <w:r>
              <w:rPr>
                <w:rFonts w:ascii="Arial" w:cs="Arial" w:eastAsia="Arial" w:hAnsi="Arial"/>
                <w:sz w:val="17"/>
                <w:szCs w:val="17"/>
                <w:color w:val="FF0000"/>
                <w:strike w:val="1"/>
                <w:w w:val="91"/>
              </w:rPr>
              <w:t>36,670,000.00</w:t>
            </w:r>
          </w:p>
        </w:tc>
        <w:tc>
          <w:tcPr>
            <w:tcW w:w="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0000FF"/>
            </w:tcBorders>
            <w:shd w:val="clear" w:color="auto" w:fill="CCEEFF"/>
          </w:tcPr>
          <w:p>
            <w:pPr>
              <w:jc w:val="right"/>
              <w:spacing w:after="0" w:line="149" w:lineRule="exact"/>
              <w:rPr>
                <w:sz w:val="20"/>
                <w:szCs w:val="20"/>
                <w:color w:val="auto"/>
              </w:rPr>
            </w:pPr>
            <w:r>
              <w:rPr>
                <w:rFonts w:ascii="Arial" w:cs="Arial" w:eastAsia="Arial" w:hAnsi="Arial"/>
                <w:sz w:val="17"/>
                <w:szCs w:val="17"/>
                <w:color w:val="0000FF"/>
                <w:w w:val="91"/>
              </w:rPr>
              <w:t>35,409,836.07</w:t>
            </w: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5"/>
                <w:szCs w:val="15"/>
                <w:color w:val="auto"/>
                <w:w w:val="71"/>
              </w:rPr>
              <w:t>$</w:t>
            </w:r>
          </w:p>
        </w:tc>
        <w:tc>
          <w:tcPr>
            <w:tcW w:w="2960" w:type="dxa"/>
            <w:vAlign w:val="bottom"/>
            <w:tcBorders>
              <w:bottom w:val="single" w:sz="8" w:color="CCEEFF"/>
            </w:tcBorders>
            <w:gridSpan w:val="7"/>
            <w:shd w:val="clear" w:color="auto" w:fill="CCEEFF"/>
          </w:tcPr>
          <w:p>
            <w:pPr>
              <w:jc w:val="right"/>
              <w:ind w:right="440"/>
              <w:spacing w:after="0" w:line="149" w:lineRule="exact"/>
              <w:rPr>
                <w:sz w:val="20"/>
                <w:szCs w:val="20"/>
                <w:color w:val="auto"/>
              </w:rPr>
            </w:pPr>
            <w:r>
              <w:rPr>
                <w:rFonts w:ascii="Arial" w:cs="Arial" w:eastAsia="Arial" w:hAnsi="Arial"/>
                <w:sz w:val="17"/>
                <w:szCs w:val="17"/>
                <w:color w:val="auto"/>
              </w:rPr>
              <w:t>90,000,000.00</w:t>
            </w:r>
          </w:p>
        </w:tc>
        <w:tc>
          <w:tcPr>
            <w:tcW w:w="1140" w:type="dxa"/>
            <w:vAlign w:val="bottom"/>
            <w:tcBorders>
              <w:bottom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7"/>
                <w:szCs w:val="17"/>
                <w:color w:val="FF0000"/>
                <w:strike w:val="1"/>
              </w:rPr>
              <w:t>6.67</w:t>
            </w:r>
          </w:p>
        </w:tc>
        <w:tc>
          <w:tcPr>
            <w:tcW w:w="400" w:type="dxa"/>
            <w:vAlign w:val="bottom"/>
            <w:tcBorders>
              <w:bottom w:val="single" w:sz="8" w:color="0000FF"/>
            </w:tcBorders>
            <w:shd w:val="clear" w:color="auto" w:fill="CCEEFF"/>
          </w:tcPr>
          <w:p>
            <w:pPr>
              <w:jc w:val="right"/>
              <w:spacing w:after="0" w:line="149" w:lineRule="exact"/>
              <w:rPr>
                <w:sz w:val="20"/>
                <w:szCs w:val="20"/>
                <w:color w:val="auto"/>
              </w:rPr>
            </w:pPr>
            <w:r>
              <w:rPr>
                <w:rFonts w:ascii="Arial" w:cs="Arial" w:eastAsia="Arial" w:hAnsi="Arial"/>
                <w:sz w:val="17"/>
                <w:szCs w:val="17"/>
                <w:color w:val="0000FF"/>
                <w:w w:val="89"/>
              </w:rPr>
              <w:t>5.902</w:t>
            </w:r>
          </w:p>
        </w:tc>
        <w:tc>
          <w:tcPr>
            <w:tcW w:w="2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color w:val="auto"/>
              </w:rPr>
              <w:t>Citibank, N.A.</w:t>
            </w:r>
          </w:p>
        </w:tc>
        <w:tc>
          <w:tcPr>
            <w:tcW w:w="10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bottom w:val="single" w:sz="8" w:color="CCEEFF"/>
            </w:tcBorders>
            <w:gridSpan w:val="3"/>
            <w:vMerge w:val="restart"/>
          </w:tcPr>
          <w:p>
            <w:pPr>
              <w:ind w:left="180"/>
              <w:spacing w:after="0" w:line="176" w:lineRule="exact"/>
              <w:rPr>
                <w:sz w:val="20"/>
                <w:szCs w:val="20"/>
                <w:color w:val="auto"/>
              </w:rPr>
            </w:pPr>
            <w:r>
              <w:rPr>
                <w:rFonts w:ascii="Arial" w:cs="Arial" w:eastAsia="Arial" w:hAnsi="Arial"/>
                <w:sz w:val="18"/>
                <w:szCs w:val="18"/>
                <w:color w:val="FF0000"/>
                <w:strike w:val="1"/>
                <w:w w:val="86"/>
              </w:rPr>
              <w:t>30,550,000.00</w:t>
            </w:r>
          </w:p>
        </w:tc>
        <w:tc>
          <w:tcPr>
            <w:tcW w:w="1040" w:type="dxa"/>
            <w:vAlign w:val="bottom"/>
            <w:tcBorders>
              <w:top w:val="single" w:sz="8" w:color="CCEEFF"/>
              <w:bottom w:val="single" w:sz="8" w:color="0000FF"/>
            </w:tcBorders>
            <w:gridSpan w:val="2"/>
          </w:tcPr>
          <w:p>
            <w:pPr>
              <w:spacing w:after="0" w:line="20" w:lineRule="exact"/>
              <w:rPr>
                <w:sz w:val="1"/>
                <w:szCs w:val="1"/>
                <w:color w:val="auto"/>
              </w:rPr>
            </w:pPr>
          </w:p>
        </w:tc>
        <w:tc>
          <w:tcPr>
            <w:tcW w:w="440" w:type="dxa"/>
            <w:vAlign w:val="bottom"/>
            <w:tcBorders>
              <w:top w:val="single" w:sz="8" w:color="CCEEFF"/>
              <w:bottom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5"/>
                <w:szCs w:val="15"/>
                <w:color w:val="auto"/>
                <w:w w:val="71"/>
              </w:rPr>
              <w:t>$</w:t>
            </w:r>
          </w:p>
        </w:tc>
        <w:tc>
          <w:tcPr>
            <w:tcW w:w="2960" w:type="dxa"/>
            <w:vAlign w:val="bottom"/>
            <w:tcBorders>
              <w:top w:val="single" w:sz="8" w:color="CCEEFF"/>
              <w:bottom w:val="single" w:sz="8" w:color="CCEEFF"/>
            </w:tcBorders>
            <w:gridSpan w:val="7"/>
            <w:vMerge w:val="restart"/>
          </w:tcPr>
          <w:p>
            <w:pPr>
              <w:jc w:val="right"/>
              <w:ind w:right="440"/>
              <w:spacing w:after="0" w:line="176" w:lineRule="exact"/>
              <w:rPr>
                <w:sz w:val="20"/>
                <w:szCs w:val="20"/>
                <w:color w:val="auto"/>
              </w:rPr>
            </w:pPr>
            <w:r>
              <w:rPr>
                <w:rFonts w:ascii="Arial" w:cs="Arial" w:eastAsia="Arial" w:hAnsi="Arial"/>
                <w:sz w:val="18"/>
                <w:szCs w:val="18"/>
                <w:color w:val="auto"/>
              </w:rPr>
              <w:t>75,000,000.00</w:t>
            </w:r>
          </w:p>
        </w:tc>
        <w:tc>
          <w:tcPr>
            <w:tcW w:w="1140" w:type="dxa"/>
            <w:vAlign w:val="bottom"/>
            <w:tcBorders>
              <w:top w:val="single" w:sz="8" w:color="CCEEFF"/>
              <w:bottom w:val="single" w:sz="8" w:color="CCEEFF"/>
            </w:tcBorders>
            <w:gridSpan w:val="2"/>
            <w:vMerge w:val="restart"/>
          </w:tcPr>
          <w:p>
            <w:pPr>
              <w:jc w:val="right"/>
              <w:spacing w:after="0" w:line="176" w:lineRule="exact"/>
              <w:rPr>
                <w:sz w:val="20"/>
                <w:szCs w:val="20"/>
                <w:color w:val="auto"/>
              </w:rPr>
            </w:pPr>
            <w:r>
              <w:rPr>
                <w:rFonts w:ascii="Arial" w:cs="Arial" w:eastAsia="Arial" w:hAnsi="Arial"/>
                <w:sz w:val="18"/>
                <w:szCs w:val="18"/>
                <w:color w:val="FF0000"/>
                <w:strike w:val="1"/>
              </w:rPr>
              <w:t>5.55</w:t>
            </w:r>
          </w:p>
        </w:tc>
        <w:tc>
          <w:tcPr>
            <w:tcW w:w="400" w:type="dxa"/>
            <w:vAlign w:val="bottom"/>
            <w:tcBorders>
              <w:top w:val="single" w:sz="8" w:color="CCEEFF"/>
              <w:bottom w:val="single" w:sz="8" w:color="0000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35"/>
        </w:trPr>
        <w:tc>
          <w:tcPr>
            <w:tcW w:w="3400" w:type="dxa"/>
            <w:vAlign w:val="bottom"/>
            <w:gridSpan w:val="4"/>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Borders>
              <w:bottom w:val="single" w:sz="8" w:color="0000FF"/>
            </w:tcBorders>
          </w:tcPr>
          <w:p>
            <w:pPr>
              <w:jc w:val="right"/>
              <w:spacing w:after="0" w:line="136" w:lineRule="exact"/>
              <w:rPr>
                <w:sz w:val="20"/>
                <w:szCs w:val="20"/>
                <w:color w:val="auto"/>
              </w:rPr>
            </w:pPr>
            <w:r>
              <w:rPr>
                <w:rFonts w:ascii="Arial" w:cs="Arial" w:eastAsia="Arial" w:hAnsi="Arial"/>
                <w:sz w:val="15"/>
                <w:szCs w:val="15"/>
                <w:color w:val="0000FF"/>
              </w:rPr>
              <w:t>29,508,196.72</w:t>
            </w:r>
          </w:p>
        </w:tc>
        <w:tc>
          <w:tcPr>
            <w:tcW w:w="440" w:type="dxa"/>
            <w:vAlign w:val="bottom"/>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400" w:type="dxa"/>
            <w:vAlign w:val="bottom"/>
            <w:tcBorders>
              <w:bottom w:val="single" w:sz="8" w:color="0000FF"/>
            </w:tcBorders>
          </w:tcPr>
          <w:p>
            <w:pPr>
              <w:jc w:val="right"/>
              <w:spacing w:after="0" w:line="136" w:lineRule="exact"/>
              <w:rPr>
                <w:sz w:val="20"/>
                <w:szCs w:val="20"/>
                <w:color w:val="auto"/>
              </w:rPr>
            </w:pPr>
            <w:r>
              <w:rPr>
                <w:rFonts w:ascii="Arial" w:cs="Arial" w:eastAsia="Arial" w:hAnsi="Arial"/>
                <w:sz w:val="15"/>
                <w:szCs w:val="15"/>
                <w:color w:val="0000FF"/>
              </w:rPr>
              <w:t>4.918</w:t>
            </w: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4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20" w:type="dxa"/>
            <w:vAlign w:val="bottom"/>
            <w:tcBorders>
              <w:bottom w:val="single" w:sz="8" w:color="0000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0000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400" w:type="dxa"/>
            <w:vAlign w:val="bottom"/>
            <w:tcBorders>
              <w:bottom w:val="single" w:sz="8" w:color="CCEEFF"/>
            </w:tcBorders>
            <w:gridSpan w:val="4"/>
            <w:shd w:val="clear" w:color="auto" w:fill="CCEEFF"/>
          </w:tcPr>
          <w:p>
            <w:pPr>
              <w:spacing w:after="0" w:line="149" w:lineRule="exact"/>
              <w:rPr>
                <w:sz w:val="20"/>
                <w:szCs w:val="20"/>
                <w:color w:val="auto"/>
              </w:rPr>
            </w:pPr>
            <w:r>
              <w:rPr>
                <w:rFonts w:ascii="Arial" w:cs="Arial" w:eastAsia="Arial" w:hAnsi="Arial"/>
                <w:sz w:val="17"/>
                <w:szCs w:val="17"/>
                <w:color w:val="auto"/>
              </w:rPr>
              <w:t>Goldman Sachs Bank USA</w:t>
            </w:r>
          </w:p>
        </w:tc>
        <w:tc>
          <w:tcPr>
            <w:tcW w:w="100" w:type="dxa"/>
            <w:vAlign w:val="bottom"/>
            <w:tcBorders>
              <w:bottom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gridSpan w:val="3"/>
            <w:shd w:val="clear" w:color="auto" w:fill="CCEEFF"/>
          </w:tcPr>
          <w:p>
            <w:pPr>
              <w:ind w:left="180"/>
              <w:spacing w:after="0" w:line="149" w:lineRule="exact"/>
              <w:rPr>
                <w:sz w:val="20"/>
                <w:szCs w:val="20"/>
                <w:color w:val="auto"/>
              </w:rPr>
            </w:pPr>
            <w:r>
              <w:rPr>
                <w:rFonts w:ascii="Arial" w:cs="Arial" w:eastAsia="Arial" w:hAnsi="Arial"/>
                <w:sz w:val="17"/>
                <w:szCs w:val="17"/>
                <w:color w:val="FF0000"/>
                <w:strike w:val="1"/>
                <w:w w:val="91"/>
              </w:rPr>
              <w:t>30,550,000.00</w:t>
            </w:r>
          </w:p>
        </w:tc>
        <w:tc>
          <w:tcPr>
            <w:tcW w:w="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0000FF"/>
            </w:tcBorders>
            <w:shd w:val="clear" w:color="auto" w:fill="CCEEFF"/>
          </w:tcPr>
          <w:p>
            <w:pPr>
              <w:jc w:val="right"/>
              <w:spacing w:after="0" w:line="149" w:lineRule="exact"/>
              <w:rPr>
                <w:sz w:val="20"/>
                <w:szCs w:val="20"/>
                <w:color w:val="auto"/>
              </w:rPr>
            </w:pPr>
            <w:r>
              <w:rPr>
                <w:rFonts w:ascii="Arial" w:cs="Arial" w:eastAsia="Arial" w:hAnsi="Arial"/>
                <w:sz w:val="17"/>
                <w:szCs w:val="17"/>
                <w:color w:val="0000FF"/>
                <w:w w:val="91"/>
              </w:rPr>
              <w:t>29,508,196.72</w:t>
            </w: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5"/>
                <w:szCs w:val="15"/>
                <w:color w:val="auto"/>
                <w:w w:val="71"/>
              </w:rPr>
              <w:t>$</w:t>
            </w:r>
          </w:p>
        </w:tc>
        <w:tc>
          <w:tcPr>
            <w:tcW w:w="2960" w:type="dxa"/>
            <w:vAlign w:val="bottom"/>
            <w:tcBorders>
              <w:bottom w:val="single" w:sz="8" w:color="CCEEFF"/>
            </w:tcBorders>
            <w:gridSpan w:val="7"/>
            <w:shd w:val="clear" w:color="auto" w:fill="CCEEFF"/>
          </w:tcPr>
          <w:p>
            <w:pPr>
              <w:jc w:val="right"/>
              <w:ind w:right="440"/>
              <w:spacing w:after="0" w:line="149" w:lineRule="exact"/>
              <w:rPr>
                <w:sz w:val="20"/>
                <w:szCs w:val="20"/>
                <w:color w:val="auto"/>
              </w:rPr>
            </w:pPr>
            <w:r>
              <w:rPr>
                <w:rFonts w:ascii="Arial" w:cs="Arial" w:eastAsia="Arial" w:hAnsi="Arial"/>
                <w:sz w:val="17"/>
                <w:szCs w:val="17"/>
                <w:color w:val="auto"/>
              </w:rPr>
              <w:t>75,000,000.00</w:t>
            </w:r>
          </w:p>
        </w:tc>
        <w:tc>
          <w:tcPr>
            <w:tcW w:w="1140" w:type="dxa"/>
            <w:vAlign w:val="bottom"/>
            <w:tcBorders>
              <w:bottom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7"/>
                <w:szCs w:val="17"/>
                <w:color w:val="FF0000"/>
                <w:strike w:val="1"/>
              </w:rPr>
              <w:t>5.55</w:t>
            </w:r>
          </w:p>
        </w:tc>
        <w:tc>
          <w:tcPr>
            <w:tcW w:w="400" w:type="dxa"/>
            <w:vAlign w:val="bottom"/>
            <w:tcBorders>
              <w:bottom w:val="single" w:sz="8" w:color="0000FF"/>
            </w:tcBorders>
            <w:shd w:val="clear" w:color="auto" w:fill="CCEEFF"/>
          </w:tcPr>
          <w:p>
            <w:pPr>
              <w:jc w:val="right"/>
              <w:spacing w:after="0" w:line="149" w:lineRule="exact"/>
              <w:rPr>
                <w:sz w:val="20"/>
                <w:szCs w:val="20"/>
                <w:color w:val="auto"/>
              </w:rPr>
            </w:pPr>
            <w:r>
              <w:rPr>
                <w:rFonts w:ascii="Arial" w:cs="Arial" w:eastAsia="Arial" w:hAnsi="Arial"/>
                <w:sz w:val="17"/>
                <w:szCs w:val="17"/>
                <w:color w:val="0000FF"/>
                <w:w w:val="89"/>
              </w:rPr>
              <w:t>4.918</w:t>
            </w:r>
          </w:p>
        </w:tc>
        <w:tc>
          <w:tcPr>
            <w:tcW w:w="2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color w:val="0000FF"/>
              </w:rPr>
              <w:t>Morgan Stanley Bank, N.A.</w:t>
            </w:r>
          </w:p>
        </w:tc>
        <w:tc>
          <w:tcPr>
            <w:tcW w:w="10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5"/>
                <w:szCs w:val="15"/>
                <w:color w:val="0000FF"/>
                <w:w w:val="71"/>
              </w:rPr>
              <w:t>$</w:t>
            </w:r>
          </w:p>
        </w:tc>
        <w:tc>
          <w:tcPr>
            <w:tcW w:w="112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40" w:type="dxa"/>
            <w:vAlign w:val="bottom"/>
            <w:tcBorders>
              <w:top w:val="single" w:sz="8" w:color="CCEEFF"/>
              <w:bottom w:val="single" w:sz="8" w:color="0000FF"/>
            </w:tcBorders>
            <w:gridSpan w:val="2"/>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5"/>
                <w:szCs w:val="15"/>
                <w:color w:val="0000FF"/>
                <w:w w:val="71"/>
              </w:rPr>
              <w:t>$</w:t>
            </w:r>
          </w:p>
        </w:tc>
        <w:tc>
          <w:tcPr>
            <w:tcW w:w="2960" w:type="dxa"/>
            <w:vAlign w:val="bottom"/>
            <w:tcBorders>
              <w:top w:val="single" w:sz="8" w:color="CCEEFF"/>
              <w:bottom w:val="single" w:sz="8" w:color="CCEEFF"/>
            </w:tcBorders>
            <w:gridSpan w:val="7"/>
            <w:vMerge w:val="restart"/>
          </w:tcPr>
          <w:p>
            <w:pPr>
              <w:jc w:val="right"/>
              <w:ind w:right="440"/>
              <w:spacing w:after="0" w:line="176" w:lineRule="exact"/>
              <w:rPr>
                <w:sz w:val="20"/>
                <w:szCs w:val="20"/>
                <w:color w:val="auto"/>
              </w:rPr>
            </w:pPr>
            <w:r>
              <w:rPr>
                <w:rFonts w:ascii="Arial" w:cs="Arial" w:eastAsia="Arial" w:hAnsi="Arial"/>
                <w:sz w:val="18"/>
                <w:szCs w:val="18"/>
                <w:color w:val="0000FF"/>
              </w:rPr>
              <w:t>75,000,000.00</w:t>
            </w:r>
          </w:p>
        </w:tc>
        <w:tc>
          <w:tcPr>
            <w:tcW w:w="114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400" w:type="dxa"/>
            <w:vAlign w:val="bottom"/>
            <w:tcBorders>
              <w:top w:val="single" w:sz="8" w:color="CCEEFF"/>
              <w:bottom w:val="single" w:sz="8" w:color="0000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Arial" w:cs="Arial" w:eastAsia="Arial" w:hAnsi="Arial"/>
                <w:sz w:val="18"/>
                <w:szCs w:val="18"/>
                <w:color w:val="0000FF"/>
                <w:w w:val="87"/>
              </w:rPr>
              <w:t>%</w:t>
            </w:r>
          </w:p>
        </w:tc>
        <w:tc>
          <w:tcPr>
            <w:tcW w:w="0" w:type="dxa"/>
            <w:vAlign w:val="bottom"/>
          </w:tcPr>
          <w:p>
            <w:pPr>
              <w:spacing w:after="0" w:line="20" w:lineRule="exact"/>
              <w:rPr>
                <w:sz w:val="1"/>
                <w:szCs w:val="1"/>
                <w:color w:val="auto"/>
              </w:rPr>
            </w:pPr>
          </w:p>
        </w:tc>
      </w:tr>
      <w:tr>
        <w:trPr>
          <w:trHeight w:val="136"/>
        </w:trPr>
        <w:tc>
          <w:tcPr>
            <w:tcW w:w="3400" w:type="dxa"/>
            <w:vAlign w:val="bottom"/>
            <w:gridSpan w:val="4"/>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2"/>
          </w:tcPr>
          <w:p>
            <w:pPr>
              <w:jc w:val="right"/>
              <w:spacing w:after="0" w:line="136" w:lineRule="exact"/>
              <w:rPr>
                <w:sz w:val="20"/>
                <w:szCs w:val="20"/>
                <w:color w:val="auto"/>
              </w:rPr>
            </w:pPr>
            <w:r>
              <w:rPr>
                <w:rFonts w:ascii="Arial" w:cs="Arial" w:eastAsia="Arial" w:hAnsi="Arial"/>
                <w:sz w:val="15"/>
                <w:szCs w:val="15"/>
                <w:color w:val="0000FF"/>
              </w:rPr>
              <w:t>29,508,196.72</w:t>
            </w:r>
          </w:p>
        </w:tc>
        <w:tc>
          <w:tcPr>
            <w:tcW w:w="440" w:type="dxa"/>
            <w:vAlign w:val="bottom"/>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400" w:type="dxa"/>
            <w:vAlign w:val="bottom"/>
          </w:tcPr>
          <w:p>
            <w:pPr>
              <w:jc w:val="right"/>
              <w:spacing w:after="0" w:line="136" w:lineRule="exact"/>
              <w:rPr>
                <w:sz w:val="20"/>
                <w:szCs w:val="20"/>
                <w:color w:val="auto"/>
              </w:rPr>
            </w:pPr>
            <w:r>
              <w:rPr>
                <w:rFonts w:ascii="Arial" w:cs="Arial" w:eastAsia="Arial" w:hAnsi="Arial"/>
                <w:sz w:val="15"/>
                <w:szCs w:val="15"/>
                <w:color w:val="0000FF"/>
              </w:rPr>
              <w:t>4.918</w:t>
            </w: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460" w:type="dxa"/>
            <w:vAlign w:val="bottom"/>
            <w:tcBorders>
              <w:top w:val="single" w:sz="8" w:color="0000FF"/>
              <w:bottom w:val="single" w:sz="8" w:color="0000FF"/>
            </w:tcBorders>
          </w:tcPr>
          <w:p>
            <w:pPr>
              <w:spacing w:after="0"/>
              <w:rPr>
                <w:sz w:val="2"/>
                <w:szCs w:val="2"/>
                <w:color w:val="auto"/>
              </w:rPr>
            </w:pPr>
          </w:p>
        </w:tc>
        <w:tc>
          <w:tcPr>
            <w:tcW w:w="15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20" w:type="dxa"/>
            <w:vAlign w:val="bottom"/>
            <w:tcBorders>
              <w:top w:val="single" w:sz="8" w:color="0000FF"/>
              <w:bottom w:val="single" w:sz="8" w:color="0000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40" w:type="dxa"/>
            <w:vAlign w:val="bottom"/>
            <w:tcBorders>
              <w:top w:val="single" w:sz="8" w:color="0000FF"/>
              <w:bottom w:val="single" w:sz="8" w:color="0000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00" w:type="dxa"/>
            <w:vAlign w:val="bottom"/>
            <w:tcBorders>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Total</w:t>
            </w:r>
          </w:p>
        </w:tc>
        <w:tc>
          <w:tcPr>
            <w:tcW w:w="2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7"/>
                <w:szCs w:val="17"/>
                <w:b w:val="1"/>
                <w:bCs w:val="1"/>
                <w:color w:val="FF0000"/>
                <w:strike w:val="1"/>
                <w:w w:val="93"/>
              </w:rPr>
              <w:t>550,000,000.00</w:t>
            </w:r>
          </w:p>
        </w:tc>
        <w:tc>
          <w:tcPr>
            <w:tcW w:w="80" w:type="dxa"/>
            <w:vAlign w:val="bottom"/>
            <w:tcBorders>
              <w:bottom w:val="single" w:sz="8" w:color="0000FF"/>
            </w:tcBorders>
            <w:shd w:val="clear" w:color="auto" w:fill="CCEEFF"/>
          </w:tcPr>
          <w:p>
            <w:pPr>
              <w:spacing w:after="0"/>
              <w:rPr>
                <w:sz w:val="14"/>
                <w:szCs w:val="14"/>
                <w:color w:val="auto"/>
              </w:rPr>
            </w:pPr>
          </w:p>
        </w:tc>
        <w:tc>
          <w:tcPr>
            <w:tcW w:w="1040" w:type="dxa"/>
            <w:vAlign w:val="bottom"/>
            <w:tcBorders>
              <w:bottom w:val="single" w:sz="8" w:color="0000FF"/>
            </w:tcBorders>
            <w:gridSpan w:val="2"/>
            <w:shd w:val="clear" w:color="auto" w:fill="CCEEFF"/>
          </w:tcPr>
          <w:p>
            <w:pPr>
              <w:jc w:val="right"/>
              <w:spacing w:after="0" w:line="149" w:lineRule="exact"/>
              <w:rPr>
                <w:sz w:val="20"/>
                <w:szCs w:val="20"/>
                <w:color w:val="auto"/>
              </w:rPr>
            </w:pPr>
            <w:r>
              <w:rPr>
                <w:rFonts w:ascii="Arial" w:cs="Arial" w:eastAsia="Arial" w:hAnsi="Arial"/>
                <w:sz w:val="17"/>
                <w:szCs w:val="17"/>
                <w:b w:val="1"/>
                <w:bCs w:val="1"/>
                <w:color w:val="0000FF"/>
                <w:w w:val="86"/>
              </w:rPr>
              <w:t>600,000,000.00</w:t>
            </w: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7"/>
                <w:szCs w:val="17"/>
                <w:b w:val="1"/>
                <w:bCs w:val="1"/>
                <w:color w:val="FF0000"/>
                <w:strike w:val="1"/>
                <w:w w:val="93"/>
              </w:rPr>
              <w:t>1,350,000,000.00</w:t>
            </w:r>
          </w:p>
        </w:tc>
        <w:tc>
          <w:tcPr>
            <w:tcW w:w="220" w:type="dxa"/>
            <w:vAlign w:val="bottom"/>
            <w:tcBorders>
              <w:bottom w:val="single" w:sz="8" w:color="0000FF"/>
            </w:tcBorders>
            <w:gridSpan w:val="3"/>
            <w:shd w:val="clear" w:color="auto" w:fill="CCEEFF"/>
          </w:tcPr>
          <w:p>
            <w:pPr>
              <w:spacing w:after="0"/>
              <w:rPr>
                <w:sz w:val="14"/>
                <w:szCs w:val="14"/>
                <w:color w:val="auto"/>
              </w:rPr>
            </w:pPr>
          </w:p>
        </w:tc>
        <w:tc>
          <w:tcPr>
            <w:tcW w:w="1040" w:type="dxa"/>
            <w:vAlign w:val="bottom"/>
            <w:tcBorders>
              <w:bottom w:val="single" w:sz="8" w:color="0000FF"/>
            </w:tcBorders>
            <w:shd w:val="clear" w:color="auto" w:fill="CCEEFF"/>
          </w:tcPr>
          <w:p>
            <w:pPr>
              <w:jc w:val="right"/>
              <w:spacing w:after="0" w:line="149" w:lineRule="exact"/>
              <w:rPr>
                <w:sz w:val="20"/>
                <w:szCs w:val="20"/>
                <w:color w:val="auto"/>
              </w:rPr>
            </w:pPr>
            <w:r>
              <w:rPr>
                <w:rFonts w:ascii="Arial" w:cs="Arial" w:eastAsia="Arial" w:hAnsi="Arial"/>
                <w:sz w:val="17"/>
                <w:szCs w:val="17"/>
                <w:b w:val="1"/>
                <w:bCs w:val="1"/>
                <w:color w:val="0000FF"/>
                <w:w w:val="77"/>
              </w:rPr>
              <w:t>1,525,000,000.00</w:t>
            </w:r>
          </w:p>
        </w:tc>
        <w:tc>
          <w:tcPr>
            <w:tcW w:w="4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70"/>
              </w:rPr>
              <w:t>100.000%</w:t>
            </w:r>
          </w:p>
        </w:tc>
        <w:tc>
          <w:tcPr>
            <w:tcW w:w="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0000FF"/>
            </w:tcBorders>
          </w:tcPr>
          <w:p>
            <w:pPr>
              <w:spacing w:after="0" w:line="20" w:lineRule="exact"/>
              <w:rPr>
                <w:sz w:val="1"/>
                <w:szCs w:val="1"/>
                <w:color w:val="auto"/>
              </w:rPr>
            </w:pP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1020" w:type="dxa"/>
            <w:vAlign w:val="bottom"/>
            <w:tcBorders>
              <w:top w:val="single" w:sz="8" w:color="CCEEFF"/>
              <w:bottom w:val="single" w:sz="8" w:color="0000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0000FF"/>
            </w:tcBorders>
          </w:tcPr>
          <w:p>
            <w:pPr>
              <w:spacing w:after="0" w:line="20" w:lineRule="exact"/>
              <w:rPr>
                <w:sz w:val="1"/>
                <w:szCs w:val="1"/>
                <w:color w:val="auto"/>
              </w:rPr>
            </w:pP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60" w:type="dxa"/>
            <w:vAlign w:val="bottom"/>
            <w:tcBorders>
              <w:top w:val="single" w:sz="8" w:color="CCEEFF"/>
              <w:bottom w:val="single" w:sz="8" w:color="0000FF"/>
            </w:tcBorders>
          </w:tcPr>
          <w:p>
            <w:pPr>
              <w:spacing w:after="0" w:line="20" w:lineRule="exact"/>
              <w:rPr>
                <w:sz w:val="1"/>
                <w:szCs w:val="1"/>
                <w:color w:val="auto"/>
              </w:rPr>
            </w:pPr>
          </w:p>
        </w:tc>
        <w:tc>
          <w:tcPr>
            <w:tcW w:w="1040" w:type="dxa"/>
            <w:vAlign w:val="bottom"/>
            <w:tcBorders>
              <w:top w:val="single" w:sz="8" w:color="CCEEFF"/>
              <w:bottom w:val="single" w:sz="8" w:color="0000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24" w:right="540" w:hanging="424"/>
        <w:spacing w:after="0" w:line="277" w:lineRule="auto"/>
        <w:tabs>
          <w:tab w:leader="none" w:pos="42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U.S. Commitment and Canadian Commitment are sub facilities of the Revolving Commitment and are not in addition to the Revolving Commitment.</w:t>
      </w:r>
    </w:p>
    <w:p>
      <w:pPr>
        <w:sectPr>
          <w:pgSz w:w="11900" w:h="16838" w:orient="portrait"/>
          <w:cols w:equalWidth="0" w:num="1">
            <w:col w:w="11024"/>
          </w:cols>
          <w:pgMar w:left="436" w:top="270" w:right="4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TO FIFTH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 PURCHASE AGREEMENT</w:t>
      </w:r>
    </w:p>
    <w:p>
      <w:pPr>
        <w:spacing w:after="0" w:line="21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THIS FIFTH AMENDMENT TO FIFTH AMENDED AND RESTATED RECEIVABLES PURCHASE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August 2, 2022, is entered into among WESCO RECEIVABLES CORP. (the “</w:t>
      </w:r>
      <w:r>
        <w:rPr>
          <w:rFonts w:ascii="Arial" w:cs="Arial" w:eastAsia="Arial" w:hAnsi="Arial"/>
          <w:sz w:val="18"/>
          <w:szCs w:val="18"/>
          <w:u w:val="single" w:color="auto"/>
          <w:color w:val="auto"/>
        </w:rPr>
        <w:t>Seller</w:t>
      </w:r>
      <w:r>
        <w:rPr>
          <w:rFonts w:ascii="Arial" w:cs="Arial" w:eastAsia="Arial" w:hAnsi="Arial"/>
          <w:sz w:val="18"/>
          <w:szCs w:val="18"/>
          <w:color w:val="auto"/>
        </w:rPr>
        <w:t>”), WESCO DISTRIBUTION, INC. (“</w:t>
      </w:r>
      <w:r>
        <w:rPr>
          <w:rFonts w:ascii="Arial" w:cs="Arial" w:eastAsia="Arial" w:hAnsi="Arial"/>
          <w:sz w:val="18"/>
          <w:szCs w:val="18"/>
          <w:u w:val="single" w:color="auto"/>
          <w:color w:val="auto"/>
        </w:rPr>
        <w:t>WESCO</w:t>
      </w:r>
      <w:r>
        <w:rPr>
          <w:rFonts w:ascii="Arial" w:cs="Arial" w:eastAsia="Arial" w:hAnsi="Arial"/>
          <w:sz w:val="18"/>
          <w:szCs w:val="18"/>
          <w:color w:val="auto"/>
        </w:rPr>
        <w:t>” or the “</w:t>
      </w:r>
      <w:r>
        <w:rPr>
          <w:rFonts w:ascii="Arial" w:cs="Arial" w:eastAsia="Arial" w:hAnsi="Arial"/>
          <w:sz w:val="18"/>
          <w:szCs w:val="18"/>
          <w:u w:val="single" w:color="auto"/>
          <w:color w:val="auto"/>
        </w:rPr>
        <w:t>Servicer</w:t>
      </w:r>
      <w:r>
        <w:rPr>
          <w:rFonts w:ascii="Arial" w:cs="Arial" w:eastAsia="Arial" w:hAnsi="Arial"/>
          <w:sz w:val="18"/>
          <w:szCs w:val="18"/>
          <w:color w:val="auto"/>
        </w:rPr>
        <w:t>”), the Purchasers party hereto (each, a “</w:t>
      </w:r>
      <w:r>
        <w:rPr>
          <w:rFonts w:ascii="Arial" w:cs="Arial" w:eastAsia="Arial" w:hAnsi="Arial"/>
          <w:sz w:val="18"/>
          <w:szCs w:val="18"/>
          <w:u w:val="single" w:color="auto"/>
          <w:color w:val="auto"/>
        </w:rPr>
        <w:t>Purchaser</w:t>
      </w:r>
      <w:r>
        <w:rPr>
          <w:rFonts w:ascii="Arial" w:cs="Arial" w:eastAsia="Arial" w:hAnsi="Arial"/>
          <w:sz w:val="18"/>
          <w:szCs w:val="18"/>
          <w:color w:val="auto"/>
        </w:rPr>
        <w:t>”), the Purchaser Agents party hereto (each, a “</w:t>
      </w:r>
      <w:r>
        <w:rPr>
          <w:rFonts w:ascii="Arial" w:cs="Arial" w:eastAsia="Arial" w:hAnsi="Arial"/>
          <w:sz w:val="18"/>
          <w:szCs w:val="18"/>
          <w:u w:val="single" w:color="auto"/>
          <w:color w:val="auto"/>
        </w:rPr>
        <w:t>Purchaser Agent</w:t>
      </w:r>
      <w:r>
        <w:rPr>
          <w:rFonts w:ascii="Arial" w:cs="Arial" w:eastAsia="Arial" w:hAnsi="Arial"/>
          <w:sz w:val="18"/>
          <w:szCs w:val="18"/>
          <w:color w:val="auto"/>
        </w:rPr>
        <w:t>”), and PNC BANK, NATIONAL ASSOCIATION, as Administrator (the “</w:t>
      </w:r>
      <w:r>
        <w:rPr>
          <w:rFonts w:ascii="Arial" w:cs="Arial" w:eastAsia="Arial" w:hAnsi="Arial"/>
          <w:sz w:val="18"/>
          <w:szCs w:val="18"/>
          <w:u w:val="single" w:color="auto"/>
          <w:color w:val="auto"/>
        </w:rPr>
        <w:t>Administrator</w:t>
      </w:r>
      <w:r>
        <w:rPr>
          <w:rFonts w:ascii="Arial" w:cs="Arial" w:eastAsia="Arial" w:hAnsi="Arial"/>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firstLine="436"/>
        <w:spacing w:after="0" w:line="342" w:lineRule="auto"/>
        <w:tabs>
          <w:tab w:leader="none" w:pos="62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Seller, the Servicer, each Purchaser, each Purchaser Agent and the Administrator are parties to the Fifth Amended and Restated Receivables Purchase Agreement, dated as of June 22, 2020 (as amended, restated, supplemented or otherwise modified through the date hereof, the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right="240" w:firstLine="436"/>
        <w:spacing w:after="0" w:line="277" w:lineRule="auto"/>
        <w:tabs>
          <w:tab w:leader="none" w:pos="6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Concurrently herewith, the parties hereto are entering into that certain Eleventh Amended and Restated Fee Letter, dated as of the date hereof (the “</w:t>
      </w:r>
      <w:r>
        <w:rPr>
          <w:rFonts w:ascii="Arial" w:cs="Arial" w:eastAsia="Arial" w:hAnsi="Arial"/>
          <w:sz w:val="18"/>
          <w:szCs w:val="18"/>
          <w:u w:val="single" w:color="auto"/>
          <w:color w:val="auto"/>
        </w:rPr>
        <w:t>Restated Fee Letter</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20" w:hanging="184"/>
        <w:spacing w:after="0"/>
        <w:tabs>
          <w:tab w:leader="none" w:pos="6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parties hereto desire to amend the Agreement as hereinafter set forth.</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b w:val="1"/>
          <w:bCs w:val="1"/>
          <w:i w:val="1"/>
          <w:iCs w:val="1"/>
          <w:color w:val="auto"/>
        </w:rPr>
        <w:t>NOW THEREFORE</w:t>
      </w:r>
      <w:r>
        <w:rPr>
          <w:rFonts w:ascii="Arial" w:cs="Arial" w:eastAsia="Arial" w:hAnsi="Arial"/>
          <w:sz w:val="18"/>
          <w:szCs w:val="18"/>
          <w:color w:val="auto"/>
        </w:rPr>
        <w:t>, for good and valuable consideration, the receipt and sufficiency of which are hereby acknowledged, the parties agree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62" w:lineRule="exact"/>
        <w:rPr>
          <w:sz w:val="20"/>
          <w:szCs w:val="20"/>
          <w:color w:val="auto"/>
        </w:rPr>
      </w:pPr>
    </w:p>
    <w:p>
      <w:pPr>
        <w:ind w:right="220" w:firstLine="436"/>
        <w:spacing w:after="0" w:line="277" w:lineRule="auto"/>
        <w:tabs>
          <w:tab w:leader="none" w:pos="620"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 xml:space="preserve">Certain Defined Terms. </w:t>
      </w:r>
      <w:r>
        <w:rPr>
          <w:rFonts w:ascii="Arial" w:cs="Arial" w:eastAsia="Arial" w:hAnsi="Arial"/>
          <w:sz w:val="18"/>
          <w:szCs w:val="18"/>
          <w:color w:val="auto"/>
        </w:rPr>
        <w:t>Capitalized terms that are used herein without definition and that are defined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I</w:t>
      </w:r>
      <w:r>
        <w:rPr>
          <w:rFonts w:ascii="Arial" w:cs="Arial" w:eastAsia="Arial" w:hAnsi="Arial"/>
          <w:sz w:val="18"/>
          <w:szCs w:val="18"/>
          <w:i w:val="1"/>
          <w:iCs w:val="1"/>
          <w:color w:val="auto"/>
        </w:rPr>
        <w:t xml:space="preserve"> </w:t>
      </w:r>
      <w:r>
        <w:rPr>
          <w:rFonts w:ascii="Arial" w:cs="Arial" w:eastAsia="Arial" w:hAnsi="Arial"/>
          <w:sz w:val="18"/>
          <w:szCs w:val="18"/>
          <w:color w:val="auto"/>
        </w:rPr>
        <w:t>to the Agreement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meanings herein as therein defined.</w:t>
      </w:r>
    </w:p>
    <w:p>
      <w:pPr>
        <w:spacing w:after="0" w:line="62" w:lineRule="exact"/>
        <w:rPr>
          <w:rFonts w:ascii="Arial" w:cs="Arial" w:eastAsia="Arial" w:hAnsi="Arial"/>
          <w:sz w:val="18"/>
          <w:szCs w:val="18"/>
          <w:color w:val="auto"/>
        </w:rPr>
      </w:pPr>
    </w:p>
    <w:p>
      <w:pPr>
        <w:ind w:left="620" w:hanging="184"/>
        <w:spacing w:after="0"/>
        <w:tabs>
          <w:tab w:leader="none" w:pos="620" w:val="left"/>
        </w:tabs>
        <w:numPr>
          <w:ilvl w:val="0"/>
          <w:numId w:val="208"/>
        </w:numPr>
        <w:rPr>
          <w:rFonts w:ascii="Arial" w:cs="Arial" w:eastAsia="Arial" w:hAnsi="Arial"/>
          <w:sz w:val="18"/>
          <w:szCs w:val="18"/>
          <w:color w:val="auto"/>
        </w:rPr>
      </w:pPr>
      <w:r>
        <w:rPr>
          <w:rFonts w:ascii="Arial" w:cs="Arial" w:eastAsia="Arial" w:hAnsi="Arial"/>
          <w:sz w:val="18"/>
          <w:szCs w:val="18"/>
          <w:i w:val="1"/>
          <w:iCs w:val="1"/>
          <w:u w:val="single" w:color="auto"/>
          <w:color w:val="auto"/>
        </w:rPr>
        <w:t>Rebalancing and Certain Consents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60" w:firstLine="419"/>
        <w:spacing w:after="0" w:line="259" w:lineRule="auto"/>
        <w:tabs>
          <w:tab w:leader="none" w:pos="1107" w:val="left"/>
        </w:tabs>
        <w:numPr>
          <w:ilvl w:val="1"/>
          <w:numId w:val="208"/>
        </w:numPr>
        <w:rPr>
          <w:rFonts w:ascii="Arial" w:cs="Arial" w:eastAsia="Arial" w:hAnsi="Arial"/>
          <w:sz w:val="18"/>
          <w:szCs w:val="18"/>
          <w:color w:val="auto"/>
        </w:rPr>
      </w:pPr>
      <w:r>
        <w:rPr>
          <w:rFonts w:ascii="Arial" w:cs="Arial" w:eastAsia="Arial" w:hAnsi="Arial"/>
          <w:sz w:val="18"/>
          <w:szCs w:val="18"/>
          <w:u w:val="single" w:color="auto"/>
          <w:color w:val="auto"/>
        </w:rPr>
        <w:t>Initial Purchases; Rebalancing</w:t>
      </w:r>
      <w:r>
        <w:rPr>
          <w:rFonts w:ascii="Arial" w:cs="Arial" w:eastAsia="Arial" w:hAnsi="Arial"/>
          <w:sz w:val="18"/>
          <w:szCs w:val="18"/>
          <w:color w:val="auto"/>
        </w:rPr>
        <w:t xml:space="preserve">. On the date hereof, the Seller is requesting that the Purchasers fund a new Purchase pursuant to a Purchase Notice delivered in accordance with </w:t>
      </w:r>
      <w:r>
        <w:rPr>
          <w:rFonts w:ascii="Arial" w:cs="Arial" w:eastAsia="Arial" w:hAnsi="Arial"/>
          <w:sz w:val="18"/>
          <w:szCs w:val="18"/>
          <w:u w:val="single" w:color="auto"/>
          <w:color w:val="auto"/>
        </w:rPr>
        <w:t>Section 1.2(a)</w:t>
      </w:r>
      <w:r>
        <w:rPr>
          <w:rFonts w:ascii="Arial" w:cs="Arial" w:eastAsia="Arial" w:hAnsi="Arial"/>
          <w:sz w:val="18"/>
          <w:szCs w:val="18"/>
          <w:color w:val="auto"/>
        </w:rPr>
        <w:t>. Such Purchase Notice provides that each Purchaser Group will fund a non-ratable portion of the aggregate Purchase such that, after giving effect to such Purchase, each Purchaser Group’s outstanding Investment will be equal to its Ratable Share of the Aggregate Investment.</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1"/>
          <w:numId w:val="208"/>
        </w:numPr>
        <w:rPr>
          <w:rFonts w:ascii="Arial" w:cs="Arial" w:eastAsia="Arial" w:hAnsi="Arial"/>
          <w:sz w:val="16"/>
          <w:szCs w:val="16"/>
          <w:color w:val="auto"/>
        </w:rPr>
      </w:pPr>
      <w:r>
        <w:rPr>
          <w:rFonts w:ascii="Arial" w:cs="Arial" w:eastAsia="Arial" w:hAnsi="Arial"/>
          <w:sz w:val="16"/>
          <w:szCs w:val="16"/>
          <w:u w:val="single" w:color="auto"/>
          <w:color w:val="auto"/>
        </w:rPr>
        <w:t>Certain Consents</w:t>
      </w:r>
      <w:r>
        <w:rPr>
          <w:rFonts w:ascii="Arial" w:cs="Arial" w:eastAsia="Arial" w:hAnsi="Arial"/>
          <w:sz w:val="16"/>
          <w:szCs w:val="16"/>
          <w:color w:val="auto"/>
        </w:rPr>
        <w:t xml:space="preserve">. The parties hereto hereby consent to the non-ratable funding of the foregoing Purchase on the terms set forth in </w:t>
      </w:r>
      <w:r>
        <w:rPr>
          <w:rFonts w:ascii="Arial" w:cs="Arial" w:eastAsia="Arial" w:hAnsi="Arial"/>
          <w:sz w:val="16"/>
          <w:szCs w:val="16"/>
          <w:u w:val="single" w:color="auto"/>
          <w:color w:val="auto"/>
        </w:rPr>
        <w:t>clause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xml:space="preserve"> above as set forth above on a one-time basis.</w:t>
      </w:r>
    </w:p>
    <w:p>
      <w:pPr>
        <w:spacing w:after="0" w:line="102" w:lineRule="exact"/>
        <w:rPr>
          <w:rFonts w:ascii="Arial" w:cs="Arial" w:eastAsia="Arial" w:hAnsi="Arial"/>
          <w:sz w:val="16"/>
          <w:szCs w:val="16"/>
          <w:color w:val="auto"/>
        </w:rPr>
      </w:pPr>
    </w:p>
    <w:p>
      <w:pPr>
        <w:ind w:left="620" w:hanging="184"/>
        <w:spacing w:after="0"/>
        <w:tabs>
          <w:tab w:leader="none" w:pos="620" w:val="left"/>
        </w:tabs>
        <w:numPr>
          <w:ilvl w:val="0"/>
          <w:numId w:val="208"/>
        </w:numPr>
        <w:rPr>
          <w:rFonts w:ascii="Arial" w:cs="Arial" w:eastAsia="Arial" w:hAnsi="Arial"/>
          <w:sz w:val="16"/>
          <w:szCs w:val="16"/>
          <w:color w:val="auto"/>
        </w:rPr>
      </w:pPr>
      <w:r>
        <w:rPr>
          <w:rFonts w:ascii="Arial" w:cs="Arial" w:eastAsia="Arial" w:hAnsi="Arial"/>
          <w:sz w:val="16"/>
          <w:szCs w:val="16"/>
          <w:i w:val="1"/>
          <w:iCs w:val="1"/>
          <w:u w:val="single" w:color="auto"/>
          <w:color w:val="auto"/>
        </w:rPr>
        <w:t>Amendments to the Agreement</w:t>
      </w:r>
      <w:r>
        <w:rPr>
          <w:rFonts w:ascii="Arial" w:cs="Arial" w:eastAsia="Arial" w:hAnsi="Arial"/>
          <w:sz w:val="16"/>
          <w:szCs w:val="16"/>
          <w:color w:val="auto"/>
        </w:rPr>
        <w:t>. The Agreement is hereby amended to reflect the marked changes shown 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i w:val="1"/>
          <w:iCs w:val="1"/>
          <w:color w:val="auto"/>
        </w:rPr>
        <w:t xml:space="preserve"> </w:t>
      </w:r>
      <w:r>
        <w:rPr>
          <w:rFonts w:ascii="Arial" w:cs="Arial" w:eastAsia="Arial" w:hAnsi="Arial"/>
          <w:sz w:val="16"/>
          <w:szCs w:val="16"/>
          <w:color w:val="auto"/>
        </w:rPr>
        <w:t>to this Amendment.</w:t>
      </w:r>
    </w:p>
    <w:p>
      <w:pPr>
        <w:spacing w:after="0" w:line="140" w:lineRule="exact"/>
        <w:rPr>
          <w:rFonts w:ascii="Arial" w:cs="Arial" w:eastAsia="Arial" w:hAnsi="Arial"/>
          <w:sz w:val="16"/>
          <w:szCs w:val="16"/>
          <w:color w:val="auto"/>
        </w:rPr>
      </w:pPr>
    </w:p>
    <w:p>
      <w:pPr>
        <w:ind w:left="620" w:hanging="184"/>
        <w:spacing w:after="0"/>
        <w:tabs>
          <w:tab w:leader="none" w:pos="62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Representations and Warranties. The Seller and the Servicer hereby represent and warrant to each of the parties hereto as follows:</w:t>
      </w:r>
    </w:p>
    <w:p>
      <w:pPr>
        <w:sectPr>
          <w:pgSz w:w="11900" w:h="16838" w:orient="portrait"/>
          <w:cols w:equalWidth="0" w:num="1">
            <w:col w:w="11020"/>
          </w:cols>
          <w:pgMar w:left="440" w:top="121" w:right="439" w:bottom="1440" w:gutter="0" w:footer="0" w:header="0"/>
        </w:sectPr>
      </w:pPr>
    </w:p>
    <w:bookmarkStart w:id="178" w:name="page179"/>
    <w:bookmarkEnd w:id="178"/>
    <w:p>
      <w:pPr>
        <w:ind w:left="420" w:right="200" w:firstLine="42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Exhibit III</w:t>
      </w:r>
      <w:r>
        <w:rPr>
          <w:rFonts w:ascii="Arial" w:cs="Arial" w:eastAsia="Arial" w:hAnsi="Arial"/>
          <w:sz w:val="18"/>
          <w:szCs w:val="18"/>
          <w:color w:val="auto"/>
        </w:rPr>
        <w:t xml:space="preserve"> of the Agreement, as amended hereby, are true and correct in all material respects as of the date hereof; provided, that any representation and warranty that is qualified as to “materiality”, “Material Adverse Effect” or similar language shall be true and correct (after giving effect to any qualification therein) in all respects on such respective dates).</w:t>
      </w:r>
    </w:p>
    <w:p>
      <w:pPr>
        <w:spacing w:after="0" w:line="79" w:lineRule="exact"/>
        <w:rPr>
          <w:sz w:val="20"/>
          <w:szCs w:val="20"/>
          <w:color w:val="auto"/>
        </w:rPr>
      </w:pPr>
    </w:p>
    <w:p>
      <w:pPr>
        <w:ind w:left="420" w:right="840" w:firstLine="423"/>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Default</w:t>
      </w:r>
      <w:r>
        <w:rPr>
          <w:rFonts w:ascii="Arial" w:cs="Arial" w:eastAsia="Arial" w:hAnsi="Arial"/>
          <w:sz w:val="18"/>
          <w:szCs w:val="18"/>
          <w:color w:val="auto"/>
        </w:rPr>
        <w:t>. Both before and immediately after giving effect to this Amendment and the transactions contemplated hereby, no Termination Event or Unmatured Termination Event exists or shall exist.</w:t>
      </w:r>
    </w:p>
    <w:p>
      <w:pPr>
        <w:spacing w:after="0" w:line="62" w:lineRule="exact"/>
        <w:rPr>
          <w:sz w:val="20"/>
          <w:szCs w:val="20"/>
          <w:color w:val="auto"/>
        </w:rPr>
      </w:pPr>
    </w:p>
    <w:p>
      <w:pPr>
        <w:ind w:left="-20" w:right="160" w:firstLine="436"/>
        <w:spacing w:after="0" w:line="257" w:lineRule="auto"/>
        <w:tabs>
          <w:tab w:leader="none" w:pos="600" w:val="left"/>
        </w:tabs>
        <w:numPr>
          <w:ilvl w:val="0"/>
          <w:numId w:val="209"/>
        </w:numPr>
        <w:rPr>
          <w:rFonts w:ascii="Arial" w:cs="Arial" w:eastAsia="Arial" w:hAnsi="Arial"/>
          <w:sz w:val="18"/>
          <w:szCs w:val="18"/>
          <w:color w:val="auto"/>
        </w:rPr>
      </w:pPr>
      <w:r>
        <w:rPr>
          <w:rFonts w:ascii="Arial" w:cs="Arial" w:eastAsia="Arial" w:hAnsi="Arial"/>
          <w:sz w:val="18"/>
          <w:szCs w:val="18"/>
          <w:i w:val="1"/>
          <w:iCs w:val="1"/>
          <w:u w:val="single" w:color="auto"/>
          <w:color w:val="auto"/>
        </w:rPr>
        <w:t>Effect of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All provisions of the Agreement, as expressly amended and modified by this Amendment shall remain in full force and</w:t>
      </w:r>
      <w:r>
        <w:rPr>
          <w:rFonts w:ascii="Arial" w:cs="Arial" w:eastAsia="Arial" w:hAnsi="Arial"/>
          <w:sz w:val="18"/>
          <w:szCs w:val="18"/>
          <w:i w:val="1"/>
          <w:iCs w:val="1"/>
          <w:color w:val="auto"/>
        </w:rPr>
        <w:t xml:space="preserve"> </w:t>
      </w:r>
      <w:r>
        <w:rPr>
          <w:rFonts w:ascii="Arial" w:cs="Arial" w:eastAsia="Arial" w:hAnsi="Arial"/>
          <w:sz w:val="18"/>
          <w:szCs w:val="18"/>
          <w:color w:val="auto"/>
        </w:rPr>
        <w:t>effect. As of and after the date hereof, all references in the Agreement (or in any other Transaction Document) to “this Agreement”, “hereof”, “herein” or words of similar effect referring to the Agreement shall be deemed to be references to the Agreement as amended by this Amendment. This Amendment shall not be deemed, either expressly or impliedly, to waive, amend or supplement any provision of the Agreement other than as set forth herein.</w:t>
      </w:r>
    </w:p>
    <w:p>
      <w:pPr>
        <w:spacing w:after="0" w:line="79" w:lineRule="exact"/>
        <w:rPr>
          <w:rFonts w:ascii="Arial" w:cs="Arial" w:eastAsia="Arial" w:hAnsi="Arial"/>
          <w:sz w:val="18"/>
          <w:szCs w:val="18"/>
          <w:color w:val="auto"/>
        </w:rPr>
      </w:pPr>
    </w:p>
    <w:p>
      <w:pPr>
        <w:ind w:left="600" w:hanging="184"/>
        <w:spacing w:after="0"/>
        <w:tabs>
          <w:tab w:leader="none" w:pos="600" w:val="left"/>
        </w:tabs>
        <w:numPr>
          <w:ilvl w:val="0"/>
          <w:numId w:val="209"/>
        </w:numPr>
        <w:rPr>
          <w:rFonts w:ascii="Arial" w:cs="Arial" w:eastAsia="Arial" w:hAnsi="Arial"/>
          <w:sz w:val="17"/>
          <w:szCs w:val="17"/>
          <w:color w:val="auto"/>
        </w:rPr>
      </w:pPr>
      <w:r>
        <w:rPr>
          <w:rFonts w:ascii="Arial" w:cs="Arial" w:eastAsia="Arial" w:hAnsi="Arial"/>
          <w:sz w:val="17"/>
          <w:szCs w:val="17"/>
          <w:i w:val="1"/>
          <w:iCs w:val="1"/>
          <w:u w:val="single" w:color="auto"/>
          <w:color w:val="auto"/>
        </w:rPr>
        <w:t>Effectiveness</w:t>
      </w:r>
      <w:r>
        <w:rPr>
          <w:rFonts w:ascii="Arial" w:cs="Arial" w:eastAsia="Arial" w:hAnsi="Arial"/>
          <w:sz w:val="17"/>
          <w:szCs w:val="17"/>
          <w:i w:val="1"/>
          <w:iCs w:val="1"/>
          <w:color w:val="auto"/>
        </w:rPr>
        <w:t xml:space="preserve">. </w:t>
      </w:r>
      <w:r>
        <w:rPr>
          <w:rFonts w:ascii="Arial" w:cs="Arial" w:eastAsia="Arial" w:hAnsi="Arial"/>
          <w:sz w:val="17"/>
          <w:szCs w:val="17"/>
          <w:color w:val="auto"/>
        </w:rPr>
        <w:t>This Amendment shall become effective as of the date hereof, upon receipt by the Administrator of each of the following:</w:t>
      </w:r>
    </w:p>
    <w:p>
      <w:pPr>
        <w:spacing w:after="0" w:line="12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6.1 counterparts of this Amendment duly executed by each of the other parties hereto;</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6.2 counterparts to the Restated Fee Letter, duly executed by each of the parties thereto;</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6.3 evidence of payment of the “Closing Fee” (under and as defined in the Restated Fee Letter) owing under the Restated Fee Letter;</w:t>
      </w:r>
    </w:p>
    <w:p>
      <w:pPr>
        <w:spacing w:after="0" w:line="129" w:lineRule="exact"/>
        <w:rPr>
          <w:sz w:val="20"/>
          <w:szCs w:val="20"/>
          <w:color w:val="auto"/>
        </w:rPr>
      </w:pPr>
    </w:p>
    <w:p>
      <w:pPr>
        <w:ind w:left="420" w:right="600" w:firstLine="423"/>
        <w:spacing w:after="0" w:line="277" w:lineRule="auto"/>
        <w:rPr>
          <w:sz w:val="20"/>
          <w:szCs w:val="20"/>
          <w:color w:val="auto"/>
        </w:rPr>
      </w:pPr>
      <w:r>
        <w:rPr>
          <w:rFonts w:ascii="Arial" w:cs="Arial" w:eastAsia="Arial" w:hAnsi="Arial"/>
          <w:sz w:val="18"/>
          <w:szCs w:val="18"/>
          <w:color w:val="auto"/>
        </w:rPr>
        <w:t>6.4 an opinion of counsel for the Seller and Servicer, dated as of the date hereof and addressed to the Purchasers party hereto and the Administrator as to certain corporate, enforceability and no-conflicts matters; and</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6.5 customary officers certificates of each of the Seller and Servicer</w:t>
      </w:r>
    </w:p>
    <w:p>
      <w:pPr>
        <w:spacing w:after="0" w:line="117" w:lineRule="exact"/>
        <w:rPr>
          <w:sz w:val="20"/>
          <w:szCs w:val="20"/>
          <w:color w:val="auto"/>
        </w:rPr>
      </w:pPr>
    </w:p>
    <w:p>
      <w:pPr>
        <w:ind w:left="-20" w:firstLine="436"/>
        <w:spacing w:after="0" w:line="308" w:lineRule="auto"/>
        <w:tabs>
          <w:tab w:leader="none" w:pos="600" w:val="left"/>
        </w:tabs>
        <w:numPr>
          <w:ilvl w:val="0"/>
          <w:numId w:val="210"/>
        </w:numPr>
        <w:rPr>
          <w:rFonts w:ascii="Arial" w:cs="Arial" w:eastAsia="Arial" w:hAnsi="Arial"/>
          <w:sz w:val="17"/>
          <w:szCs w:val="17"/>
          <w:color w:val="auto"/>
        </w:rPr>
      </w:pPr>
      <w:r>
        <w:rPr>
          <w:rFonts w:ascii="Arial" w:cs="Arial" w:eastAsia="Arial" w:hAnsi="Arial"/>
          <w:sz w:val="17"/>
          <w:szCs w:val="17"/>
          <w:i w:val="1"/>
          <w:iCs w:val="1"/>
          <w:u w:val="single" w:color="auto"/>
          <w:color w:val="auto"/>
        </w:rPr>
        <w:t>Counterparts</w:t>
      </w:r>
      <w:r>
        <w:rPr>
          <w:rFonts w:ascii="Arial" w:cs="Arial" w:eastAsia="Arial" w:hAnsi="Arial"/>
          <w:sz w:val="17"/>
          <w:szCs w:val="17"/>
          <w:i w:val="1"/>
          <w:iCs w:val="1"/>
          <w:color w:val="auto"/>
        </w:rPr>
        <w:t xml:space="preserve">. </w:t>
      </w:r>
      <w:r>
        <w:rPr>
          <w:rFonts w:ascii="Arial" w:cs="Arial" w:eastAsia="Arial" w:hAnsi="Arial"/>
          <w:sz w:val="17"/>
          <w:szCs w:val="17"/>
          <w:color w:val="auto"/>
        </w:rPr>
        <w:t>This Amendment may be executed in any number of counterparts and by different parties on separate counterparts, each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when so executed shall be deemed to be an original and all of which when taken together shall constitute but one and the same instrument.</w:t>
      </w:r>
    </w:p>
    <w:p>
      <w:pPr>
        <w:spacing w:after="0" w:line="38" w:lineRule="exact"/>
        <w:rPr>
          <w:rFonts w:ascii="Arial" w:cs="Arial" w:eastAsia="Arial" w:hAnsi="Arial"/>
          <w:sz w:val="17"/>
          <w:szCs w:val="17"/>
          <w:color w:val="auto"/>
        </w:rPr>
      </w:pPr>
    </w:p>
    <w:p>
      <w:pPr>
        <w:ind w:left="600" w:hanging="184"/>
        <w:spacing w:after="0"/>
        <w:tabs>
          <w:tab w:leader="none" w:pos="600" w:val="left"/>
        </w:tabs>
        <w:numPr>
          <w:ilvl w:val="0"/>
          <w:numId w:val="210"/>
        </w:numPr>
        <w:rPr>
          <w:rFonts w:ascii="Arial" w:cs="Arial" w:eastAsia="Arial" w:hAnsi="Arial"/>
          <w:sz w:val="18"/>
          <w:szCs w:val="18"/>
          <w:color w:val="auto"/>
        </w:rPr>
      </w:pPr>
      <w:r>
        <w:rPr>
          <w:rFonts w:ascii="Arial" w:cs="Arial" w:eastAsia="Arial" w:hAnsi="Arial"/>
          <w:sz w:val="18"/>
          <w:szCs w:val="18"/>
          <w:i w:val="1"/>
          <w:iCs w:val="1"/>
          <w:u w:val="single" w:color="auto"/>
          <w:color w:val="auto"/>
        </w:rPr>
        <w:t>Governing Law; Jurisdiction</w:t>
      </w:r>
      <w:r>
        <w:rPr>
          <w:rFonts w:ascii="Arial" w:cs="Arial" w:eastAsia="Arial" w:hAnsi="Arial"/>
          <w:sz w:val="18"/>
          <w:szCs w:val="18"/>
          <w:i w:val="1"/>
          <w:iCs w:val="1"/>
          <w:color w:val="auto"/>
        </w:rPr>
        <w:t>.</w:t>
      </w:r>
    </w:p>
    <w:p>
      <w:pPr>
        <w:spacing w:after="0" w:line="117" w:lineRule="exact"/>
        <w:rPr>
          <w:sz w:val="20"/>
          <w:szCs w:val="20"/>
          <w:color w:val="auto"/>
        </w:rPr>
      </w:pPr>
    </w:p>
    <w:p>
      <w:pPr>
        <w:jc w:val="both"/>
        <w:ind w:left="420" w:right="40" w:firstLine="423"/>
        <w:spacing w:after="0" w:line="263" w:lineRule="auto"/>
        <w:rPr>
          <w:sz w:val="20"/>
          <w:szCs w:val="20"/>
          <w:color w:val="auto"/>
        </w:rPr>
      </w:pPr>
      <w:r>
        <w:rPr>
          <w:rFonts w:ascii="Arial" w:cs="Arial" w:eastAsia="Arial" w:hAnsi="Arial"/>
          <w:sz w:val="18"/>
          <w:szCs w:val="18"/>
          <w:color w:val="auto"/>
        </w:rPr>
        <w:t>8.1 THIS AMENDMENT SHALL BE A CONTRACT MADE UNDER AND GOVERNED BY THE INTERNAL LAWS OF THE STATE OF NEW YORK (INCLUDING FOR SUCH PURPOSE SECTIONS 5-1401 AND 5-1402 OF THE GENERAL OBLIGATIONS LAW OF THE STATE OF NEW YORK).</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179" w:name="page180"/>
    <w:bookmarkEnd w:id="179"/>
    <w:p>
      <w:pPr>
        <w:ind w:left="420" w:right="100" w:firstLine="42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8.2 ANY LEGAL ACTION OR PROCEEDING WITH RESPECT TO THIS AMENDMENT MAY BE BROUGHT IN THE COURTS OF THE STATE OF NEW YORK OR OF THE UNITED STATES FOR THE SOUTHERN DISTRICT OF NEW YORK; AND, BY EXECUTION AND DELIVERY OF THIS AMENDMENT, EACH OF THE PARTIES HERETO CONSENTS, FOR ITSELF AND IN RESPECT OF ITS PROPERTY, TO THE NON-EXCLUSIVE JURISDICTION OF THOSE COURTS. EACH OF THE PARTIES HERETO IRREVOCABLY WAIVES, TO THE MAXIMUM EXTENT PERMITTED BY LAW, ANY OBJECTION, INCLUDING ANY OBJECTION TO THE LAYING OF VENUE OR BASED ON THE GROUNDS OF FORUM NON CONVENIENS, THAT IT MAY NOW OR HEREAFTER HAVE TO THE BRINGING OF ANY ACTION OR PROCEEDING IN SUCH JURISDICTION IN RESPECT OF THIS AMENDMENT OR ANY DOCUMENT RELATED HERETO. EACH OF THE PARTIES HERETO WAIVES PERSONAL SERVICE OF ANY SUMMONS, COMPLAINT OR OTHER PROCESS, WHICH SERVICE MAY BE MADE BY ANY OTHER MEANS PERMITTED BY NEW YORK LAW.</w:t>
      </w:r>
    </w:p>
    <w:p>
      <w:pPr>
        <w:spacing w:after="0" w:line="73" w:lineRule="exact"/>
        <w:rPr>
          <w:sz w:val="20"/>
          <w:szCs w:val="20"/>
          <w:color w:val="auto"/>
        </w:rPr>
      </w:pPr>
    </w:p>
    <w:p>
      <w:pPr>
        <w:ind w:left="-20" w:firstLine="436"/>
        <w:spacing w:after="0" w:line="277" w:lineRule="auto"/>
        <w:tabs>
          <w:tab w:leader="none" w:pos="600" w:val="left"/>
        </w:tabs>
        <w:numPr>
          <w:ilvl w:val="0"/>
          <w:numId w:val="211"/>
        </w:numPr>
        <w:rPr>
          <w:rFonts w:ascii="Arial" w:cs="Arial" w:eastAsia="Arial" w:hAnsi="Arial"/>
          <w:sz w:val="18"/>
          <w:szCs w:val="18"/>
          <w:color w:val="auto"/>
        </w:rPr>
      </w:pPr>
      <w:r>
        <w:rPr>
          <w:rFonts w:ascii="Arial" w:cs="Arial" w:eastAsia="Arial" w:hAnsi="Arial"/>
          <w:sz w:val="18"/>
          <w:szCs w:val="18"/>
          <w:i w:val="1"/>
          <w:iCs w:val="1"/>
          <w:u w:val="single" w:color="auto"/>
          <w:color w:val="auto"/>
        </w:rPr>
        <w:t>Section Headings</w:t>
      </w:r>
      <w:r>
        <w:rPr>
          <w:rFonts w:ascii="Arial" w:cs="Arial" w:eastAsia="Arial" w:hAnsi="Arial"/>
          <w:sz w:val="18"/>
          <w:szCs w:val="18"/>
          <w:color w:val="auto"/>
        </w:rPr>
        <w:t>. The various headings of this Amendment are included for convenience only and shall not affect the meaning or interpretation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Amendment, the Agreement or any provision hereof or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Amendment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WESCO RECEIVABLES CORP.</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M. Begg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Brian M. Begg</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Treasurer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WESCO DISTRIBUTION, INC.,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Servicer</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M. Begg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Brian M. Begg</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Senior Vice President and Treasurer</w:t>
      </w:r>
    </w:p>
    <w:p>
      <w:pPr>
        <w:spacing w:after="0" w:line="143" w:lineRule="exact"/>
        <w:rPr>
          <w:sz w:val="20"/>
          <w:szCs w:val="20"/>
          <w:color w:val="auto"/>
        </w:rPr>
      </w:pPr>
    </w:p>
    <w:p>
      <w:pPr>
        <w:ind w:left="9140"/>
        <w:spacing w:after="0"/>
        <w:rPr>
          <w:sz w:val="20"/>
          <w:szCs w:val="20"/>
          <w:color w:val="auto"/>
        </w:rPr>
      </w:pPr>
      <w:r>
        <w:rPr>
          <w:rFonts w:ascii="Arial" w:cs="Arial" w:eastAsia="Arial" w:hAnsi="Arial"/>
          <w:sz w:val="16"/>
          <w:szCs w:val="16"/>
          <w:i w:val="1"/>
          <w:iCs w:val="1"/>
          <w:color w:val="auto"/>
        </w:rPr>
        <w:t>Fifth Amendment to</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Fifth A&amp;R RPA</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580"/>
          </w:cols>
          <w:pgMar w:left="880" w:top="274" w:right="439" w:bottom="1440" w:gutter="0" w:footer="0" w:header="0"/>
        </w:sectPr>
      </w:pPr>
    </w:p>
    <w:bookmarkStart w:id="181" w:name="page182"/>
    <w:bookmarkEnd w:id="18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PNC BANK, NATIONAL ASSOCIATION,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Committed Purchaser</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Imad Naja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Imad Naja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Purchaser Agent for PNC Bank, National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Association</w:t>
      </w:r>
    </w:p>
    <w:p>
      <w:pPr>
        <w:spacing w:after="0" w:line="224"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Imad Naja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Imad Naja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Administrator</w:t>
      </w:r>
    </w:p>
    <w:p>
      <w:pPr>
        <w:spacing w:after="0" w:line="224"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Imad Naja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Imad Naja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Fifth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Fifth A&amp;R RPA</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020"/>
          </w:cols>
          <w:pgMar w:left="1440" w:top="274" w:right="439" w:bottom="1440" w:gutter="0" w:footer="0" w:header="0"/>
        </w:sectPr>
      </w:pPr>
    </w:p>
    <w:bookmarkStart w:id="182" w:name="page183"/>
    <w:bookmarkEnd w:id="18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 NATIONAL ASSOCIATION,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Committed Purchaser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Jonathan Davis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WELLS FARGO BANK, NATIONAL ASSOCIATION,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Purchaser Agent for Wells Fargo Bank, National Association</w:t>
      </w:r>
    </w:p>
    <w:p>
      <w:pPr>
        <w:spacing w:after="0" w:line="23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Jonathan Davis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Fifth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Fifth A&amp;R RPA</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020"/>
          </w:cols>
          <w:pgMar w:left="1440" w:top="274" w:right="439" w:bottom="1440" w:gutter="0" w:footer="0" w:header="0"/>
        </w:sectPr>
      </w:pPr>
    </w:p>
    <w:bookmarkStart w:id="183" w:name="page184"/>
    <w:bookmarkEnd w:id="18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FIFTH THIRD BANK, NATIONAL ASSOCIATION, as 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Committed Purchaser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Glahn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Matthew Glahn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FIFTH THIRD BANK, NATIONAL ASSOCIATION,as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Purchaser Agent for Fifth Third Bank, National Association</w:t>
      </w:r>
    </w:p>
    <w:p>
      <w:pPr>
        <w:spacing w:after="0" w:line="222"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Glahn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Matthew Glahn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Officer</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Fifth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Fifth A&amp;R RPA</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020"/>
          </w:cols>
          <w:pgMar w:left="1440" w:top="274" w:right="439" w:bottom="1440" w:gutter="0" w:footer="0" w:header="0"/>
        </w:sectPr>
      </w:pPr>
    </w:p>
    <w:bookmarkStart w:id="184" w:name="page185"/>
    <w:bookmarkEnd w:id="18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LIBERTY STREET FUNDING LLC, as a Conduit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Purchaser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/s/ Kevin J. Corrigan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Kevin J. Corrigan</w:t>
      </w:r>
    </w:p>
    <w:p>
      <w:pPr>
        <w:spacing w:after="0" w:line="23"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THE BANK OF NOVA SCOTIA, as a Committed Purchaser</w:t>
      </w:r>
    </w:p>
    <w:p>
      <w:pPr>
        <w:spacing w:after="0" w:line="248"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/s/ Doug Noe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Doug Noe</w:t>
      </w:r>
    </w:p>
    <w:p>
      <w:pPr>
        <w:spacing w:after="0" w:line="23"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THE BANK OF NOVA SCOTIA, as Purchaser Agent for</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The Bank of Nova Scotia and Liberty Street Funding LLC</w:t>
      </w:r>
    </w:p>
    <w:p>
      <w:pPr>
        <w:spacing w:after="0" w:line="222"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/s/ Doug Noe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Doug Noe</w:t>
      </w:r>
    </w:p>
    <w:p>
      <w:pPr>
        <w:spacing w:after="0" w:line="23"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Fifth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Fifth A&amp;R RPA</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020"/>
          </w:cols>
          <w:pgMar w:left="1440" w:top="490" w:right="439" w:bottom="1440" w:gutter="0" w:footer="0" w:header="0"/>
        </w:sectPr>
      </w:pPr>
    </w:p>
    <w:bookmarkStart w:id="185" w:name="page186"/>
    <w:bookmarkEnd w:id="18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COMPUTERSHARE TRUST COMPANY OF CANADA,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in its capacity as trustee of RELIANT TRUST, by its U.S.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Financial Services Agent, THE TORONTO-DOMINION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BANK, as a Conduit Purchaser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/s/ Luna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Luna Mills</w:t>
      </w:r>
    </w:p>
    <w:p>
      <w:pPr>
        <w:spacing w:after="0" w:line="23"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TORONTO-DOMINION BANK, as Committed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Purchaser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/s/ Luna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Luna Mills</w:t>
      </w:r>
    </w:p>
    <w:p>
      <w:pPr>
        <w:spacing w:after="0" w:line="23"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THE TORONTO-DOMINION BANK, as Purchaser Agent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 The Toronto Dominion Bank and Reliant Trust</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/s/ Luna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Luna Mills</w:t>
      </w:r>
    </w:p>
    <w:p>
      <w:pPr>
        <w:spacing w:after="0" w:line="23"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Fifth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Fifth A&amp;R RPA</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020"/>
          </w:cols>
          <w:pgMar w:left="1440" w:top="274" w:right="439" w:bottom="1440" w:gutter="0" w:footer="0" w:header="0"/>
        </w:sectPr>
      </w:pPr>
    </w:p>
    <w:bookmarkStart w:id="186" w:name="page187"/>
    <w:bookmarkEnd w:id="18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NATIONAL ASSOCIATION, as 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Committed Purchaser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Chris Haynes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BANK OF AMERICA, NATIONAL ASSOCIATION, as 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Purchaser Agent for Bank of America, N.A.</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Chris Haynes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Fifth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Fifth A&amp;R RPA</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020"/>
          </w:cols>
          <w:pgMar w:left="1440" w:top="274" w:right="439" w:bottom="1440" w:gutter="0" w:footer="0" w:header="0"/>
        </w:sectPr>
      </w:pPr>
    </w:p>
    <w:bookmarkStart w:id="187" w:name="page188"/>
    <w:bookmarkEnd w:id="18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CANADIAN IMPERIAL BANK OF COMMERCE, as 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Committed Purchaser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Sunil Adalja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Sunil Adalja</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CANADIAN IMPERIAL BANK OF COMMERCE, as 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Purchaser Agent for Canadian Imperial Bank of Commerce</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Macro Trust</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Sunil Adalja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Sunil Adalja</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COMPUTERSHARE TRUST COMPANY OF CANADA,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 its capacity as trustee of MACRO TRUST, by its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Financial Services Agent, CANADIAN IMPERIAL BANK</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 COMMERCE, as a Committed Purchaser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Sunil Adalja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Sunil Adalja</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Fifth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Fifth A&amp;R RPA</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020"/>
          </w:cols>
          <w:pgMar w:left="1440" w:top="274" w:right="439" w:bottom="1440" w:gutter="0" w:footer="0" w:header="0"/>
        </w:sectPr>
      </w:pPr>
    </w:p>
    <w:bookmarkStart w:id="188" w:name="page189"/>
    <w:bookmarkEnd w:id="18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HSBC BANK USA, NATIONAL ASSOCIATION, as 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Committed Purchaser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Santini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Stephen Santini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HSBC SECURITIES (USA) INC., as Purchaser Agent for</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HSBC Bank USA, National Association</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Nicholas Walach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Nicholas Walach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Fifth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Fifth A&amp;R RPA</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0020"/>
          </w:cols>
          <w:pgMar w:left="1440" w:top="274" w:right="439" w:bottom="1440" w:gutter="0" w:footer="0" w:header="0"/>
        </w:sectPr>
      </w:pPr>
    </w:p>
    <w:bookmarkStart w:id="189" w:name="page190"/>
    <w:bookmarkEnd w:id="189"/>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[attached]</w:t>
      </w:r>
    </w:p>
    <w:p>
      <w:pPr>
        <w:spacing w:after="0" w:line="181"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Exhibit A</w:t>
      </w:r>
    </w:p>
    <w:p>
      <w:pPr>
        <w:sectPr>
          <w:pgSz w:w="11900" w:h="16838" w:orient="portrait"/>
          <w:cols w:equalWidth="0" w:num="1">
            <w:col w:w="9019"/>
          </w:cols>
          <w:pgMar w:left="1440" w:top="274" w:right="1440"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10.2A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 xml:space="preserve">EXHIBIT A TO AMENDMENT </w:t>
      </w:r>
      <w:r>
        <w:rPr>
          <w:rFonts w:ascii="Arial" w:cs="Arial" w:eastAsia="Arial" w:hAnsi="Arial"/>
          <w:sz w:val="17"/>
          <w:szCs w:val="17"/>
          <w:b w:val="1"/>
          <w:bCs w:val="1"/>
          <w:color w:val="FF0000"/>
          <w:strike w:val="1"/>
        </w:rPr>
        <w:t>4</w:t>
      </w:r>
      <w:r>
        <w:rPr>
          <w:rFonts w:ascii="Arial" w:cs="Arial" w:eastAsia="Arial" w:hAnsi="Arial"/>
          <w:sz w:val="17"/>
          <w:szCs w:val="17"/>
          <w:b w:val="1"/>
          <w:bCs w:val="1"/>
          <w:u w:val="single" w:color="auto"/>
          <w:color w:val="0000FF"/>
        </w:rPr>
        <w:t>5</w:t>
      </w:r>
      <w:r>
        <w:rPr>
          <w:rFonts w:ascii="Arial" w:cs="Arial" w:eastAsia="Arial" w:hAnsi="Arial"/>
          <w:sz w:val="17"/>
          <w:szCs w:val="17"/>
          <w:b w:val="1"/>
          <w:bCs w:val="1"/>
          <w:color w:val="auto"/>
        </w:rPr>
        <w:t xml:space="preserve">, DATED AS OF </w:t>
      </w:r>
      <w:r>
        <w:rPr>
          <w:rFonts w:ascii="Arial" w:cs="Arial" w:eastAsia="Arial" w:hAnsi="Arial"/>
          <w:sz w:val="17"/>
          <w:szCs w:val="17"/>
          <w:b w:val="1"/>
          <w:bCs w:val="1"/>
          <w:color w:val="FF0000"/>
          <w:strike w:val="1"/>
        </w:rPr>
        <w:t>MARCH 1</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0000FF"/>
        </w:rPr>
        <w:t>AUGUST 2</w:t>
      </w:r>
      <w:r>
        <w:rPr>
          <w:rFonts w:ascii="Arial" w:cs="Arial" w:eastAsia="Arial" w:hAnsi="Arial"/>
          <w:sz w:val="17"/>
          <w:szCs w:val="17"/>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33020</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33020</wp:posOffset>
            </wp:positionV>
            <wp:extent cx="56578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FIFTH AMENDED AND RESTATED RECEIVABLES PURCHASE AGREEMENT</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June 22, 2020</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WESCO RECEIVABLES CORP.,</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Seller,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WESCO DISTRIBUTION, INC.,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Servicer,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THE VARIOUS PURCHASER GROUPS FROM TIME TO TIME PARTY HERETO</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Administrator</w:t>
      </w:r>
    </w:p>
    <w:p>
      <w:pPr>
        <w:sectPr>
          <w:pgSz w:w="11900" w:h="16838" w:orient="portrait"/>
          <w:cols w:equalWidth="0" w:num="1">
            <w:col w:w="10020"/>
          </w:cols>
          <w:pgMar w:left="1440" w:top="270" w:right="439" w:bottom="1440" w:gutter="0" w:footer="0" w:header="0"/>
        </w:sectPr>
      </w:pPr>
    </w:p>
    <w:bookmarkStart w:id="191" w:name="page192"/>
    <w:bookmarkEnd w:id="19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ARTICLE I.</w:t>
            </w:r>
          </w:p>
        </w:tc>
        <w:tc>
          <w:tcPr>
            <w:tcW w:w="8980" w:type="dxa"/>
            <w:vAlign w:val="bottom"/>
          </w:tcPr>
          <w:p>
            <w:pPr>
              <w:ind w:left="340"/>
              <w:spacing w:after="0"/>
              <w:rPr>
                <w:sz w:val="20"/>
                <w:szCs w:val="20"/>
                <w:color w:val="auto"/>
              </w:rPr>
            </w:pPr>
            <w:r>
              <w:rPr>
                <w:rFonts w:ascii="Arial" w:cs="Arial" w:eastAsia="Arial" w:hAnsi="Arial"/>
                <w:sz w:val="18"/>
                <w:szCs w:val="18"/>
                <w:color w:val="auto"/>
              </w:rPr>
              <w:t>AMOUNTS AND TERMS OF THE PURCHASES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162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8980" w:type="dxa"/>
            <w:vAlign w:val="bottom"/>
          </w:tcPr>
          <w:p>
            <w:pPr>
              <w:ind w:left="700"/>
              <w:spacing w:after="0"/>
              <w:rPr>
                <w:sz w:val="20"/>
                <w:szCs w:val="20"/>
                <w:color w:val="auto"/>
              </w:rPr>
            </w:pPr>
            <w:r>
              <w:rPr>
                <w:rFonts w:ascii="Arial" w:cs="Arial" w:eastAsia="Arial" w:hAnsi="Arial"/>
                <w:sz w:val="18"/>
                <w:szCs w:val="18"/>
                <w:color w:val="auto"/>
              </w:rPr>
              <w:t>Purchase Facility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8980" w:type="dxa"/>
            <w:vAlign w:val="bottom"/>
          </w:tcPr>
          <w:p>
            <w:pPr>
              <w:ind w:left="700"/>
              <w:spacing w:after="0"/>
              <w:rPr>
                <w:sz w:val="20"/>
                <w:szCs w:val="20"/>
                <w:color w:val="auto"/>
              </w:rPr>
            </w:pPr>
            <w:r>
              <w:rPr>
                <w:rFonts w:ascii="Arial" w:cs="Arial" w:eastAsia="Arial" w:hAnsi="Arial"/>
                <w:sz w:val="18"/>
                <w:szCs w:val="18"/>
                <w:color w:val="auto"/>
              </w:rPr>
              <w:t>Making Purchases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8980" w:type="dxa"/>
            <w:vAlign w:val="bottom"/>
          </w:tcPr>
          <w:p>
            <w:pPr>
              <w:ind w:left="700"/>
              <w:spacing w:after="0"/>
              <w:rPr>
                <w:sz w:val="20"/>
                <w:szCs w:val="20"/>
                <w:color w:val="auto"/>
              </w:rPr>
            </w:pPr>
            <w:r>
              <w:rPr>
                <w:rFonts w:ascii="Arial" w:cs="Arial" w:eastAsia="Arial" w:hAnsi="Arial"/>
                <w:sz w:val="18"/>
                <w:szCs w:val="18"/>
                <w:color w:val="auto"/>
              </w:rPr>
              <w:t>Purchased Interest Computation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8980" w:type="dxa"/>
            <w:vAlign w:val="bottom"/>
          </w:tcPr>
          <w:p>
            <w:pPr>
              <w:ind w:left="700"/>
              <w:spacing w:after="0"/>
              <w:rPr>
                <w:sz w:val="20"/>
                <w:szCs w:val="20"/>
                <w:color w:val="auto"/>
              </w:rPr>
            </w:pPr>
            <w:r>
              <w:rPr>
                <w:rFonts w:ascii="Arial" w:cs="Arial" w:eastAsia="Arial" w:hAnsi="Arial"/>
                <w:sz w:val="18"/>
                <w:szCs w:val="18"/>
                <w:color w:val="auto"/>
              </w:rPr>
              <w:t>Settlement Procedures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8980" w:type="dxa"/>
            <w:vAlign w:val="bottom"/>
          </w:tcPr>
          <w:p>
            <w:pPr>
              <w:ind w:left="700"/>
              <w:spacing w:after="0"/>
              <w:rPr>
                <w:sz w:val="20"/>
                <w:szCs w:val="20"/>
                <w:color w:val="auto"/>
              </w:rPr>
            </w:pPr>
            <w:r>
              <w:rPr>
                <w:rFonts w:ascii="Arial" w:cs="Arial" w:eastAsia="Arial" w:hAnsi="Arial"/>
                <w:sz w:val="18"/>
                <w:szCs w:val="18"/>
                <w:color w:val="auto"/>
              </w:rPr>
              <w:t>Fees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8980" w:type="dxa"/>
            <w:vAlign w:val="bottom"/>
          </w:tcPr>
          <w:p>
            <w:pPr>
              <w:ind w:left="700"/>
              <w:spacing w:after="0"/>
              <w:rPr>
                <w:sz w:val="20"/>
                <w:szCs w:val="20"/>
                <w:color w:val="auto"/>
              </w:rPr>
            </w:pPr>
            <w:r>
              <w:rPr>
                <w:rFonts w:ascii="Arial" w:cs="Arial" w:eastAsia="Arial" w:hAnsi="Arial"/>
                <w:sz w:val="18"/>
                <w:szCs w:val="18"/>
                <w:color w:val="auto"/>
              </w:rPr>
              <w:t>Payments and Computations, Etc.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8980" w:type="dxa"/>
            <w:vAlign w:val="bottom"/>
          </w:tcPr>
          <w:p>
            <w:pPr>
              <w:ind w:left="700"/>
              <w:spacing w:after="0"/>
              <w:rPr>
                <w:sz w:val="20"/>
                <w:szCs w:val="20"/>
                <w:color w:val="auto"/>
              </w:rPr>
            </w:pPr>
            <w:r>
              <w:rPr>
                <w:rFonts w:ascii="Arial" w:cs="Arial" w:eastAsia="Arial" w:hAnsi="Arial"/>
                <w:sz w:val="18"/>
                <w:szCs w:val="18"/>
                <w:color w:val="auto"/>
              </w:rPr>
              <w:t>Increased Costs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8980" w:type="dxa"/>
            <w:vAlign w:val="bottom"/>
          </w:tcPr>
          <w:p>
            <w:pPr>
              <w:ind w:left="700"/>
              <w:spacing w:after="0"/>
              <w:rPr>
                <w:sz w:val="20"/>
                <w:szCs w:val="20"/>
                <w:color w:val="auto"/>
              </w:rPr>
            </w:pPr>
            <w:r>
              <w:rPr>
                <w:rFonts w:ascii="Arial" w:cs="Arial" w:eastAsia="Arial" w:hAnsi="Arial"/>
                <w:sz w:val="18"/>
                <w:szCs w:val="18"/>
                <w:color w:val="auto"/>
              </w:rPr>
              <w:t>Requirements of Law</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1.9.</w:t>
            </w:r>
          </w:p>
        </w:tc>
        <w:tc>
          <w:tcPr>
            <w:tcW w:w="8980" w:type="dxa"/>
            <w:vAlign w:val="bottom"/>
          </w:tcPr>
          <w:p>
            <w:pPr>
              <w:ind w:left="700"/>
              <w:spacing w:after="0"/>
              <w:rPr>
                <w:sz w:val="20"/>
                <w:szCs w:val="20"/>
                <w:color w:val="auto"/>
              </w:rPr>
            </w:pPr>
            <w:r>
              <w:rPr>
                <w:rFonts w:ascii="Arial" w:cs="Arial" w:eastAsia="Arial" w:hAnsi="Arial"/>
                <w:sz w:val="18"/>
                <w:szCs w:val="18"/>
                <w:color w:val="auto"/>
              </w:rPr>
              <w:t>[Reserved]</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8980" w:type="dxa"/>
            <w:vAlign w:val="bottom"/>
          </w:tcPr>
          <w:p>
            <w:pPr>
              <w:ind w:left="700"/>
              <w:spacing w:after="0"/>
              <w:rPr>
                <w:sz w:val="20"/>
                <w:szCs w:val="20"/>
                <w:color w:val="auto"/>
              </w:rPr>
            </w:pPr>
            <w:r>
              <w:rPr>
                <w:rFonts w:ascii="Arial" w:cs="Arial" w:eastAsia="Arial" w:hAnsi="Arial"/>
                <w:sz w:val="18"/>
                <w:szCs w:val="18"/>
                <w:color w:val="auto"/>
              </w:rPr>
              <w:t>Extension of Termination Date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8980" w:type="dxa"/>
            <w:vAlign w:val="bottom"/>
          </w:tcPr>
          <w:p>
            <w:pPr>
              <w:ind w:left="700"/>
              <w:spacing w:after="0"/>
              <w:rPr>
                <w:sz w:val="20"/>
                <w:szCs w:val="20"/>
                <w:color w:val="auto"/>
              </w:rPr>
            </w:pPr>
            <w:r>
              <w:rPr>
                <w:rFonts w:ascii="Arial" w:cs="Arial" w:eastAsia="Arial" w:hAnsi="Arial"/>
                <w:sz w:val="18"/>
                <w:szCs w:val="18"/>
                <w:color w:val="auto"/>
              </w:rPr>
              <w:t>Increase in Commitments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8980" w:type="dxa"/>
            <w:vAlign w:val="bottom"/>
          </w:tcPr>
          <w:p>
            <w:pPr>
              <w:ind w:left="700"/>
              <w:spacing w:after="0"/>
              <w:rPr>
                <w:sz w:val="20"/>
                <w:szCs w:val="20"/>
                <w:color w:val="auto"/>
              </w:rPr>
            </w:pPr>
            <w:r>
              <w:rPr>
                <w:rFonts w:ascii="Arial" w:cs="Arial" w:eastAsia="Arial" w:hAnsi="Arial"/>
                <w:sz w:val="18"/>
                <w:szCs w:val="18"/>
                <w:color w:val="auto"/>
              </w:rPr>
              <w:t>Discount Rates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ARTICLE II.</w:t>
            </w:r>
          </w:p>
        </w:tc>
        <w:tc>
          <w:tcPr>
            <w:tcW w:w="8980" w:type="dxa"/>
            <w:vAlign w:val="bottom"/>
          </w:tcPr>
          <w:p>
            <w:pPr>
              <w:ind w:left="340"/>
              <w:spacing w:after="0"/>
              <w:rPr>
                <w:sz w:val="20"/>
                <w:szCs w:val="20"/>
                <w:color w:val="auto"/>
              </w:rPr>
            </w:pPr>
            <w:r>
              <w:rPr>
                <w:rFonts w:ascii="Arial" w:cs="Arial" w:eastAsia="Arial" w:hAnsi="Arial"/>
                <w:sz w:val="18"/>
                <w:szCs w:val="18"/>
                <w:color w:val="auto"/>
              </w:rPr>
              <w:t>REPRESENTATIONS AND WARRANTIES; COVENANTS; TERMINATION EVENTS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162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8980" w:type="dxa"/>
            <w:vAlign w:val="bottom"/>
          </w:tcPr>
          <w:p>
            <w:pPr>
              <w:ind w:left="700"/>
              <w:spacing w:after="0"/>
              <w:rPr>
                <w:sz w:val="20"/>
                <w:szCs w:val="20"/>
                <w:color w:val="auto"/>
              </w:rPr>
            </w:pPr>
            <w:r>
              <w:rPr>
                <w:rFonts w:ascii="Arial" w:cs="Arial" w:eastAsia="Arial" w:hAnsi="Arial"/>
                <w:sz w:val="18"/>
                <w:szCs w:val="18"/>
                <w:color w:val="auto"/>
              </w:rPr>
              <w:t>Representations and Warranties; Covenants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8980" w:type="dxa"/>
            <w:vAlign w:val="bottom"/>
          </w:tcPr>
          <w:p>
            <w:pPr>
              <w:ind w:left="700"/>
              <w:spacing w:after="0"/>
              <w:rPr>
                <w:sz w:val="20"/>
                <w:szCs w:val="20"/>
                <w:color w:val="auto"/>
              </w:rPr>
            </w:pPr>
            <w:r>
              <w:rPr>
                <w:rFonts w:ascii="Arial" w:cs="Arial" w:eastAsia="Arial" w:hAnsi="Arial"/>
                <w:sz w:val="18"/>
                <w:szCs w:val="18"/>
                <w:color w:val="auto"/>
              </w:rPr>
              <w:t>Termination Events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ARTICLE III.</w:t>
            </w:r>
          </w:p>
        </w:tc>
        <w:tc>
          <w:tcPr>
            <w:tcW w:w="8980" w:type="dxa"/>
            <w:vAlign w:val="bottom"/>
          </w:tcPr>
          <w:p>
            <w:pPr>
              <w:ind w:left="340"/>
              <w:spacing w:after="0"/>
              <w:rPr>
                <w:sz w:val="20"/>
                <w:szCs w:val="20"/>
                <w:color w:val="auto"/>
              </w:rPr>
            </w:pPr>
            <w:r>
              <w:rPr>
                <w:rFonts w:ascii="Arial" w:cs="Arial" w:eastAsia="Arial" w:hAnsi="Arial"/>
                <w:sz w:val="18"/>
                <w:szCs w:val="18"/>
                <w:color w:val="auto"/>
              </w:rPr>
              <w:t>INDEMNIFICATION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10"/>
        </w:trPr>
        <w:tc>
          <w:tcPr>
            <w:tcW w:w="162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8980" w:type="dxa"/>
            <w:vAlign w:val="bottom"/>
          </w:tcPr>
          <w:p>
            <w:pPr>
              <w:ind w:left="700"/>
              <w:spacing w:after="0"/>
              <w:rPr>
                <w:sz w:val="20"/>
                <w:szCs w:val="20"/>
                <w:color w:val="auto"/>
              </w:rPr>
            </w:pPr>
            <w:r>
              <w:rPr>
                <w:rFonts w:ascii="Arial" w:cs="Arial" w:eastAsia="Arial" w:hAnsi="Arial"/>
                <w:sz w:val="18"/>
                <w:szCs w:val="18"/>
                <w:color w:val="auto"/>
              </w:rPr>
              <w:t>Indemnities by the Seller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8980" w:type="dxa"/>
            <w:vAlign w:val="bottom"/>
          </w:tcPr>
          <w:p>
            <w:pPr>
              <w:ind w:left="700"/>
              <w:spacing w:after="0"/>
              <w:rPr>
                <w:sz w:val="20"/>
                <w:szCs w:val="20"/>
                <w:color w:val="auto"/>
              </w:rPr>
            </w:pPr>
            <w:r>
              <w:rPr>
                <w:rFonts w:ascii="Arial" w:cs="Arial" w:eastAsia="Arial" w:hAnsi="Arial"/>
                <w:sz w:val="18"/>
                <w:szCs w:val="18"/>
                <w:color w:val="auto"/>
              </w:rPr>
              <w:t>Indemnities by the Servicer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ARTICLE IV.</w:t>
            </w:r>
          </w:p>
        </w:tc>
        <w:tc>
          <w:tcPr>
            <w:tcW w:w="8980" w:type="dxa"/>
            <w:vAlign w:val="bottom"/>
          </w:tcPr>
          <w:p>
            <w:pPr>
              <w:ind w:left="340"/>
              <w:spacing w:after="0"/>
              <w:rPr>
                <w:sz w:val="20"/>
                <w:szCs w:val="20"/>
                <w:color w:val="auto"/>
              </w:rPr>
            </w:pPr>
            <w:r>
              <w:rPr>
                <w:rFonts w:ascii="Arial" w:cs="Arial" w:eastAsia="Arial" w:hAnsi="Arial"/>
                <w:sz w:val="18"/>
                <w:szCs w:val="18"/>
                <w:color w:val="auto"/>
              </w:rPr>
              <w:t>ADMINISTRATION AND COLLECTIONS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310"/>
        </w:trPr>
        <w:tc>
          <w:tcPr>
            <w:tcW w:w="162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8980" w:type="dxa"/>
            <w:vAlign w:val="bottom"/>
          </w:tcPr>
          <w:p>
            <w:pPr>
              <w:ind w:left="700"/>
              <w:spacing w:after="0"/>
              <w:rPr>
                <w:sz w:val="20"/>
                <w:szCs w:val="20"/>
                <w:color w:val="auto"/>
              </w:rPr>
            </w:pPr>
            <w:r>
              <w:rPr>
                <w:rFonts w:ascii="Arial" w:cs="Arial" w:eastAsia="Arial" w:hAnsi="Arial"/>
                <w:sz w:val="18"/>
                <w:szCs w:val="18"/>
                <w:color w:val="auto"/>
              </w:rPr>
              <w:t>Appointment of the Servicer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8980" w:type="dxa"/>
            <w:vAlign w:val="bottom"/>
          </w:tcPr>
          <w:p>
            <w:pPr>
              <w:ind w:left="700"/>
              <w:spacing w:after="0"/>
              <w:rPr>
                <w:sz w:val="20"/>
                <w:szCs w:val="20"/>
                <w:color w:val="auto"/>
              </w:rPr>
            </w:pPr>
            <w:r>
              <w:rPr>
                <w:rFonts w:ascii="Arial" w:cs="Arial" w:eastAsia="Arial" w:hAnsi="Arial"/>
                <w:sz w:val="18"/>
                <w:szCs w:val="18"/>
                <w:color w:val="auto"/>
              </w:rPr>
              <w:t>Duties of the Servicer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8980" w:type="dxa"/>
            <w:vAlign w:val="bottom"/>
          </w:tcPr>
          <w:p>
            <w:pPr>
              <w:ind w:left="700"/>
              <w:spacing w:after="0"/>
              <w:rPr>
                <w:sz w:val="20"/>
                <w:szCs w:val="20"/>
                <w:color w:val="auto"/>
              </w:rPr>
            </w:pPr>
            <w:r>
              <w:rPr>
                <w:rFonts w:ascii="Arial" w:cs="Arial" w:eastAsia="Arial" w:hAnsi="Arial"/>
                <w:sz w:val="18"/>
                <w:szCs w:val="18"/>
                <w:color w:val="auto"/>
              </w:rPr>
              <w:t>Lock-Box Account Arrangements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8980" w:type="dxa"/>
            <w:vAlign w:val="bottom"/>
          </w:tcPr>
          <w:p>
            <w:pPr>
              <w:ind w:left="700"/>
              <w:spacing w:after="0"/>
              <w:rPr>
                <w:sz w:val="20"/>
                <w:szCs w:val="20"/>
                <w:color w:val="auto"/>
              </w:rPr>
            </w:pPr>
            <w:r>
              <w:rPr>
                <w:rFonts w:ascii="Arial" w:cs="Arial" w:eastAsia="Arial" w:hAnsi="Arial"/>
                <w:sz w:val="18"/>
                <w:szCs w:val="18"/>
                <w:color w:val="auto"/>
              </w:rPr>
              <w:t>Enforcement Rights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8980" w:type="dxa"/>
            <w:vAlign w:val="bottom"/>
          </w:tcPr>
          <w:p>
            <w:pPr>
              <w:ind w:left="700"/>
              <w:spacing w:after="0"/>
              <w:rPr>
                <w:sz w:val="20"/>
                <w:szCs w:val="20"/>
                <w:color w:val="auto"/>
              </w:rPr>
            </w:pPr>
            <w:r>
              <w:rPr>
                <w:rFonts w:ascii="Arial" w:cs="Arial" w:eastAsia="Arial" w:hAnsi="Arial"/>
                <w:sz w:val="18"/>
                <w:szCs w:val="18"/>
                <w:color w:val="auto"/>
              </w:rPr>
              <w:t>Responsibilities of the Seller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8980" w:type="dxa"/>
            <w:vAlign w:val="bottom"/>
          </w:tcPr>
          <w:p>
            <w:pPr>
              <w:ind w:left="700"/>
              <w:spacing w:after="0"/>
              <w:rPr>
                <w:sz w:val="20"/>
                <w:szCs w:val="20"/>
                <w:color w:val="auto"/>
              </w:rPr>
            </w:pPr>
            <w:r>
              <w:rPr>
                <w:rFonts w:ascii="Arial" w:cs="Arial" w:eastAsia="Arial" w:hAnsi="Arial"/>
                <w:sz w:val="18"/>
                <w:szCs w:val="18"/>
                <w:color w:val="auto"/>
              </w:rPr>
              <w:t>Servicing Fee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8980" w:type="dxa"/>
            <w:vAlign w:val="bottom"/>
          </w:tcPr>
          <w:p>
            <w:pPr>
              <w:ind w:left="700"/>
              <w:spacing w:after="0"/>
              <w:rPr>
                <w:sz w:val="20"/>
                <w:szCs w:val="20"/>
                <w:color w:val="auto"/>
              </w:rPr>
            </w:pPr>
            <w:r>
              <w:rPr>
                <w:rFonts w:ascii="Arial" w:cs="Arial" w:eastAsia="Arial" w:hAnsi="Arial"/>
                <w:sz w:val="18"/>
                <w:szCs w:val="18"/>
                <w:color w:val="auto"/>
              </w:rPr>
              <w:t>[Reserved]</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190"/>
        </w:trPr>
        <w:tc>
          <w:tcPr>
            <w:tcW w:w="1620" w:type="dxa"/>
            <w:vAlign w:val="bottom"/>
          </w:tcPr>
          <w:p>
            <w:pPr>
              <w:ind w:left="360"/>
              <w:spacing w:after="0" w:line="190" w:lineRule="exact"/>
              <w:rPr>
                <w:sz w:val="20"/>
                <w:szCs w:val="20"/>
                <w:color w:val="auto"/>
              </w:rPr>
            </w:pPr>
            <w:r>
              <w:rPr>
                <w:rFonts w:ascii="Arial" w:cs="Arial" w:eastAsia="Arial" w:hAnsi="Arial"/>
                <w:sz w:val="18"/>
                <w:szCs w:val="18"/>
                <w:color w:val="auto"/>
              </w:rPr>
              <w:t>Section 4.8.</w:t>
            </w:r>
          </w:p>
        </w:tc>
        <w:tc>
          <w:tcPr>
            <w:tcW w:w="8980" w:type="dxa"/>
            <w:vAlign w:val="bottom"/>
          </w:tcPr>
          <w:p>
            <w:pPr>
              <w:ind w:left="700"/>
              <w:spacing w:after="0" w:line="190" w:lineRule="exact"/>
              <w:rPr>
                <w:sz w:val="20"/>
                <w:szCs w:val="20"/>
                <w:color w:val="auto"/>
              </w:rPr>
            </w:pPr>
            <w:r>
              <w:rPr>
                <w:rFonts w:ascii="Arial" w:cs="Arial" w:eastAsia="Arial" w:hAnsi="Arial"/>
                <w:sz w:val="18"/>
                <w:szCs w:val="18"/>
                <w:color w:val="auto"/>
              </w:rPr>
              <w:t>Erroneous Payment</w:t>
            </w:r>
          </w:p>
        </w:tc>
        <w:tc>
          <w:tcPr>
            <w:tcW w:w="180" w:type="dxa"/>
            <w:vAlign w:val="bottom"/>
          </w:tcPr>
          <w:p>
            <w:pPr>
              <w:spacing w:after="0" w:line="190" w:lineRule="exact"/>
              <w:rPr>
                <w:sz w:val="20"/>
                <w:szCs w:val="20"/>
                <w:color w:val="auto"/>
              </w:rPr>
            </w:pPr>
            <w:r>
              <w:rPr>
                <w:rFonts w:ascii="Arial" w:cs="Arial" w:eastAsia="Arial" w:hAnsi="Arial"/>
                <w:sz w:val="18"/>
                <w:szCs w:val="18"/>
                <w:color w:val="FF0000"/>
                <w:strike w:val="1"/>
                <w:w w:val="79"/>
              </w:rPr>
              <w:t>30</w:t>
            </w:r>
          </w:p>
        </w:tc>
        <w:tc>
          <w:tcPr>
            <w:tcW w:w="180" w:type="dxa"/>
            <w:vAlign w:val="bottom"/>
            <w:tcBorders>
              <w:bottom w:val="single" w:sz="8" w:color="0000FF"/>
            </w:tcBorders>
          </w:tcPr>
          <w:p>
            <w:pPr>
              <w:jc w:val="right"/>
              <w:spacing w:after="0" w:line="190" w:lineRule="exact"/>
              <w:rPr>
                <w:sz w:val="20"/>
                <w:szCs w:val="20"/>
                <w:color w:val="auto"/>
              </w:rPr>
            </w:pPr>
            <w:r>
              <w:rPr>
                <w:rFonts w:ascii="Arial" w:cs="Arial" w:eastAsia="Arial" w:hAnsi="Arial"/>
                <w:sz w:val="18"/>
                <w:szCs w:val="18"/>
                <w:color w:val="0000FF"/>
                <w:w w:val="79"/>
              </w:rPr>
              <w:t>30</w:t>
            </w:r>
          </w:p>
        </w:tc>
      </w:tr>
      <w:tr>
        <w:trPr>
          <w:trHeight w:val="34"/>
        </w:trPr>
        <w:tc>
          <w:tcPr>
            <w:tcW w:w="162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r>
      <w:tr>
        <w:trPr>
          <w:trHeight w:val="290"/>
        </w:trPr>
        <w:tc>
          <w:tcPr>
            <w:tcW w:w="1620" w:type="dxa"/>
            <w:vAlign w:val="bottom"/>
          </w:tcPr>
          <w:p>
            <w:pPr>
              <w:spacing w:after="0"/>
              <w:rPr>
                <w:sz w:val="20"/>
                <w:szCs w:val="20"/>
                <w:color w:val="auto"/>
              </w:rPr>
            </w:pPr>
            <w:r>
              <w:rPr>
                <w:rFonts w:ascii="Arial" w:cs="Arial" w:eastAsia="Arial" w:hAnsi="Arial"/>
                <w:sz w:val="18"/>
                <w:szCs w:val="18"/>
                <w:color w:val="auto"/>
              </w:rPr>
              <w:t>ARTICLE V.</w:t>
            </w:r>
          </w:p>
        </w:tc>
        <w:tc>
          <w:tcPr>
            <w:tcW w:w="8980" w:type="dxa"/>
            <w:vAlign w:val="bottom"/>
          </w:tcPr>
          <w:p>
            <w:pPr>
              <w:ind w:left="340"/>
              <w:spacing w:after="0"/>
              <w:rPr>
                <w:sz w:val="20"/>
                <w:szCs w:val="20"/>
                <w:color w:val="auto"/>
              </w:rPr>
            </w:pPr>
            <w:r>
              <w:rPr>
                <w:rFonts w:ascii="Arial" w:cs="Arial" w:eastAsia="Arial" w:hAnsi="Arial"/>
                <w:sz w:val="18"/>
                <w:szCs w:val="18"/>
                <w:color w:val="auto"/>
              </w:rPr>
              <w:t>THE AGENTS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162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8980" w:type="dxa"/>
            <w:vAlign w:val="bottom"/>
          </w:tcPr>
          <w:p>
            <w:pPr>
              <w:ind w:left="700"/>
              <w:spacing w:after="0"/>
              <w:rPr>
                <w:sz w:val="20"/>
                <w:szCs w:val="20"/>
                <w:color w:val="auto"/>
              </w:rPr>
            </w:pPr>
            <w:r>
              <w:rPr>
                <w:rFonts w:ascii="Arial" w:cs="Arial" w:eastAsia="Arial" w:hAnsi="Arial"/>
                <w:sz w:val="18"/>
                <w:szCs w:val="18"/>
                <w:color w:val="auto"/>
              </w:rPr>
              <w:t>Appointment and Authorization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8980" w:type="dxa"/>
            <w:vAlign w:val="bottom"/>
          </w:tcPr>
          <w:p>
            <w:pPr>
              <w:ind w:left="700"/>
              <w:spacing w:after="0"/>
              <w:rPr>
                <w:sz w:val="20"/>
                <w:szCs w:val="20"/>
                <w:color w:val="auto"/>
              </w:rPr>
            </w:pPr>
            <w:r>
              <w:rPr>
                <w:rFonts w:ascii="Arial" w:cs="Arial" w:eastAsia="Arial" w:hAnsi="Arial"/>
                <w:sz w:val="18"/>
                <w:szCs w:val="18"/>
                <w:color w:val="auto"/>
              </w:rPr>
              <w:t>Delegation of Duties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8980" w:type="dxa"/>
            <w:vAlign w:val="bottom"/>
          </w:tcPr>
          <w:p>
            <w:pPr>
              <w:ind w:left="700"/>
              <w:spacing w:after="0"/>
              <w:rPr>
                <w:sz w:val="20"/>
                <w:szCs w:val="20"/>
                <w:color w:val="auto"/>
              </w:rPr>
            </w:pPr>
            <w:r>
              <w:rPr>
                <w:rFonts w:ascii="Arial" w:cs="Arial" w:eastAsia="Arial" w:hAnsi="Arial"/>
                <w:sz w:val="18"/>
                <w:szCs w:val="18"/>
                <w:color w:val="auto"/>
              </w:rPr>
              <w:t>Exculpatory Provisions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8980" w:type="dxa"/>
            <w:vAlign w:val="bottom"/>
          </w:tcPr>
          <w:p>
            <w:pPr>
              <w:ind w:left="700"/>
              <w:spacing w:after="0"/>
              <w:rPr>
                <w:sz w:val="20"/>
                <w:szCs w:val="20"/>
                <w:color w:val="auto"/>
              </w:rPr>
            </w:pPr>
            <w:r>
              <w:rPr>
                <w:rFonts w:ascii="Arial" w:cs="Arial" w:eastAsia="Arial" w:hAnsi="Arial"/>
                <w:sz w:val="18"/>
                <w:szCs w:val="18"/>
                <w:color w:val="auto"/>
              </w:rPr>
              <w:t>Reliance by Agents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8980" w:type="dxa"/>
            <w:vAlign w:val="bottom"/>
          </w:tcPr>
          <w:p>
            <w:pPr>
              <w:ind w:left="700"/>
              <w:spacing w:after="0"/>
              <w:rPr>
                <w:sz w:val="20"/>
                <w:szCs w:val="20"/>
                <w:color w:val="auto"/>
              </w:rPr>
            </w:pPr>
            <w:r>
              <w:rPr>
                <w:rFonts w:ascii="Arial" w:cs="Arial" w:eastAsia="Arial" w:hAnsi="Arial"/>
                <w:sz w:val="18"/>
                <w:szCs w:val="18"/>
                <w:color w:val="auto"/>
              </w:rPr>
              <w:t>[Reserved]</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8980" w:type="dxa"/>
            <w:vAlign w:val="bottom"/>
          </w:tcPr>
          <w:p>
            <w:pPr>
              <w:ind w:left="700"/>
              <w:spacing w:after="0"/>
              <w:rPr>
                <w:sz w:val="20"/>
                <w:szCs w:val="20"/>
                <w:color w:val="auto"/>
              </w:rPr>
            </w:pPr>
            <w:r>
              <w:rPr>
                <w:rFonts w:ascii="Arial" w:cs="Arial" w:eastAsia="Arial" w:hAnsi="Arial"/>
                <w:sz w:val="18"/>
                <w:szCs w:val="18"/>
                <w:color w:val="auto"/>
              </w:rPr>
              <w:t>Notice of Termination Events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33</w:t>
            </w:r>
          </w:p>
        </w:tc>
      </w:tr>
    </w:tbl>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192" w:name="page193"/>
    <w:bookmarkEnd w:id="19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380" w:type="dxa"/>
            <w:vAlign w:val="bottom"/>
            <w:gridSpan w:val="4"/>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8980" w:type="dxa"/>
            <w:vAlign w:val="bottom"/>
          </w:tcPr>
          <w:p>
            <w:pPr>
              <w:ind w:left="700"/>
              <w:spacing w:after="0"/>
              <w:rPr>
                <w:sz w:val="20"/>
                <w:szCs w:val="20"/>
                <w:color w:val="auto"/>
              </w:rPr>
            </w:pPr>
            <w:r>
              <w:rPr>
                <w:rFonts w:ascii="Arial" w:cs="Arial" w:eastAsia="Arial" w:hAnsi="Arial"/>
                <w:sz w:val="18"/>
                <w:szCs w:val="18"/>
                <w:color w:val="auto"/>
              </w:rPr>
              <w:t>Non-Reliance on Administrator, Purchaser Agents and Other Purchasers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8980" w:type="dxa"/>
            <w:vAlign w:val="bottom"/>
          </w:tcPr>
          <w:p>
            <w:pPr>
              <w:ind w:left="700"/>
              <w:spacing w:after="0"/>
              <w:rPr>
                <w:sz w:val="20"/>
                <w:szCs w:val="20"/>
                <w:color w:val="auto"/>
              </w:rPr>
            </w:pPr>
            <w:r>
              <w:rPr>
                <w:rFonts w:ascii="Arial" w:cs="Arial" w:eastAsia="Arial" w:hAnsi="Arial"/>
                <w:sz w:val="18"/>
                <w:szCs w:val="18"/>
                <w:color w:val="auto"/>
              </w:rPr>
              <w:t>Administrators and Affiliates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8980" w:type="dxa"/>
            <w:vAlign w:val="bottom"/>
          </w:tcPr>
          <w:p>
            <w:pPr>
              <w:ind w:left="700"/>
              <w:spacing w:after="0"/>
              <w:rPr>
                <w:sz w:val="20"/>
                <w:szCs w:val="20"/>
                <w:color w:val="auto"/>
              </w:rPr>
            </w:pPr>
            <w:r>
              <w:rPr>
                <w:rFonts w:ascii="Arial" w:cs="Arial" w:eastAsia="Arial" w:hAnsi="Arial"/>
                <w:sz w:val="18"/>
                <w:szCs w:val="18"/>
                <w:color w:val="auto"/>
              </w:rPr>
              <w:t>Indemnification</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8980" w:type="dxa"/>
            <w:vAlign w:val="bottom"/>
          </w:tcPr>
          <w:p>
            <w:pPr>
              <w:ind w:left="700"/>
              <w:spacing w:after="0"/>
              <w:rPr>
                <w:sz w:val="20"/>
                <w:szCs w:val="20"/>
                <w:color w:val="auto"/>
              </w:rPr>
            </w:pPr>
            <w:r>
              <w:rPr>
                <w:rFonts w:ascii="Arial" w:cs="Arial" w:eastAsia="Arial" w:hAnsi="Arial"/>
                <w:sz w:val="18"/>
                <w:szCs w:val="18"/>
                <w:color w:val="auto"/>
              </w:rPr>
              <w:t>Successor Administrator</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ARTICLE VI.</w:t>
            </w:r>
          </w:p>
        </w:tc>
        <w:tc>
          <w:tcPr>
            <w:tcW w:w="8980" w:type="dxa"/>
            <w:vAlign w:val="bottom"/>
          </w:tcPr>
          <w:p>
            <w:pPr>
              <w:ind w:left="340"/>
              <w:spacing w:after="0"/>
              <w:rPr>
                <w:sz w:val="20"/>
                <w:szCs w:val="20"/>
                <w:color w:val="auto"/>
              </w:rPr>
            </w:pPr>
            <w:r>
              <w:rPr>
                <w:rFonts w:ascii="Arial" w:cs="Arial" w:eastAsia="Arial" w:hAnsi="Arial"/>
                <w:sz w:val="18"/>
                <w:szCs w:val="18"/>
                <w:color w:val="auto"/>
              </w:rPr>
              <w:t>MISCELLANEOUS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10"/>
        </w:trPr>
        <w:tc>
          <w:tcPr>
            <w:tcW w:w="162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8980" w:type="dxa"/>
            <w:vAlign w:val="bottom"/>
          </w:tcPr>
          <w:p>
            <w:pPr>
              <w:ind w:left="700"/>
              <w:spacing w:after="0"/>
              <w:rPr>
                <w:sz w:val="20"/>
                <w:szCs w:val="20"/>
                <w:color w:val="auto"/>
              </w:rPr>
            </w:pPr>
            <w:r>
              <w:rPr>
                <w:rFonts w:ascii="Arial" w:cs="Arial" w:eastAsia="Arial" w:hAnsi="Arial"/>
                <w:sz w:val="18"/>
                <w:szCs w:val="18"/>
                <w:color w:val="auto"/>
              </w:rPr>
              <w:t>Amendments, Etc.</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8980" w:type="dxa"/>
            <w:vAlign w:val="bottom"/>
          </w:tcPr>
          <w:p>
            <w:pPr>
              <w:ind w:left="700"/>
              <w:spacing w:after="0"/>
              <w:rPr>
                <w:sz w:val="20"/>
                <w:szCs w:val="20"/>
                <w:color w:val="auto"/>
              </w:rPr>
            </w:pPr>
            <w:r>
              <w:rPr>
                <w:rFonts w:ascii="Arial" w:cs="Arial" w:eastAsia="Arial" w:hAnsi="Arial"/>
                <w:sz w:val="18"/>
                <w:szCs w:val="18"/>
                <w:color w:val="auto"/>
              </w:rPr>
              <w:t>Notices, Etc.</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8980" w:type="dxa"/>
            <w:vAlign w:val="bottom"/>
          </w:tcPr>
          <w:p>
            <w:pPr>
              <w:ind w:left="700"/>
              <w:spacing w:after="0"/>
              <w:rPr>
                <w:sz w:val="20"/>
                <w:szCs w:val="20"/>
                <w:color w:val="auto"/>
              </w:rPr>
            </w:pPr>
            <w:r>
              <w:rPr>
                <w:rFonts w:ascii="Arial" w:cs="Arial" w:eastAsia="Arial" w:hAnsi="Arial"/>
                <w:sz w:val="18"/>
                <w:szCs w:val="18"/>
                <w:color w:val="auto"/>
              </w:rPr>
              <w:t>Successors and Assigns; Participations; Assignments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0"/>
        </w:trPr>
        <w:tc>
          <w:tcPr>
            <w:tcW w:w="1620" w:type="dxa"/>
            <w:vAlign w:val="bottom"/>
          </w:tcPr>
          <w:p>
            <w:pPr>
              <w:ind w:left="360"/>
              <w:spacing w:after="0" w:line="190" w:lineRule="exact"/>
              <w:rPr>
                <w:sz w:val="20"/>
                <w:szCs w:val="20"/>
                <w:color w:val="auto"/>
              </w:rPr>
            </w:pPr>
            <w:r>
              <w:rPr>
                <w:rFonts w:ascii="Arial" w:cs="Arial" w:eastAsia="Arial" w:hAnsi="Arial"/>
                <w:sz w:val="18"/>
                <w:szCs w:val="18"/>
                <w:color w:val="auto"/>
              </w:rPr>
              <w:t>Section 6.4.</w:t>
            </w:r>
          </w:p>
        </w:tc>
        <w:tc>
          <w:tcPr>
            <w:tcW w:w="8980" w:type="dxa"/>
            <w:vAlign w:val="bottom"/>
          </w:tcPr>
          <w:p>
            <w:pPr>
              <w:ind w:left="700"/>
              <w:spacing w:after="0" w:line="190" w:lineRule="exact"/>
              <w:rPr>
                <w:sz w:val="20"/>
                <w:szCs w:val="20"/>
                <w:color w:val="auto"/>
              </w:rPr>
            </w:pPr>
            <w:r>
              <w:rPr>
                <w:rFonts w:ascii="Arial" w:cs="Arial" w:eastAsia="Arial" w:hAnsi="Arial"/>
                <w:sz w:val="18"/>
                <w:szCs w:val="18"/>
                <w:color w:val="auto"/>
              </w:rPr>
              <w:t>Costs, Expenses and Taxes</w:t>
            </w:r>
          </w:p>
        </w:tc>
        <w:tc>
          <w:tcPr>
            <w:tcW w:w="180" w:type="dxa"/>
            <w:vAlign w:val="bottom"/>
          </w:tcPr>
          <w:p>
            <w:pPr>
              <w:spacing w:after="0" w:line="190" w:lineRule="exact"/>
              <w:rPr>
                <w:sz w:val="20"/>
                <w:szCs w:val="20"/>
                <w:color w:val="auto"/>
              </w:rPr>
            </w:pPr>
            <w:r>
              <w:rPr>
                <w:rFonts w:ascii="Arial" w:cs="Arial" w:eastAsia="Arial" w:hAnsi="Arial"/>
                <w:sz w:val="18"/>
                <w:szCs w:val="18"/>
                <w:color w:val="FF0000"/>
                <w:strike w:val="1"/>
                <w:w w:val="79"/>
              </w:rPr>
              <w:t>38</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38</w:t>
            </w: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rPr>
                <w:sz w:val="20"/>
                <w:szCs w:val="20"/>
                <w:color w:val="auto"/>
              </w:rPr>
            </w:pPr>
            <w:r>
              <w:rPr>
                <w:rFonts w:ascii="Arial" w:cs="Arial" w:eastAsia="Arial" w:hAnsi="Arial"/>
                <w:sz w:val="18"/>
                <w:szCs w:val="18"/>
                <w:color w:val="auto"/>
              </w:rPr>
              <w:t>Section 6.5.</w:t>
            </w:r>
          </w:p>
        </w:tc>
        <w:tc>
          <w:tcPr>
            <w:tcW w:w="8980" w:type="dxa"/>
            <w:vAlign w:val="bottom"/>
            <w:vMerge w:val="restart"/>
          </w:tcPr>
          <w:p>
            <w:pPr>
              <w:ind w:left="700"/>
              <w:spacing w:after="0"/>
              <w:rPr>
                <w:sz w:val="20"/>
                <w:szCs w:val="20"/>
                <w:color w:val="auto"/>
              </w:rPr>
            </w:pPr>
            <w:r>
              <w:rPr>
                <w:rFonts w:ascii="Arial" w:cs="Arial" w:eastAsia="Arial" w:hAnsi="Arial"/>
                <w:sz w:val="18"/>
                <w:szCs w:val="18"/>
                <w:color w:val="auto"/>
              </w:rPr>
              <w:t>No Proceedings; Limitation on Payments</w:t>
            </w:r>
          </w:p>
        </w:tc>
        <w:tc>
          <w:tcPr>
            <w:tcW w:w="18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20" w:type="dxa"/>
            <w:vAlign w:val="bottom"/>
            <w:vMerge w:val="continue"/>
          </w:tcPr>
          <w:p>
            <w:pPr>
              <w:spacing w:after="0"/>
              <w:rPr>
                <w:sz w:val="14"/>
                <w:szCs w:val="14"/>
                <w:color w:val="auto"/>
              </w:rPr>
            </w:pPr>
          </w:p>
        </w:tc>
        <w:tc>
          <w:tcPr>
            <w:tcW w:w="89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38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8980" w:type="dxa"/>
            <w:vAlign w:val="bottom"/>
          </w:tcPr>
          <w:p>
            <w:pPr>
              <w:ind w:left="700"/>
              <w:spacing w:after="0"/>
              <w:rPr>
                <w:sz w:val="20"/>
                <w:szCs w:val="20"/>
                <w:color w:val="auto"/>
              </w:rPr>
            </w:pPr>
            <w:r>
              <w:rPr>
                <w:rFonts w:ascii="Arial" w:cs="Arial" w:eastAsia="Arial" w:hAnsi="Arial"/>
                <w:sz w:val="18"/>
                <w:szCs w:val="18"/>
                <w:color w:val="auto"/>
              </w:rPr>
              <w:t>GOVERNING LAW AND JURISDICTION</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8980" w:type="dxa"/>
            <w:vAlign w:val="bottom"/>
          </w:tcPr>
          <w:p>
            <w:pPr>
              <w:ind w:left="700"/>
              <w:spacing w:after="0"/>
              <w:rPr>
                <w:sz w:val="20"/>
                <w:szCs w:val="20"/>
                <w:color w:val="auto"/>
              </w:rPr>
            </w:pPr>
            <w:r>
              <w:rPr>
                <w:rFonts w:ascii="Arial" w:cs="Arial" w:eastAsia="Arial" w:hAnsi="Arial"/>
                <w:sz w:val="18"/>
                <w:szCs w:val="18"/>
                <w:color w:val="auto"/>
              </w:rPr>
              <w:t>Execution in Counterparts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8980" w:type="dxa"/>
            <w:vAlign w:val="bottom"/>
          </w:tcPr>
          <w:p>
            <w:pPr>
              <w:ind w:left="700"/>
              <w:spacing w:after="0"/>
              <w:rPr>
                <w:sz w:val="20"/>
                <w:szCs w:val="20"/>
                <w:color w:val="auto"/>
              </w:rPr>
            </w:pPr>
            <w:r>
              <w:rPr>
                <w:rFonts w:ascii="Arial" w:cs="Arial" w:eastAsia="Arial" w:hAnsi="Arial"/>
                <w:sz w:val="18"/>
                <w:szCs w:val="18"/>
                <w:color w:val="auto"/>
              </w:rPr>
              <w:t>Survival of Termination</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8980" w:type="dxa"/>
            <w:vAlign w:val="bottom"/>
          </w:tcPr>
          <w:p>
            <w:pPr>
              <w:ind w:left="700"/>
              <w:spacing w:after="0"/>
              <w:rPr>
                <w:sz w:val="20"/>
                <w:szCs w:val="20"/>
                <w:color w:val="auto"/>
              </w:rPr>
            </w:pPr>
            <w:r>
              <w:rPr>
                <w:rFonts w:ascii="Arial" w:cs="Arial" w:eastAsia="Arial" w:hAnsi="Arial"/>
                <w:sz w:val="18"/>
                <w:szCs w:val="18"/>
                <w:color w:val="auto"/>
              </w:rPr>
              <w:t>WAIVER OF JURY TRIAL</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8980" w:type="dxa"/>
            <w:vAlign w:val="bottom"/>
          </w:tcPr>
          <w:p>
            <w:pPr>
              <w:ind w:left="700"/>
              <w:spacing w:after="0"/>
              <w:rPr>
                <w:sz w:val="20"/>
                <w:szCs w:val="20"/>
                <w:color w:val="auto"/>
              </w:rPr>
            </w:pPr>
            <w:r>
              <w:rPr>
                <w:rFonts w:ascii="Arial" w:cs="Arial" w:eastAsia="Arial" w:hAnsi="Arial"/>
                <w:sz w:val="18"/>
                <w:szCs w:val="18"/>
                <w:color w:val="auto"/>
              </w:rPr>
              <w:t>Sharing of Recoveries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8980" w:type="dxa"/>
            <w:vAlign w:val="bottom"/>
          </w:tcPr>
          <w:p>
            <w:pPr>
              <w:ind w:left="700"/>
              <w:spacing w:after="0"/>
              <w:rPr>
                <w:sz w:val="20"/>
                <w:szCs w:val="20"/>
                <w:color w:val="auto"/>
              </w:rPr>
            </w:pPr>
            <w:r>
              <w:rPr>
                <w:rFonts w:ascii="Arial" w:cs="Arial" w:eastAsia="Arial" w:hAnsi="Arial"/>
                <w:sz w:val="18"/>
                <w:szCs w:val="18"/>
                <w:color w:val="auto"/>
              </w:rPr>
              <w:t>Right of Setoff</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8980" w:type="dxa"/>
            <w:vAlign w:val="bottom"/>
          </w:tcPr>
          <w:p>
            <w:pPr>
              <w:ind w:left="700"/>
              <w:spacing w:after="0"/>
              <w:rPr>
                <w:sz w:val="20"/>
                <w:szCs w:val="20"/>
                <w:color w:val="auto"/>
              </w:rPr>
            </w:pPr>
            <w:r>
              <w:rPr>
                <w:rFonts w:ascii="Arial" w:cs="Arial" w:eastAsia="Arial" w:hAnsi="Arial"/>
                <w:sz w:val="18"/>
                <w:szCs w:val="18"/>
                <w:color w:val="auto"/>
              </w:rPr>
              <w:t>Entire Agreement</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8980" w:type="dxa"/>
            <w:vAlign w:val="bottom"/>
          </w:tcPr>
          <w:p>
            <w:pPr>
              <w:ind w:left="700"/>
              <w:spacing w:after="0"/>
              <w:rPr>
                <w:sz w:val="20"/>
                <w:szCs w:val="20"/>
                <w:color w:val="auto"/>
              </w:rPr>
            </w:pPr>
            <w:r>
              <w:rPr>
                <w:rFonts w:ascii="Arial" w:cs="Arial" w:eastAsia="Arial" w:hAnsi="Arial"/>
                <w:sz w:val="18"/>
                <w:szCs w:val="18"/>
                <w:color w:val="auto"/>
              </w:rPr>
              <w:t>Headings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8980" w:type="dxa"/>
            <w:vAlign w:val="bottom"/>
          </w:tcPr>
          <w:p>
            <w:pPr>
              <w:ind w:left="700"/>
              <w:spacing w:after="0"/>
              <w:rPr>
                <w:sz w:val="20"/>
                <w:szCs w:val="20"/>
                <w:color w:val="auto"/>
              </w:rPr>
            </w:pPr>
            <w:r>
              <w:rPr>
                <w:rFonts w:ascii="Arial" w:cs="Arial" w:eastAsia="Arial" w:hAnsi="Arial"/>
                <w:sz w:val="18"/>
                <w:szCs w:val="18"/>
                <w:color w:val="auto"/>
              </w:rPr>
              <w:t>Purchaser Groups’ Liabilities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0"/>
        </w:trPr>
        <w:tc>
          <w:tcPr>
            <w:tcW w:w="1620" w:type="dxa"/>
            <w:vAlign w:val="bottom"/>
          </w:tcPr>
          <w:p>
            <w:pPr>
              <w:ind w:left="360"/>
              <w:spacing w:after="0" w:line="190" w:lineRule="exact"/>
              <w:rPr>
                <w:sz w:val="20"/>
                <w:szCs w:val="20"/>
                <w:color w:val="auto"/>
              </w:rPr>
            </w:pPr>
            <w:r>
              <w:rPr>
                <w:rFonts w:ascii="Arial" w:cs="Arial" w:eastAsia="Arial" w:hAnsi="Arial"/>
                <w:sz w:val="18"/>
                <w:szCs w:val="18"/>
                <w:color w:val="auto"/>
              </w:rPr>
              <w:t>Section 6.15.</w:t>
            </w:r>
          </w:p>
        </w:tc>
        <w:tc>
          <w:tcPr>
            <w:tcW w:w="8980" w:type="dxa"/>
            <w:vAlign w:val="bottom"/>
          </w:tcPr>
          <w:p>
            <w:pPr>
              <w:ind w:left="700"/>
              <w:spacing w:after="0" w:line="190" w:lineRule="exact"/>
              <w:rPr>
                <w:sz w:val="20"/>
                <w:szCs w:val="20"/>
                <w:color w:val="auto"/>
              </w:rPr>
            </w:pPr>
            <w:r>
              <w:rPr>
                <w:rFonts w:ascii="Arial" w:cs="Arial" w:eastAsia="Arial" w:hAnsi="Arial"/>
                <w:sz w:val="18"/>
                <w:szCs w:val="18"/>
                <w:color w:val="auto"/>
              </w:rPr>
              <w:t>Pledge to a Federal Reserve Bank</w:t>
            </w:r>
          </w:p>
        </w:tc>
        <w:tc>
          <w:tcPr>
            <w:tcW w:w="180" w:type="dxa"/>
            <w:vAlign w:val="bottom"/>
          </w:tcPr>
          <w:p>
            <w:pPr>
              <w:spacing w:after="0" w:line="190" w:lineRule="exact"/>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FF"/>
            </w:tcBorders>
            <w:gridSpan w:val="2"/>
          </w:tcPr>
          <w:p>
            <w:pPr>
              <w:jc w:val="right"/>
              <w:spacing w:after="0" w:line="190" w:lineRule="exact"/>
              <w:rPr>
                <w:sz w:val="20"/>
                <w:szCs w:val="20"/>
                <w:color w:val="auto"/>
              </w:rPr>
            </w:pPr>
            <w:r>
              <w:rPr>
                <w:rFonts w:ascii="Arial" w:cs="Arial" w:eastAsia="Arial" w:hAnsi="Arial"/>
                <w:sz w:val="18"/>
                <w:szCs w:val="18"/>
                <w:color w:val="0000FF"/>
                <w:w w:val="79"/>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rPr>
                <w:sz w:val="20"/>
                <w:szCs w:val="20"/>
                <w:color w:val="auto"/>
              </w:rPr>
            </w:pPr>
            <w:r>
              <w:rPr>
                <w:rFonts w:ascii="Arial" w:cs="Arial" w:eastAsia="Arial" w:hAnsi="Arial"/>
                <w:sz w:val="18"/>
                <w:szCs w:val="18"/>
                <w:color w:val="auto"/>
              </w:rPr>
              <w:t>Section 6.16.</w:t>
            </w:r>
          </w:p>
        </w:tc>
        <w:tc>
          <w:tcPr>
            <w:tcW w:w="8980" w:type="dxa"/>
            <w:vAlign w:val="bottom"/>
            <w:vMerge w:val="restart"/>
          </w:tcPr>
          <w:p>
            <w:pPr>
              <w:ind w:left="700"/>
              <w:spacing w:after="0"/>
              <w:rPr>
                <w:sz w:val="20"/>
                <w:szCs w:val="20"/>
                <w:color w:val="auto"/>
              </w:rPr>
            </w:pPr>
            <w:r>
              <w:rPr>
                <w:rFonts w:ascii="Arial" w:cs="Arial" w:eastAsia="Arial" w:hAnsi="Arial"/>
                <w:sz w:val="18"/>
                <w:szCs w:val="18"/>
                <w:color w:val="auto"/>
              </w:rPr>
              <w:t>Confidentiality</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20" w:type="dxa"/>
            <w:vAlign w:val="bottom"/>
            <w:vMerge w:val="continue"/>
          </w:tcPr>
          <w:p>
            <w:pPr>
              <w:spacing w:after="0"/>
              <w:rPr>
                <w:sz w:val="14"/>
                <w:szCs w:val="14"/>
                <w:color w:val="auto"/>
              </w:rPr>
            </w:pPr>
          </w:p>
        </w:tc>
        <w:tc>
          <w:tcPr>
            <w:tcW w:w="898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41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6.17.</w:t>
            </w:r>
          </w:p>
        </w:tc>
        <w:tc>
          <w:tcPr>
            <w:tcW w:w="8980" w:type="dxa"/>
            <w:vAlign w:val="bottom"/>
          </w:tcPr>
          <w:p>
            <w:pPr>
              <w:ind w:left="700"/>
              <w:spacing w:after="0"/>
              <w:rPr>
                <w:sz w:val="20"/>
                <w:szCs w:val="20"/>
                <w:color w:val="auto"/>
              </w:rPr>
            </w:pPr>
            <w:r>
              <w:rPr>
                <w:rFonts w:ascii="Arial" w:cs="Arial" w:eastAsia="Arial" w:hAnsi="Arial"/>
                <w:sz w:val="18"/>
                <w:szCs w:val="18"/>
                <w:color w:val="auto"/>
              </w:rPr>
              <w:t>Mutual Negotiations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6.18.</w:t>
            </w:r>
          </w:p>
        </w:tc>
        <w:tc>
          <w:tcPr>
            <w:tcW w:w="8980" w:type="dxa"/>
            <w:vAlign w:val="bottom"/>
          </w:tcPr>
          <w:p>
            <w:pPr>
              <w:ind w:left="700"/>
              <w:spacing w:after="0"/>
              <w:rPr>
                <w:sz w:val="20"/>
                <w:szCs w:val="20"/>
                <w:color w:val="auto"/>
              </w:rPr>
            </w:pPr>
            <w:r>
              <w:rPr>
                <w:rFonts w:ascii="Arial" w:cs="Arial" w:eastAsia="Arial" w:hAnsi="Arial"/>
                <w:sz w:val="18"/>
                <w:szCs w:val="18"/>
                <w:color w:val="auto"/>
              </w:rPr>
              <w:t>Credit Agreement</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6.19.</w:t>
            </w:r>
          </w:p>
        </w:tc>
        <w:tc>
          <w:tcPr>
            <w:tcW w:w="8980" w:type="dxa"/>
            <w:vAlign w:val="bottom"/>
          </w:tcPr>
          <w:p>
            <w:pPr>
              <w:ind w:left="700"/>
              <w:spacing w:after="0"/>
              <w:rPr>
                <w:sz w:val="20"/>
                <w:szCs w:val="20"/>
                <w:color w:val="auto"/>
              </w:rPr>
            </w:pPr>
            <w:r>
              <w:rPr>
                <w:rFonts w:ascii="Arial" w:cs="Arial" w:eastAsia="Arial" w:hAnsi="Arial"/>
                <w:sz w:val="18"/>
                <w:szCs w:val="18"/>
                <w:color w:val="auto"/>
              </w:rPr>
              <w:t>USA Patriot Act</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6.20.</w:t>
            </w:r>
          </w:p>
        </w:tc>
        <w:tc>
          <w:tcPr>
            <w:tcW w:w="8980" w:type="dxa"/>
            <w:vAlign w:val="bottom"/>
          </w:tcPr>
          <w:p>
            <w:pPr>
              <w:ind w:left="70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6.21.</w:t>
            </w:r>
          </w:p>
        </w:tc>
        <w:tc>
          <w:tcPr>
            <w:tcW w:w="8980" w:type="dxa"/>
            <w:vAlign w:val="bottom"/>
          </w:tcPr>
          <w:p>
            <w:pPr>
              <w:ind w:left="700"/>
              <w:spacing w:after="0"/>
              <w:rPr>
                <w:sz w:val="20"/>
                <w:szCs w:val="20"/>
                <w:color w:val="auto"/>
              </w:rPr>
            </w:pPr>
            <w:r>
              <w:rPr>
                <w:rFonts w:ascii="Arial" w:cs="Arial" w:eastAsia="Arial" w:hAnsi="Arial"/>
                <w:sz w:val="18"/>
                <w:szCs w:val="18"/>
                <w:color w:val="auto"/>
              </w:rPr>
              <w:t>Acknowledgement Regarding Any Supported QFCs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0" w:right="499" w:bottom="1440" w:gutter="0" w:footer="0" w:header="0"/>
        </w:sectPr>
      </w:pPr>
    </w:p>
    <w:bookmarkStart w:id="193" w:name="page194"/>
    <w:bookmarkEnd w:id="193"/>
    <w:p>
      <w:pPr>
        <w:jc w:val="center"/>
        <w:ind w:righ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(continued)</w:t>
      </w:r>
    </w:p>
    <w:p>
      <w:pPr>
        <w:sectPr>
          <w:pgSz w:w="11900" w:h="16838" w:orient="portrait"/>
          <w:cols w:equalWidth="0" w:num="1">
            <w:col w:w="10019"/>
          </w:cols>
          <w:pgMar w:left="440" w:top="270" w:right="1440"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EXHIBIT 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V</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Conditions Precedent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Representations and Warranties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Covenants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 Events</w:t>
      </w:r>
    </w:p>
    <w:p>
      <w:pPr>
        <w:spacing w:after="0" w:line="103" w:lineRule="exact"/>
        <w:rPr>
          <w:sz w:val="20"/>
          <w:szCs w:val="20"/>
          <w:color w:val="auto"/>
        </w:rPr>
      </w:pPr>
    </w:p>
    <w:p>
      <w:pPr>
        <w:sectPr>
          <w:pgSz w:w="11900" w:h="16838" w:orient="portrait"/>
          <w:cols w:equalWidth="0" w:num="2">
            <w:col w:w="1260" w:space="720"/>
            <w:col w:w="8039"/>
          </w:cols>
          <w:pgMar w:left="440" w:top="270" w:right="1440" w:bottom="1440" w:gutter="0" w:footer="0" w:header="0"/>
          <w:type w:val="continuous"/>
        </w:sectPr>
      </w:pPr>
    </w:p>
    <w:p>
      <w:pPr>
        <w:spacing w:after="0" w:line="269" w:lineRule="auto"/>
        <w:rPr>
          <w:sz w:val="20"/>
          <w:szCs w:val="20"/>
          <w:color w:val="auto"/>
        </w:rPr>
      </w:pPr>
      <w:r>
        <w:rPr>
          <w:rFonts w:ascii="Arial" w:cs="Arial" w:eastAsia="Arial" w:hAnsi="Arial"/>
          <w:sz w:val="17"/>
          <w:szCs w:val="17"/>
          <w:color w:val="auto"/>
        </w:rPr>
        <w:t>SCHEDULE I SCHEDULE II SCHEDULE III SCHEDULE IV SCHEDULE V SCHEDULE VI SCHEDULE VII SCHEDULE VIII SCHEDULE IX SCHEDULE X SCHEDULE XI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Credit and Collection Policy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Trade Names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Notice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Subject Anixter Filing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Commitments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Scheduled Commitment Termination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Subject UCC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Excluded Receivables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Closing Memorandum</w:t>
      </w:r>
    </w:p>
    <w:p>
      <w:pPr>
        <w:spacing w:after="0" w:line="102" w:lineRule="exact"/>
        <w:rPr>
          <w:sz w:val="20"/>
          <w:szCs w:val="20"/>
          <w:color w:val="auto"/>
        </w:rPr>
      </w:pPr>
    </w:p>
    <w:p>
      <w:pPr>
        <w:sectPr>
          <w:pgSz w:w="11900" w:h="16838" w:orient="portrait"/>
          <w:cols w:equalWidth="0" w:num="2">
            <w:col w:w="1300" w:space="680"/>
            <w:col w:w="8039"/>
          </w:cols>
          <w:pgMar w:left="440" w:top="270" w:right="1440" w:bottom="1440" w:gutter="0" w:footer="0" w:header="0"/>
          <w:type w:val="continuous"/>
        </w:sectPr>
      </w:pPr>
    </w:p>
    <w:p>
      <w:pPr>
        <w:spacing w:after="0"/>
        <w:rPr>
          <w:sz w:val="20"/>
          <w:szCs w:val="20"/>
          <w:color w:val="auto"/>
        </w:rPr>
      </w:pPr>
      <w:r>
        <w:rPr>
          <w:rFonts w:ascii="Arial" w:cs="Arial" w:eastAsia="Arial" w:hAnsi="Arial"/>
          <w:sz w:val="18"/>
          <w:szCs w:val="18"/>
          <w:color w:val="auto"/>
        </w:rPr>
        <w:t>ANNEX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ANNEX B</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ANNEX 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ANNEX 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ANNEX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Form of Information Package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Purchase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Daily Report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Form of Assumption Agreement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Form of Transfer Supplement</w:t>
      </w:r>
    </w:p>
    <w:p>
      <w:pPr>
        <w:spacing w:after="0" w:line="211" w:lineRule="exact"/>
        <w:rPr>
          <w:sz w:val="20"/>
          <w:szCs w:val="20"/>
          <w:color w:val="auto"/>
        </w:rPr>
      </w:pPr>
    </w:p>
    <w:p>
      <w:pPr>
        <w:sectPr>
          <w:pgSz w:w="11900" w:h="16838" w:orient="portrait"/>
          <w:cols w:equalWidth="0" w:num="2">
            <w:col w:w="1260" w:space="720"/>
            <w:col w:w="8039"/>
          </w:cols>
          <w:pgMar w:left="440" w:top="270" w:right="1440" w:bottom="1440" w:gutter="0" w:footer="0" w:header="0"/>
          <w:type w:val="continuous"/>
        </w:sectPr>
      </w:pPr>
    </w:p>
    <w:p>
      <w:pPr>
        <w:spacing w:after="0" w:line="30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019"/>
          </w:cols>
          <w:pgMar w:left="440" w:top="270" w:right="1440" w:bottom="1440" w:gutter="0" w:footer="0" w:header="0"/>
          <w:type w:val="continuous"/>
        </w:sectPr>
      </w:pPr>
    </w:p>
    <w:bookmarkStart w:id="194" w:name="page195"/>
    <w:bookmarkEnd w:id="194"/>
    <w:p>
      <w:pPr>
        <w:ind w:left="4" w:right="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FIFTH AMENDED AND RESTATED RECEIVABLES PURCHASE AGREEMENT (as amended, supplemented or otherwise modified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June 22, 2020, among WESCO RECEIVABLES CORP., a Delaware corporation, as seller (the “</w:t>
      </w:r>
      <w:r>
        <w:rPr>
          <w:rFonts w:ascii="Arial" w:cs="Arial" w:eastAsia="Arial" w:hAnsi="Arial"/>
          <w:sz w:val="18"/>
          <w:szCs w:val="18"/>
          <w:u w:val="single" w:color="auto"/>
          <w:color w:val="auto"/>
        </w:rPr>
        <w:t>Seller</w:t>
      </w:r>
      <w:r>
        <w:rPr>
          <w:rFonts w:ascii="Arial" w:cs="Arial" w:eastAsia="Arial" w:hAnsi="Arial"/>
          <w:sz w:val="18"/>
          <w:szCs w:val="18"/>
          <w:color w:val="auto"/>
        </w:rPr>
        <w:t>”), WESCO DISTRIBUTION, INC., a Delaware corporation (“</w:t>
      </w:r>
      <w:r>
        <w:rPr>
          <w:rFonts w:ascii="Arial" w:cs="Arial" w:eastAsia="Arial" w:hAnsi="Arial"/>
          <w:sz w:val="18"/>
          <w:szCs w:val="18"/>
          <w:u w:val="single" w:color="auto"/>
          <w:color w:val="auto"/>
        </w:rPr>
        <w:t>WESCO</w:t>
      </w:r>
      <w:r>
        <w:rPr>
          <w:rFonts w:ascii="Arial" w:cs="Arial" w:eastAsia="Arial" w:hAnsi="Arial"/>
          <w:sz w:val="18"/>
          <w:szCs w:val="18"/>
          <w:color w:val="auto"/>
        </w:rPr>
        <w:t>”), as initial servicer (in such capacity, together with its successors and permitted assigns in such capacity, the “</w:t>
      </w:r>
      <w:r>
        <w:rPr>
          <w:rFonts w:ascii="Arial" w:cs="Arial" w:eastAsia="Arial" w:hAnsi="Arial"/>
          <w:sz w:val="18"/>
          <w:szCs w:val="18"/>
          <w:u w:val="single" w:color="auto"/>
          <w:color w:val="auto"/>
        </w:rPr>
        <w:t>Servicer</w:t>
      </w:r>
      <w:r>
        <w:rPr>
          <w:rFonts w:ascii="Arial" w:cs="Arial" w:eastAsia="Arial" w:hAnsi="Arial"/>
          <w:sz w:val="18"/>
          <w:szCs w:val="18"/>
          <w:color w:val="auto"/>
        </w:rPr>
        <w:t>”), THE VARIOUS CONDUIT PURCHASERS, COMMITTED PURCHASERS AND PURCHASER AGENTS FROM TIME TO TIME PARTY HERETO, and PNC BANK, NATIONAL ASSOCIATION, as Administrator for each Purchaser Group (in such capacity, the “</w:t>
      </w:r>
      <w:r>
        <w:rPr>
          <w:rFonts w:ascii="Arial" w:cs="Arial" w:eastAsia="Arial" w:hAnsi="Arial"/>
          <w:sz w:val="18"/>
          <w:szCs w:val="18"/>
          <w:u w:val="single" w:color="auto"/>
          <w:color w:val="auto"/>
        </w:rPr>
        <w:t>Administrator</w:t>
      </w:r>
      <w:r>
        <w:rPr>
          <w:rFonts w:ascii="Arial" w:cs="Arial" w:eastAsia="Arial" w:hAnsi="Arial"/>
          <w:sz w:val="18"/>
          <w:szCs w:val="18"/>
          <w:color w:val="auto"/>
        </w:rPr>
        <w:t>”).</w:t>
      </w:r>
    </w:p>
    <w:p>
      <w:pPr>
        <w:spacing w:after="0" w:line="192"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7"/>
          <w:szCs w:val="17"/>
          <w:color w:val="auto"/>
        </w:rPr>
        <w:t>Concurrently herewith, the Seller, the Servicer and the Originators are entering into that certain Second Amended and Restated Purchase and Sale Agreement (as further amended, restated, amended and restated, supplemented or otherwise modified from time to time, the “</w:t>
      </w:r>
      <w:r>
        <w:rPr>
          <w:rFonts w:ascii="Arial" w:cs="Arial" w:eastAsia="Arial" w:hAnsi="Arial"/>
          <w:sz w:val="17"/>
          <w:szCs w:val="17"/>
          <w:u w:val="single" w:color="auto"/>
          <w:color w:val="auto"/>
        </w:rPr>
        <w:t>Purchase and Sale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the date hereof. The parties hereto hereby consent to such amendment and restatement.</w:t>
      </w:r>
    </w:p>
    <w:p>
      <w:pPr>
        <w:spacing w:after="0" w:line="165" w:lineRule="exact"/>
        <w:rPr>
          <w:sz w:val="20"/>
          <w:szCs w:val="20"/>
          <w:color w:val="auto"/>
        </w:rPr>
      </w:pPr>
    </w:p>
    <w:p>
      <w:pPr>
        <w:ind w:left="4" w:right="260" w:firstLine="440"/>
        <w:spacing w:after="0" w:line="342" w:lineRule="auto"/>
        <w:rPr>
          <w:sz w:val="20"/>
          <w:szCs w:val="20"/>
          <w:color w:val="auto"/>
        </w:rPr>
      </w:pPr>
      <w:r>
        <w:rPr>
          <w:rFonts w:ascii="Arial" w:cs="Arial" w:eastAsia="Arial" w:hAnsi="Arial"/>
          <w:sz w:val="16"/>
          <w:szCs w:val="16"/>
          <w:color w:val="auto"/>
        </w:rPr>
        <w:t xml:space="preserve">PRELIMINARY STATEMENTS. Certain terms that are capitalized and used throughout this Agreement are defined in </w:t>
      </w:r>
      <w:r>
        <w:rPr>
          <w:rFonts w:ascii="Arial" w:cs="Arial" w:eastAsia="Arial" w:hAnsi="Arial"/>
          <w:sz w:val="16"/>
          <w:szCs w:val="16"/>
          <w:u w:val="single" w:color="auto"/>
          <w:color w:val="auto"/>
        </w:rPr>
        <w:t>Exhibit I</w:t>
      </w:r>
      <w:r>
        <w:rPr>
          <w:rFonts w:ascii="Arial" w:cs="Arial" w:eastAsia="Arial" w:hAnsi="Arial"/>
          <w:sz w:val="16"/>
          <w:szCs w:val="16"/>
          <w:color w:val="auto"/>
        </w:rPr>
        <w:t>. References in the Exhibits hereto to the “Agreement” refer to this Agreement, as amended, supplemented or otherwise modified from time to time.</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consideration of the mutual agreements, provisions and covenants contained herein, the parties hereto agree as follows:</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AMENDMENT AND RESTATEMENT; JOINDER OF PARTIES; REBALANCING</w:t>
      </w:r>
    </w:p>
    <w:p>
      <w:pPr>
        <w:spacing w:after="0" w:line="229" w:lineRule="exact"/>
        <w:rPr>
          <w:sz w:val="20"/>
          <w:szCs w:val="20"/>
          <w:color w:val="auto"/>
        </w:rPr>
      </w:pPr>
    </w:p>
    <w:p>
      <w:pPr>
        <w:ind w:left="4" w:right="100" w:firstLine="436"/>
        <w:spacing w:after="0" w:line="284" w:lineRule="auto"/>
        <w:tabs>
          <w:tab w:leader="none" w:pos="689" w:val="left"/>
        </w:tabs>
        <w:numPr>
          <w:ilvl w:val="1"/>
          <w:numId w:val="212"/>
        </w:numPr>
        <w:rPr>
          <w:rFonts w:ascii="Arial" w:cs="Arial" w:eastAsia="Arial" w:hAnsi="Arial"/>
          <w:sz w:val="16"/>
          <w:szCs w:val="16"/>
          <w:color w:val="auto"/>
        </w:rPr>
      </w:pPr>
      <w:r>
        <w:rPr>
          <w:rFonts w:ascii="Arial" w:cs="Arial" w:eastAsia="Arial" w:hAnsi="Arial"/>
          <w:sz w:val="16"/>
          <w:szCs w:val="16"/>
          <w:u w:val="single" w:color="auto"/>
          <w:color w:val="auto"/>
        </w:rPr>
        <w:t>Amendment and Restatement</w:t>
      </w:r>
      <w:r>
        <w:rPr>
          <w:rFonts w:ascii="Arial" w:cs="Arial" w:eastAsia="Arial" w:hAnsi="Arial"/>
          <w:sz w:val="16"/>
          <w:szCs w:val="16"/>
          <w:color w:val="auto"/>
        </w:rPr>
        <w:t>. This Agreement amends and restates in its entirety, as of the Closing Date, the Fourth Amended and Restated Receivables Purchase Agreement, dated as of September 24, 2015 (as amended, restated, supplemented or otherwise modified prior to the date hereof, the “</w:t>
      </w:r>
      <w:r>
        <w:rPr>
          <w:rFonts w:ascii="Arial" w:cs="Arial" w:eastAsia="Arial" w:hAnsi="Arial"/>
          <w:sz w:val="16"/>
          <w:szCs w:val="16"/>
          <w:u w:val="single" w:color="auto"/>
          <w:color w:val="auto"/>
        </w:rPr>
        <w:t>Original Agreement</w:t>
      </w:r>
      <w:r>
        <w:rPr>
          <w:rFonts w:ascii="Arial" w:cs="Arial" w:eastAsia="Arial" w:hAnsi="Arial"/>
          <w:sz w:val="16"/>
          <w:szCs w:val="16"/>
          <w:color w:val="auto"/>
        </w:rPr>
        <w:t>”), among the Seller, the Servicer, the various Conduit Purchasers, Committed Purchasers and Purchaser Agents from time to time party thereto and the Administrator. Notwithstanding the amendment and restatement of the Original Agreement by this Agreement, (i) the Seller and Servicer shall continue to be liable to each of the parties to the Original Agreement or any other Indemnified Party or Affected Person (as such terms are defined in the Original Agreement) for fees and expenses which are accrued and unpaid under the Original Agreement on the date hereof and all agreements to indemnify such parties in connection with events or conditions arising or existing prior to the effective date of this Agreement, (ii) the security interest created under the Original Agreement in favor of the Administrator shall remain in full force and effect under this Agreement and</w:t>
      </w:r>
    </w:p>
    <w:p>
      <w:pPr>
        <w:ind w:left="4" w:right="100" w:hanging="4"/>
        <w:spacing w:after="0" w:line="295" w:lineRule="auto"/>
        <w:tabs>
          <w:tab w:leader="none" w:pos="319"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all Investment and Discount outstanding or owing under the Original Agreement shall be and constitute Investment and Discount outstanding or owing under this Agreement. Upon the effectiveness of this Agreement, each reference to the Original Agreement in any other document, instrument or agreement shall mean and be a reference to this Agreement. Nothing contained herein, unless expressly herein stated to the contrary, is intended to amend, modify or otherwise affect any other instrument, document or agreement executed and/or delivered in connection with the Original Agreement.</w:t>
      </w:r>
    </w:p>
    <w:p>
      <w:pPr>
        <w:spacing w:after="0" w:line="161" w:lineRule="exact"/>
        <w:rPr>
          <w:rFonts w:ascii="Arial" w:cs="Arial" w:eastAsia="Arial" w:hAnsi="Arial"/>
          <w:sz w:val="16"/>
          <w:szCs w:val="16"/>
          <w:color w:val="auto"/>
        </w:rPr>
      </w:pPr>
    </w:p>
    <w:p>
      <w:pPr>
        <w:ind w:left="4" w:firstLine="436"/>
        <w:spacing w:after="0" w:line="308" w:lineRule="auto"/>
        <w:tabs>
          <w:tab w:leader="none" w:pos="699" w:val="left"/>
        </w:tabs>
        <w:numPr>
          <w:ilvl w:val="1"/>
          <w:numId w:val="213"/>
        </w:numPr>
        <w:rPr>
          <w:rFonts w:ascii="Arial" w:cs="Arial" w:eastAsia="Arial" w:hAnsi="Arial"/>
          <w:sz w:val="17"/>
          <w:szCs w:val="17"/>
          <w:color w:val="auto"/>
        </w:rPr>
      </w:pPr>
      <w:r>
        <w:rPr>
          <w:rFonts w:ascii="Arial" w:cs="Arial" w:eastAsia="Arial" w:hAnsi="Arial"/>
          <w:sz w:val="17"/>
          <w:szCs w:val="17"/>
          <w:u w:val="single" w:color="auto"/>
          <w:color w:val="auto"/>
        </w:rPr>
        <w:t>Joinder of Parties</w:t>
      </w:r>
      <w:r>
        <w:rPr>
          <w:rFonts w:ascii="Arial" w:cs="Arial" w:eastAsia="Arial" w:hAnsi="Arial"/>
          <w:sz w:val="17"/>
          <w:szCs w:val="17"/>
          <w:color w:val="auto"/>
        </w:rPr>
        <w:t>. Effective as of the date hereof, (i) each of Canadian Imperial Bank of Commerce, New York Branch, Bank of America, N.A. and HSBC Bank USA, N.A. hereby becomes a party to this Agreement as a Committed Purchaser hereunder with all the rights,</w:t>
      </w:r>
    </w:p>
    <w:p>
      <w:pPr>
        <w:sectPr>
          <w:pgSz w:w="11900" w:h="16838" w:orient="portrait"/>
          <w:cols w:equalWidth="0" w:num="1">
            <w:col w:w="11024"/>
          </w:cols>
          <w:pgMar w:left="436" w:top="382" w:right="439" w:bottom="1440" w:gutter="0" w:footer="0" w:header="0"/>
        </w:sectPr>
      </w:pPr>
    </w:p>
    <w:bookmarkStart w:id="195" w:name="page196"/>
    <w:bookmarkEnd w:id="195"/>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interests, duties and obligations of a Committed Purchaser hereunder, (ii) Canadian Imperial Bank of Commerce, New York Branch, as a Committed Purchaser, shall constitute the sole member of a new Purchaser Group, which does not initially include a Conduit Purchaser, and Canadian Imperial Bank of Commerce, New York Branch, hereby appoints itself as the Purchaser Agent for such Purchaser Group, (iii) Bank of America, N.A., as a Committed Purchaser, shall constitute the sole member of a new Purchaser Group, which does not initially include a Conduit Purchaser, and Bank of America, N.A. hereby appoints itself as the Purchaser Agent for such Purchaser Group, (iv) HSBC Bank USA, N.A., as a Committed Purchaser, shall constitute a new Purchaser Group and HSBC Bank USA, N.A. hereby appoints HSBC Securities USA Inc. as the Purchaser Agent for such Purchaser Group and (v) each of Canadian Imperial Bank of Commerce, Bank of America, N.A. and HSBC Securities USA, Inc. hereby becomes a party to this Agreement as a Purchaser Agent hereunder with all the rights, interests, duties and obligations of a Purchaser Agent hereunder.</w:t>
      </w:r>
    </w:p>
    <w:p>
      <w:pPr>
        <w:spacing w:after="0" w:line="165" w:lineRule="exact"/>
        <w:rPr>
          <w:sz w:val="20"/>
          <w:szCs w:val="20"/>
          <w:color w:val="auto"/>
        </w:rPr>
      </w:pPr>
    </w:p>
    <w:p>
      <w:pPr>
        <w:ind w:right="140" w:firstLine="436"/>
        <w:spacing w:after="0" w:line="259" w:lineRule="auto"/>
        <w:tabs>
          <w:tab w:leader="none" w:pos="685"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Initial Purchases; Rebalancing</w:t>
      </w:r>
      <w:r>
        <w:rPr>
          <w:rFonts w:ascii="Arial" w:cs="Arial" w:eastAsia="Arial" w:hAnsi="Arial"/>
          <w:sz w:val="18"/>
          <w:szCs w:val="18"/>
          <w:color w:val="auto"/>
        </w:rPr>
        <w:t xml:space="preserve">. Concurrently herewith, the Seller is requesting that the Purchasers fund a new Purchase on the Closing Date pursuant to a Purchase Notice delivered in accordance with </w:t>
      </w:r>
      <w:r>
        <w:rPr>
          <w:rFonts w:ascii="Arial" w:cs="Arial" w:eastAsia="Arial" w:hAnsi="Arial"/>
          <w:sz w:val="18"/>
          <w:szCs w:val="18"/>
          <w:u w:val="single" w:color="auto"/>
          <w:color w:val="auto"/>
        </w:rPr>
        <w:t>Section 1.2(a)</w:t>
      </w:r>
      <w:r>
        <w:rPr>
          <w:rFonts w:ascii="Arial" w:cs="Arial" w:eastAsia="Arial" w:hAnsi="Arial"/>
          <w:sz w:val="18"/>
          <w:szCs w:val="18"/>
          <w:color w:val="auto"/>
        </w:rPr>
        <w:t>. Such Purchase Notice provides that each Purchaser Group will fund a non-ratable portion of the aggregate Purchase such that, after giving effect to such Purchase, each Purchaser Group’s outstanding Investment will be equal to its Ratable Share of the Aggregate Investment.</w:t>
      </w:r>
    </w:p>
    <w:p>
      <w:pPr>
        <w:spacing w:after="0" w:line="186" w:lineRule="exact"/>
        <w:rPr>
          <w:rFonts w:ascii="Arial" w:cs="Arial" w:eastAsia="Arial" w:hAnsi="Arial"/>
          <w:sz w:val="18"/>
          <w:szCs w:val="18"/>
          <w:color w:val="auto"/>
        </w:rPr>
      </w:pPr>
    </w:p>
    <w:p>
      <w:pPr>
        <w:ind w:right="140" w:firstLine="436"/>
        <w:spacing w:after="0" w:line="311" w:lineRule="auto"/>
        <w:tabs>
          <w:tab w:leader="none" w:pos="695"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Certain Consents</w:t>
      </w:r>
      <w:r>
        <w:rPr>
          <w:rFonts w:ascii="Arial" w:cs="Arial" w:eastAsia="Arial" w:hAnsi="Arial"/>
          <w:sz w:val="16"/>
          <w:szCs w:val="16"/>
          <w:color w:val="auto"/>
        </w:rPr>
        <w:t xml:space="preserve">. The parties hereto hereby consent to the joinder of Canadian Imperial Bank of Commerce, New York Branch, Bank of America, N.A., HSBC Bank USA, N.A. and HSBC Securities USA Inc. as parties hereto on the terms set forth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to the non-ratable funding of the foregoing initial Purchase on the terms set forth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in each case, as set forth above on a one-time basis.</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AND TERMS OF THE PURCHASES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Purchase Facility</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8" w:lineRule="auto"/>
        <w:tabs>
          <w:tab w:leader="none" w:pos="1236"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On the terms and subject to the conditions hereof, the Seller may, from time to time before each applicable Facility Termination Date, request that the Purchasers ratably (based on the Ratable Share in their respective Purchaser Groups) make investments with regard to the Purchased Interest from the Seller from time to time from the date hereof to each applicable Facility Termination Date in accordance with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Each purchase requested by the Seller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Purchase</w:t>
      </w:r>
      <w:r>
        <w:rPr>
          <w:rFonts w:ascii="Arial" w:cs="Arial" w:eastAsia="Arial" w:hAnsi="Arial"/>
          <w:sz w:val="16"/>
          <w:szCs w:val="16"/>
          <w:color w:val="auto"/>
        </w:rPr>
        <w:t xml:space="preserve">”) shall be made ratably by the Purchasers (based on the Ratable Share in their respective Purchaser Groups), and each Purchaser Group’s Ratable Share of each Purchase shall be made and funded (i) if such Purchaser Group contains a Conduit Purchaser and such Conduit Purchaser elects (in its sole discretion) to make and fund such portion of such Purchase, by the Conduit Purchaser in such Purchaser Group or (ii) if such Purchaser Group does not contain a Conduit Purchaser or if the Conduit Purchaser in such Purchaser Group declines (in its sole discretion) to make or fund such portion of such Purchase, by the Committed Purchaser in such Purchaser Group. Subject to </w:t>
      </w:r>
      <w:r>
        <w:rPr>
          <w:rFonts w:ascii="Arial" w:cs="Arial" w:eastAsia="Arial" w:hAnsi="Arial"/>
          <w:sz w:val="16"/>
          <w:szCs w:val="16"/>
          <w:u w:val="single" w:color="auto"/>
          <w:color w:val="auto"/>
        </w:rPr>
        <w:t>Section 1.4(b)</w:t>
      </w:r>
      <w:r>
        <w:rPr>
          <w:rFonts w:ascii="Arial" w:cs="Arial" w:eastAsia="Arial" w:hAnsi="Arial"/>
          <w:sz w:val="16"/>
          <w:szCs w:val="16"/>
          <w:color w:val="auto"/>
        </w:rPr>
        <w:t xml:space="preserve"> concerning reinvestments, at no time will any Conduit Purchaser have any obligation to make any Purchase or reinvestment. Each Committed Purchaser severally hereby agrees, on the terms and subject to the conditions hereof,</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440" w:top="274" w:right="579" w:bottom="1440" w:gutter="0" w:footer="0" w:header="0"/>
        </w:sectPr>
      </w:pPr>
    </w:p>
    <w:bookmarkStart w:id="196" w:name="page197"/>
    <w:bookmarkEnd w:id="196"/>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make Purchases before its applicable Facility Termination Date that are requested pursuant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based on the Ratable Share of its applicable Purchaser Group;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under no circumstances shall any Purchaser make any Purchase or reinvestment hereunder if, after giving effect to such Purchase or reinvestment (i) the Group Investment of such Purchaser’s Purchaser Group would exceed the Group Commitment of such Purchaser’s Purchaser Group, (ii) the Aggregate Investment would (after giving effect to all Purchases and reinvestments on such date) exceed the Purchase Limit or (iii) the Purchased Interest would exceed 100%.</w:t>
      </w:r>
    </w:p>
    <w:p>
      <w:pPr>
        <w:spacing w:after="0" w:line="188" w:lineRule="exact"/>
        <w:rPr>
          <w:sz w:val="20"/>
          <w:szCs w:val="20"/>
          <w:color w:val="auto"/>
        </w:rPr>
      </w:pPr>
    </w:p>
    <w:p>
      <w:pPr>
        <w:ind w:firstLine="987"/>
        <w:spacing w:after="0" w:line="293" w:lineRule="auto"/>
        <w:tabs>
          <w:tab w:leader="none" w:pos="124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Seller may, upon at least thirty (30) days’ (or such shorter period as agreed to in writing by the Administrator) written notice to the Administrator and each Purchaser Agent, reduce the unfunded portion of the Purchase Limit in whole or in part (but not below the amount which would cause the Group Investment of any Purchaser Group to exceed its Group Commitment (after giving effect to such reduction)); provided that each partial reduction shall be in the amount of at least $5,000,000, or an integral multiple of $1,000,000 in excess thereof and unless terminated in whole, the Purchase Limit shall in no event be reduced below $150,000,000. Such reduction shall at the option of the Seller be applied either (i) ratably to reduce the Group Commitment of each Purchaser Group or (ii) to terminate the Group Commitment of any one Purchaser Group.</w:t>
      </w:r>
    </w:p>
    <w:p>
      <w:pPr>
        <w:spacing w:after="0" w:line="164" w:lineRule="exact"/>
        <w:rPr>
          <w:rFonts w:ascii="Arial" w:cs="Arial" w:eastAsia="Arial" w:hAnsi="Arial"/>
          <w:sz w:val="16"/>
          <w:szCs w:val="16"/>
          <w:color w:val="auto"/>
        </w:rPr>
      </w:pPr>
    </w:p>
    <w:p>
      <w:pPr>
        <w:ind w:right="40" w:firstLine="987"/>
        <w:spacing w:after="0" w:line="254" w:lineRule="auto"/>
        <w:tabs>
          <w:tab w:leader="none" w:pos="123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Seller may, upon at least thirty (30) days’ (or such shorter period as agreed to in writing by the Administrator) prior written notice to the Administrator and each Purchaser Agent, repay in whole (but not in part) the entire Aggregate Investment (and all accrued and unpaid Discount thereon) by making a cash payment of such amount to the Administrator for the benefit of the Purchasers. Such payments shall be made to the Administrator for the ratable benefit of the Purchasers (ratably based on the Investments outstanding at such time) and the Investment (and accrued and unpaid Discount) of each Purchaser shall only be deemed to be reduced by such payment when such payment is finally so paid to such Purchaser in full in cash. All payments as repayments made pursuant to this paragraph shall be subject to any applicable Termination Fee payable to any Purchaser at such time in connection therewith.</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Making Purchases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2" w:lineRule="auto"/>
        <w:tabs>
          <w:tab w:leader="none" w:pos="1236" w:val="left"/>
        </w:tabs>
        <w:numPr>
          <w:ilvl w:val="0"/>
          <w:numId w:val="217"/>
        </w:numPr>
        <w:rPr>
          <w:rFonts w:ascii="Arial" w:cs="Arial" w:eastAsia="Arial" w:hAnsi="Arial"/>
          <w:sz w:val="17"/>
          <w:szCs w:val="17"/>
          <w:color w:val="auto"/>
        </w:rPr>
      </w:pPr>
      <w:r>
        <w:rPr>
          <w:rFonts w:ascii="Arial" w:cs="Arial" w:eastAsia="Arial" w:hAnsi="Arial"/>
          <w:sz w:val="17"/>
          <w:szCs w:val="17"/>
          <w:color w:val="auto"/>
        </w:rPr>
        <w:t>Each Purchase (but not reinvestment) of undivided percentage ownership interests with regard to the Purchased Interest hereunder may be made on any Business Day upon the Seller’s irrevocable written notice in the form of Annex B (each, a “</w:t>
      </w:r>
      <w:r>
        <w:rPr>
          <w:rFonts w:ascii="Arial" w:cs="Arial" w:eastAsia="Arial" w:hAnsi="Arial"/>
          <w:sz w:val="17"/>
          <w:szCs w:val="17"/>
          <w:u w:val="single" w:color="auto"/>
          <w:color w:val="auto"/>
        </w:rPr>
        <w:t>Purchase Notice</w:t>
      </w:r>
      <w:r>
        <w:rPr>
          <w:rFonts w:ascii="Arial" w:cs="Arial" w:eastAsia="Arial" w:hAnsi="Arial"/>
          <w:sz w:val="17"/>
          <w:szCs w:val="17"/>
          <w:color w:val="auto"/>
        </w:rPr>
        <w:t xml:space="preserve">”) delivered to the Administrator and each Purchaser Agent in accordance with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(which notice must be received by the Administrator and each Purchaser Agent before 11:00 a.m., New York City time) at least two Business Days before the requested Purchase Date, which notice shall specify: (A) the date of such Purchase (which shall be a Business Day), (B) the aggregate amount requested to be paid to the Seller (such aggregate amount, which shall not be less than $500,000 or such lesser amount as agreed to by the Administrator and the Majority Purchasers) and (C) the pro forma calculation of the Purchased Interest after giving effect to the increase in the Aggregate Investment.</w:t>
      </w:r>
    </w:p>
    <w:p>
      <w:pPr>
        <w:spacing w:after="0" w:line="177" w:lineRule="exact"/>
        <w:rPr>
          <w:rFonts w:ascii="Arial" w:cs="Arial" w:eastAsia="Arial" w:hAnsi="Arial"/>
          <w:sz w:val="17"/>
          <w:szCs w:val="17"/>
          <w:color w:val="auto"/>
        </w:rPr>
      </w:pPr>
    </w:p>
    <w:p>
      <w:pPr>
        <w:ind w:left="1240" w:hanging="253"/>
        <w:spacing w:after="0"/>
        <w:tabs>
          <w:tab w:leader="none" w:pos="1240"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Funding Purchases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197" w:name="page198"/>
    <w:bookmarkEnd w:id="197"/>
    <w:p>
      <w:pPr>
        <w:ind w:left="420" w:right="120" w:firstLine="419"/>
        <w:spacing w:after="0" w:line="254" w:lineRule="auto"/>
        <w:tabs>
          <w:tab w:leader="none" w:pos="1058" w:val="left"/>
        </w:tabs>
        <w:numPr>
          <w:ilvl w:val="1"/>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 later than 1:00 p.m. (New York City time) on the date of each Purchase of undivided percentage ownership interests with regard to the Purchased Interest hereunder, each applicable Purchaser shall, upon satisfaction of the applicable conditions set forth in </w:t>
      </w:r>
      <w:r>
        <w:rPr>
          <w:rFonts w:ascii="Arial" w:cs="Arial" w:eastAsia="Arial" w:hAnsi="Arial"/>
          <w:sz w:val="18"/>
          <w:szCs w:val="18"/>
          <w:u w:val="single" w:color="auto"/>
          <w:color w:val="auto"/>
        </w:rPr>
        <w:t>Exhibit II</w:t>
      </w:r>
      <w:r>
        <w:rPr>
          <w:rFonts w:ascii="Arial" w:cs="Arial" w:eastAsia="Arial" w:hAnsi="Arial"/>
          <w:sz w:val="18"/>
          <w:szCs w:val="18"/>
          <w:color w:val="auto"/>
        </w:rPr>
        <w:t>, deliver to the Administrator by wire transfer of immediately available funds at the account from time to time designated in writing by the Administrator, an amount equal to the portion of Investment relating to the undivided percentage ownership interest then being funded by such Purchaser. On the date of each Purchase, the Administrator will make available to the Seller, in same day funds at the account from time to time designated in writing by the Seller to the Administrator, the amount of Investment to be funded in accordance with this Agreement by all Purchasers in respect of such Purchase.</w:t>
      </w:r>
    </w:p>
    <w:p>
      <w:pPr>
        <w:spacing w:after="0" w:line="86" w:lineRule="exact"/>
        <w:rPr>
          <w:rFonts w:ascii="Arial" w:cs="Arial" w:eastAsia="Arial" w:hAnsi="Arial"/>
          <w:sz w:val="18"/>
          <w:szCs w:val="18"/>
          <w:color w:val="auto"/>
        </w:rPr>
      </w:pPr>
    </w:p>
    <w:p>
      <w:pPr>
        <w:ind w:left="420" w:right="40" w:firstLine="419"/>
        <w:spacing w:after="0" w:line="284" w:lineRule="auto"/>
        <w:tabs>
          <w:tab w:leader="none" w:pos="1108" w:val="left"/>
        </w:tabs>
        <w:numPr>
          <w:ilvl w:val="1"/>
          <w:numId w:val="218"/>
        </w:numPr>
        <w:rPr>
          <w:rFonts w:ascii="Arial" w:cs="Arial" w:eastAsia="Arial" w:hAnsi="Arial"/>
          <w:sz w:val="16"/>
          <w:szCs w:val="16"/>
          <w:color w:val="auto"/>
        </w:rPr>
      </w:pPr>
      <w:r>
        <w:rPr>
          <w:rFonts w:ascii="Arial" w:cs="Arial" w:eastAsia="Arial" w:hAnsi="Arial"/>
          <w:sz w:val="16"/>
          <w:szCs w:val="16"/>
          <w:color w:val="auto"/>
        </w:rPr>
        <w:t xml:space="preserve">Unless the Administrator shall have received notice from a Purchaser or Purchaser Agent prior to the proposed Purchase Date of any Purchase that such Purchaser’s or Purchaser Agent’s Purchaser Group will not make available to the Administrator such Purchaser Group’s share of such Purchase, the Administrator may assume that such Purchaser Group has made such share available on such date in accordance with the foregoing </w:t>
      </w:r>
      <w:r>
        <w:rPr>
          <w:rFonts w:ascii="Arial" w:cs="Arial" w:eastAsia="Arial" w:hAnsi="Arial"/>
          <w:sz w:val="16"/>
          <w:szCs w:val="16"/>
          <w:u w:val="single" w:color="auto"/>
          <w:color w:val="auto"/>
        </w:rPr>
        <w:t>clause (b)(i)</w:t>
      </w:r>
      <w:r>
        <w:rPr>
          <w:rFonts w:ascii="Arial" w:cs="Arial" w:eastAsia="Arial" w:hAnsi="Arial"/>
          <w:sz w:val="16"/>
          <w:szCs w:val="16"/>
          <w:color w:val="auto"/>
        </w:rPr>
        <w:t xml:space="preserve"> and may, in reliance upon such assumption, make available to the Seller a corresponding amount. In such event, if a Purchaser Group has not in fact made its share of the applicable Purchase available to the Administrator, then the Committed Purchaser in such Purchaser Group and the Seller severally agree to pay to the Administrator forthwith on demand such corresponding amount with interest thereon, for each day from and including the date such amount is made available to the Seller to but excluding the date of payment to the Administrator, at</w:t>
      </w:r>
    </w:p>
    <w:p>
      <w:pPr>
        <w:spacing w:after="0" w:line="2" w:lineRule="exact"/>
        <w:rPr>
          <w:rFonts w:ascii="Arial" w:cs="Arial" w:eastAsia="Arial" w:hAnsi="Arial"/>
          <w:sz w:val="16"/>
          <w:szCs w:val="16"/>
          <w:color w:val="auto"/>
        </w:rPr>
      </w:pPr>
    </w:p>
    <w:p>
      <w:pPr>
        <w:ind w:left="420" w:right="160" w:hanging="4"/>
        <w:spacing w:after="0" w:line="290" w:lineRule="auto"/>
        <w:tabs>
          <w:tab w:leader="none" w:pos="63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in the case of such Committed Purchaser, the greater of the Overnight Bank Funding Rate and a rate determined by the Administrator in accordance with banking industry rules on interbank compensation or (ii) in the case of the Seller, the Base Rate. If such Committed Purchaser pays such amount to the Administrator, then such amount shall constitute such Committed Purchaser’s Investment included in such Purchase. If the Seller and such Committed Purchaser shall pay such interest to the Administrator for the same or an overlapping period, the Administrator shall promptly remit to the Seller the amount of such interest paid by the Seller for such period. Any such payment by the Seller shall be without prejudice to any claim the Seller may have against a Committed Purchaser that shall have failed to make such payment to the Administrator.</w:t>
      </w:r>
    </w:p>
    <w:p>
      <w:pPr>
        <w:spacing w:after="0" w:line="163" w:lineRule="exact"/>
        <w:rPr>
          <w:rFonts w:ascii="Arial" w:cs="Arial" w:eastAsia="Arial" w:hAnsi="Arial"/>
          <w:sz w:val="16"/>
          <w:szCs w:val="16"/>
          <w:color w:val="auto"/>
        </w:rPr>
      </w:pPr>
    </w:p>
    <w:p>
      <w:pPr>
        <w:ind w:left="-20" w:firstLine="987"/>
        <w:spacing w:after="0" w:line="259" w:lineRule="auto"/>
        <w:tabs>
          <w:tab w:leader="none" w:pos="1216" w:val="left"/>
        </w:tabs>
        <w:numPr>
          <w:ilvl w:val="2"/>
          <w:numId w:val="219"/>
        </w:numPr>
        <w:rPr>
          <w:rFonts w:ascii="Arial" w:cs="Arial" w:eastAsia="Arial" w:hAnsi="Arial"/>
          <w:sz w:val="18"/>
          <w:szCs w:val="18"/>
          <w:color w:val="auto"/>
        </w:rPr>
      </w:pPr>
      <w:r>
        <w:rPr>
          <w:rFonts w:ascii="Arial" w:cs="Arial" w:eastAsia="Arial" w:hAnsi="Arial"/>
          <w:sz w:val="18"/>
          <w:szCs w:val="18"/>
          <w:color w:val="auto"/>
        </w:rPr>
        <w:t xml:space="preserve">Effective on the date of each Purchase pursuant to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and each reinvestment pursuant to </w:t>
      </w:r>
      <w:r>
        <w:rPr>
          <w:rFonts w:ascii="Arial" w:cs="Arial" w:eastAsia="Arial" w:hAnsi="Arial"/>
          <w:sz w:val="18"/>
          <w:szCs w:val="18"/>
          <w:u w:val="single" w:color="auto"/>
          <w:color w:val="auto"/>
        </w:rPr>
        <w:t>Section 1.4</w:t>
      </w:r>
      <w:r>
        <w:rPr>
          <w:rFonts w:ascii="Arial" w:cs="Arial" w:eastAsia="Arial" w:hAnsi="Arial"/>
          <w:sz w:val="18"/>
          <w:szCs w:val="18"/>
          <w:color w:val="auto"/>
        </w:rPr>
        <w:t>, the Seller hereby sells and assigns to the Administrator for the benefit of the Purchasers (ratably, according to each such Purchaser’s Investment) an undivided percentage ownership interest in: (i) each Pool Receivable then existing, (ii) all Related Security with respect to such Pool Receivables, and (iii) all Collections with respect to, and other proceeds of, such Pool Receivables and Related Security.</w:t>
      </w:r>
    </w:p>
    <w:p>
      <w:pPr>
        <w:spacing w:after="0" w:line="186" w:lineRule="exact"/>
        <w:rPr>
          <w:rFonts w:ascii="Arial" w:cs="Arial" w:eastAsia="Arial" w:hAnsi="Arial"/>
          <w:sz w:val="18"/>
          <w:szCs w:val="18"/>
          <w:color w:val="auto"/>
        </w:rPr>
      </w:pPr>
    </w:p>
    <w:p>
      <w:pPr>
        <w:ind w:left="-20" w:firstLine="987"/>
        <w:spacing w:after="0" w:line="259" w:lineRule="auto"/>
        <w:tabs>
          <w:tab w:leader="none" w:pos="1226" w:val="left"/>
        </w:tabs>
        <w:numPr>
          <w:ilvl w:val="2"/>
          <w:numId w:val="219"/>
        </w:numPr>
        <w:rPr>
          <w:rFonts w:ascii="Arial" w:cs="Arial" w:eastAsia="Arial" w:hAnsi="Arial"/>
          <w:sz w:val="18"/>
          <w:szCs w:val="18"/>
          <w:color w:val="auto"/>
        </w:rPr>
      </w:pPr>
      <w:r>
        <w:rPr>
          <w:rFonts w:ascii="Arial" w:cs="Arial" w:eastAsia="Arial" w:hAnsi="Arial"/>
          <w:sz w:val="18"/>
          <w:szCs w:val="18"/>
          <w:color w:val="auto"/>
        </w:rPr>
        <w:t>To secure all of the Seller’s obligations (monetary or otherwise) under this Agreement and the other Transaction Documents to which it is a party, whether now or hereafter existing or arising, due or to become due, direct or indirect, absolute or contingent, the Seller hereby grants to the Administrator, for the benefit of the Purchasers, a security interest in all of the Seller’s right, title and interest (including any undivided interest of the Seller) in, to and under all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198" w:name="page199"/>
    <w:bookmarkEnd w:id="198"/>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following, whether now or hereafter owned, existing or arising: (i) all Pool Receivables, (ii) all Related Security with respect to such Pool Receivables, (iii) all Collections with respect to such Pool Receivables, (iv) the Lock-Box Accounts and all amounts on deposit therein, and all certificates and instruments, if any, from time to time evidencing such Lock-Box Accounts and amounts on deposit therein, (v) all rights (but none of the obligations) of the Seller under the Sale Agreement and (vi) all proceeds of, and all amounts received or receivable under any or all of, the foregoing (collectively, the “</w:t>
      </w:r>
      <w:r>
        <w:rPr>
          <w:rFonts w:ascii="Arial" w:cs="Arial" w:eastAsia="Arial" w:hAnsi="Arial"/>
          <w:sz w:val="18"/>
          <w:szCs w:val="18"/>
          <w:u w:val="single" w:color="auto"/>
          <w:color w:val="auto"/>
        </w:rPr>
        <w:t>Pool Assets</w:t>
      </w:r>
      <w:r>
        <w:rPr>
          <w:rFonts w:ascii="Arial" w:cs="Arial" w:eastAsia="Arial" w:hAnsi="Arial"/>
          <w:sz w:val="18"/>
          <w:szCs w:val="18"/>
          <w:color w:val="auto"/>
        </w:rPr>
        <w:t>”). The Administrator, for the benefit of the Purchasers, shall have, with respect to the Pool Assets, and in addition to all the other rights and remedies available to the Administrator and the Purchasers, all the rights and remedies of a secured party under any applicable UCC. The Seller hereby authorizes the Administrator (for the benefit of the Purchasers) to file financing statements in each jurisdiction the Administrator deems necessary and appropriate to perfect its security interest in the Pool Assets, describing the collateral covered thereby as “all of the debtor’s personal property or assets” or words to that effect, notwithstanding that such wording may be broader in scope than the collateral described in this Agreement.</w:t>
      </w:r>
    </w:p>
    <w:p>
      <w:pPr>
        <w:spacing w:after="0" w:line="194" w:lineRule="exact"/>
        <w:rPr>
          <w:sz w:val="20"/>
          <w:szCs w:val="20"/>
          <w:color w:val="auto"/>
        </w:rPr>
      </w:pPr>
    </w:p>
    <w:p>
      <w:pPr>
        <w:ind w:right="60" w:firstLine="987"/>
        <w:spacing w:after="0" w:line="254" w:lineRule="auto"/>
        <w:tabs>
          <w:tab w:leader="none" w:pos="123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Except with respect to the increases in Commitments contemplated by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the Seller may, with the written consent of the Administrator and each Purchaser, add additional Persons as Purchasers (either to an existing Purchaser Group or by creating new Purchaser Groups) or cause an existing Purchaser to increase its Commitment in connection with a corresponding increase in the Purchase Limit;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Commitment of any Purchaser may only be increased with the consent of such Purchaser, such consent to be in such Purchaser’s sole and absolute discretion. Each new Purchaser (or Purchaser Group) and each Purchaser increasing its Commitment shall become a party hereto or increase its Commitment, as the case may be, by executing and delivering to the Administrator and the Seller an Assumption Agreement in the form of Annex D hereto (which Assumption Agreement shall, in the case of any new Purchaser or Purchasers be executed by each Person in such new Purchaser’s Purchaser Group).</w:t>
      </w:r>
    </w:p>
    <w:p>
      <w:pPr>
        <w:spacing w:after="0" w:line="191" w:lineRule="exact"/>
        <w:rPr>
          <w:rFonts w:ascii="Arial" w:cs="Arial" w:eastAsia="Arial" w:hAnsi="Arial"/>
          <w:sz w:val="18"/>
          <w:szCs w:val="18"/>
          <w:color w:val="auto"/>
        </w:rPr>
      </w:pPr>
    </w:p>
    <w:p>
      <w:pPr>
        <w:ind w:firstLine="987"/>
        <w:spacing w:after="0" w:line="268" w:lineRule="auto"/>
        <w:tabs>
          <w:tab w:leader="none" w:pos="1216"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Each Committed Purchaser’s obligation hereunder shall be several, such that the failure of any Committed Purchaser to make a payment in connection with any Purchase hereunder shall not relieve any other Committed Purchaser of its obligation hereunder to make payment for any Purchase. Further, in the event any Committed Purchaser fails to satisfy its obligation to make a Purchase as required hereunder, upon receipt of notice of such failure from the Administrator (or any relevant Purchaser Agent), subject to the limitations set forth herein, the non-defaulting Committed Purchasers in such defaulting Committed Purchaser’s Purchaser Group shall purchase the defaulting Committed Purchaser’s Commitment Percentage of the related Purchase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proportion to their relative Commitment Percentages (determined without regard to the Commitment Percentage of the defaulting Committed Purchaser; </w:t>
      </w:r>
      <w:r>
        <w:rPr>
          <w:rFonts w:ascii="Arial" w:cs="Arial" w:eastAsia="Arial" w:hAnsi="Arial"/>
          <w:sz w:val="17"/>
          <w:szCs w:val="17"/>
          <w:u w:val="single" w:color="auto"/>
          <w:color w:val="auto"/>
        </w:rPr>
        <w:t>it being understood</w:t>
      </w:r>
      <w:r>
        <w:rPr>
          <w:rFonts w:ascii="Arial" w:cs="Arial" w:eastAsia="Arial" w:hAnsi="Arial"/>
          <w:sz w:val="17"/>
          <w:szCs w:val="17"/>
          <w:color w:val="auto"/>
        </w:rPr>
        <w:t xml:space="preserve"> that a defaulting Committed Purchaser’s Commitment Percentage of any Purchase shall be first put to the Committed Purchasers in such defaulting Committed Purchaser’s Purchaser Group and thereafter if there are no other Committed Purchasers in such Purchaser Group or if such other Committed Purchasers are also defaulting Committed Purchasers, then such defaulting Committed Purchaser’s Commitment Percentage of such Purchase shall be put to each other Purchaser Group ratably and applied in accordance with this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Notwithstanding anything in this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to the contrary, no Committed Purchaser shall be required to make a Purchase pursuant to this paragraph for an amount which would cause the aggregate Investment of such Committed Purchaser (after giving effect to such Purchase) to exceed its Commitment.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99" w:name="page200"/>
    <w:bookmarkEnd w:id="199"/>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 </w:t>
      </w:r>
      <w:r>
        <w:rPr>
          <w:rFonts w:ascii="Arial" w:cs="Arial" w:eastAsia="Arial" w:hAnsi="Arial"/>
          <w:sz w:val="18"/>
          <w:szCs w:val="18"/>
          <w:u w:val="single" w:color="auto"/>
          <w:color w:val="auto"/>
        </w:rPr>
        <w:t>Purchased Interest Computation</w:t>
      </w:r>
      <w:r>
        <w:rPr>
          <w:rFonts w:ascii="Arial" w:cs="Arial" w:eastAsia="Arial" w:hAnsi="Arial"/>
          <w:sz w:val="18"/>
          <w:szCs w:val="18"/>
          <w:color w:val="auto"/>
        </w:rPr>
        <w:t>. The Purchased Interest shall be initially computed on the date of the initial Purchase hereunder. Thereafter, until the Facility Termination Date, such Purchased Interest shall be automatically recomputed (or deemed to be recomputed) on each Business Day other than a Termination Day. From and after the occurrence of any Termination Day, the Purchased Interest shall (until the event(s) giving rise to such Termination Day are satisfied or are waived in accordance with the terms hereof) be deemed to be 100%. The Purchased Interest shall become zero when the Aggregate Investment thereof and Aggregate Discount thereon shall have been paid in full, all the amounts owed by the Seller and the Servicer hereunder to each Purchaser, the Administrator and any other Indemnified Party or Affected Person are paid in full, and the Servicer shall have received the accrued Servicing Fee thereon.</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Settlement Procedures</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63" w:lineRule="auto"/>
        <w:tabs>
          <w:tab w:leader="none" w:pos="1236"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The collection of the Pool Receivables shall be administered by the Servicer in accordance with this Agreement. The Seller shall provide to the Servicer on a timely basis all information needed for such administration, including notice of the occurrence of any Termination Day and current computations of the Purchased Interest.</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The Servicer shall, on each day on which Collections of Pool Receivables are received (or deemed received) by the Seller or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Servicer:</w:t>
      </w:r>
    </w:p>
    <w:p>
      <w:pPr>
        <w:spacing w:after="0" w:line="102" w:lineRule="exact"/>
        <w:rPr>
          <w:rFonts w:ascii="Arial" w:cs="Arial" w:eastAsia="Arial" w:hAnsi="Arial"/>
          <w:sz w:val="17"/>
          <w:szCs w:val="17"/>
          <w:color w:val="auto"/>
        </w:rPr>
      </w:pPr>
    </w:p>
    <w:p>
      <w:pPr>
        <w:ind w:left="440" w:right="120" w:firstLine="419"/>
        <w:spacing w:after="0" w:line="272" w:lineRule="auto"/>
        <w:tabs>
          <w:tab w:leader="none" w:pos="1078" w:val="left"/>
        </w:tabs>
        <w:numPr>
          <w:ilvl w:val="0"/>
          <w:numId w:val="222"/>
        </w:numPr>
        <w:rPr>
          <w:rFonts w:ascii="Arial" w:cs="Arial" w:eastAsia="Arial" w:hAnsi="Arial"/>
          <w:sz w:val="17"/>
          <w:szCs w:val="17"/>
          <w:color w:val="auto"/>
        </w:rPr>
      </w:pPr>
      <w:r>
        <w:rPr>
          <w:rFonts w:ascii="Arial" w:cs="Arial" w:eastAsia="Arial" w:hAnsi="Arial"/>
          <w:sz w:val="17"/>
          <w:szCs w:val="17"/>
          <w:color w:val="auto"/>
        </w:rPr>
        <w:t>set aside and hold in trust (and shall, at the request of the Administrator (with the consent or at the direction of a Simple Majority of the Purchasers), segregate in a separate account approved by the Administrator if, at the time of such request, there exists an Unmatured Termination Event or a Termination Event or if the failure to so segregate reasonably could be expected to cause a Material Adverse Effect) for the benefit of each Purchaser Group, out of such Collections, first, an amount equal to the Aggregate Discount accrued through such day for each Portion of Investment and not previously set aside, second, an amount equal to the fees set forth in each Purchaser Group Fee Letter accrued and unpaid through such day, and third, to the extent funds are available therefor, an amount equal to the aggregate of each Purchaser Group’s Ratable Share of the Servicing Fee accrued through such day and not previously set aside;</w:t>
      </w:r>
    </w:p>
    <w:p>
      <w:pPr>
        <w:spacing w:after="0" w:line="69" w:lineRule="exact"/>
        <w:rPr>
          <w:rFonts w:ascii="Arial" w:cs="Arial" w:eastAsia="Arial" w:hAnsi="Arial"/>
          <w:sz w:val="17"/>
          <w:szCs w:val="17"/>
          <w:color w:val="auto"/>
        </w:rPr>
      </w:pPr>
    </w:p>
    <w:p>
      <w:pPr>
        <w:ind w:left="440" w:right="80" w:firstLine="419"/>
        <w:spacing w:after="0" w:line="289" w:lineRule="auto"/>
        <w:tabs>
          <w:tab w:leader="none" w:pos="1128" w:val="left"/>
        </w:tabs>
        <w:numPr>
          <w:ilvl w:val="0"/>
          <w:numId w:val="22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1.4(f)</w:t>
      </w:r>
      <w:r>
        <w:rPr>
          <w:rFonts w:ascii="Arial" w:cs="Arial" w:eastAsia="Arial" w:hAnsi="Arial"/>
          <w:sz w:val="16"/>
          <w:szCs w:val="16"/>
          <w:color w:val="auto"/>
        </w:rPr>
        <w:t xml:space="preserve">, if such day is not a Termination Day, remit to the Seller, ratably, on behalf of each Purchaser Group, the remainder of such Collections. Such remainder shall, to the extent representing a return on the Aggregate Investment, ratably, according to each Purchaser’s Investment, be automatically reinvested in Pool Receivables, and in the Related Security, Collections and other proceeds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w:t>
      </w:r>
      <w:r>
        <w:rPr>
          <w:rFonts w:ascii="Arial" w:cs="Arial" w:eastAsia="Arial" w:hAnsi="Arial"/>
          <w:sz w:val="16"/>
          <w:szCs w:val="16"/>
          <w:color w:val="auto"/>
        </w:rPr>
        <w:t xml:space="preserve">r, that if the Purchased Interest would exceed 100%, then the Servicer shall not reinvest, but shall set aside and hold in trust for the benefit of the Purchasers (and shall, at the request of the Administrator (with the consent or at the direction of a Simple Majority of the Purchasers), segregate in a separate account approved by the Administrator if, at the time of such request, there exists an Unmatured Termination Event or a Termination Event or if the failure to so segregate reasonably could be expected to cause a Material Adverse Effect) a portion of such Collections that, together with the other Collections set aside pursuant to this paragraph, shall equal the amount necessary to reduce the Purchased Interest to 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Facility Termination Date has been extended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00" w:name="page201"/>
    <w:bookmarkEnd w:id="20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pursuant to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and any Purchaser (or its Purchaser Agent) has provided notice (an “</w:t>
      </w:r>
      <w:r>
        <w:rPr>
          <w:rFonts w:ascii="Arial" w:cs="Arial" w:eastAsia="Arial" w:hAnsi="Arial"/>
          <w:sz w:val="16"/>
          <w:szCs w:val="16"/>
          <w:u w:val="single" w:color="auto"/>
          <w:color w:val="auto"/>
        </w:rPr>
        <w:t>Exiting Notice</w:t>
      </w:r>
      <w:r>
        <w:rPr>
          <w:rFonts w:ascii="Arial" w:cs="Arial" w:eastAsia="Arial" w:hAnsi="Arial"/>
          <w:sz w:val="16"/>
          <w:szCs w:val="16"/>
          <w:color w:val="auto"/>
        </w:rPr>
        <w:t>”) to the Administrator, the Seller and</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the Servicer of such Purchaser’s refusal, pursuant to </w:t>
      </w:r>
      <w:r>
        <w:rPr>
          <w:rFonts w:ascii="Arial" w:cs="Arial" w:eastAsia="Arial" w:hAnsi="Arial"/>
          <w:sz w:val="17"/>
          <w:szCs w:val="17"/>
          <w:u w:val="single" w:color="auto"/>
          <w:color w:val="auto"/>
        </w:rPr>
        <w:t>Section 1.10</w:t>
      </w:r>
      <w:r>
        <w:rPr>
          <w:rFonts w:ascii="Arial" w:cs="Arial" w:eastAsia="Arial" w:hAnsi="Arial"/>
          <w:sz w:val="17"/>
          <w:szCs w:val="17"/>
          <w:color w:val="auto"/>
        </w:rPr>
        <w:t>, to extend its (or its Committed Purchaser’s) Commitment hereunder (an</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Exiting Purchaser</w:t>
      </w:r>
      <w:r>
        <w:rPr>
          <w:rFonts w:ascii="Arial" w:cs="Arial" w:eastAsia="Arial" w:hAnsi="Arial"/>
          <w:sz w:val="16"/>
          <w:szCs w:val="16"/>
          <w:color w:val="auto"/>
        </w:rPr>
        <w:t>”) then such Collections shall not be reinvested and shall instead be held in trust for the benefit of such Purchaser and applied in</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accordance with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below;</w:t>
      </w:r>
    </w:p>
    <w:p>
      <w:pPr>
        <w:spacing w:after="0" w:line="103" w:lineRule="exact"/>
        <w:rPr>
          <w:sz w:val="20"/>
          <w:szCs w:val="20"/>
          <w:color w:val="auto"/>
        </w:rPr>
      </w:pPr>
    </w:p>
    <w:p>
      <w:pPr>
        <w:ind w:left="440" w:right="80" w:firstLine="419"/>
        <w:spacing w:after="0" w:line="286" w:lineRule="auto"/>
        <w:tabs>
          <w:tab w:leader="none" w:pos="1178"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if such day is a Termination Day (or any day following the provision of an Exiting Notice), set aside, segregate and hold in trust (and shall, at the request of the Administrator (with the consent or at the direction of a Simple Majority of the Purchasers), segregate in a separate account approved by the Administrator) for the benefit of each Purchaser Group the entire remainder of the Collections (or in the case of an Exiting Purchaser, an amount equal to such Purchaser’s ratable share of such Collections based on its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for the purpose of determining such Purchaser’s ratable share of such Collections, such Purchaser’s Investment shall be deemed to remain constant from the date of the provision of an Exiting Notice until the date such Purchaser’s Investment has been paid in full; it being understood that if such day is also a Termination Day, such Exiting Purchaser’s Investment shall be recalculated taking into account amounts received by such Purchaser in respect of this parenthetical and thereafter Collections shall be set aside for such Purchaser ratably in respect of its Investment (as recalculated));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amounts are set aside and held in trust on any Termination Day of the type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of “Termination Day” (or any day following the provision of an Exiting Notice) and, thereafter, the conditions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II</w:t>
      </w:r>
      <w:r>
        <w:rPr>
          <w:rFonts w:ascii="Arial" w:cs="Arial" w:eastAsia="Arial" w:hAnsi="Arial"/>
          <w:sz w:val="16"/>
          <w:szCs w:val="16"/>
          <w:color w:val="auto"/>
        </w:rPr>
        <w:t xml:space="preserve"> are satisfied or waived by the Administrator and a Simple Majority of the Purchasers (or in the case of an Exiting Notice, such Exiting Notice has been revoked by the related Exiting Purchaser and written notice thereof has been provided by such Exiting Purchaser or its Purchaser Agent to the Administrator, the Seller and the Servicer), such previously set-aside amounts shall, to the extent representing a return on Aggregate Investment (or the Investment of the Exiting Purchaser) and ratably in accordance with each Purchaser’s Investment, be reinvested in accordance with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on the day of such subsequent satisfaction or waiver of conditions or revocation of such Exiting Notice; and</w:t>
      </w:r>
    </w:p>
    <w:p>
      <w:pPr>
        <w:spacing w:after="0" w:line="59" w:lineRule="exact"/>
        <w:rPr>
          <w:rFonts w:ascii="Arial" w:cs="Arial" w:eastAsia="Arial" w:hAnsi="Arial"/>
          <w:sz w:val="16"/>
          <w:szCs w:val="16"/>
          <w:color w:val="auto"/>
        </w:rPr>
      </w:pPr>
    </w:p>
    <w:p>
      <w:pPr>
        <w:ind w:left="440" w:right="60" w:firstLine="419"/>
        <w:spacing w:after="0" w:line="301" w:lineRule="auto"/>
        <w:tabs>
          <w:tab w:leader="none" w:pos="1168"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release to the Seller (subject to </w:t>
      </w:r>
      <w:r>
        <w:rPr>
          <w:rFonts w:ascii="Arial" w:cs="Arial" w:eastAsia="Arial" w:hAnsi="Arial"/>
          <w:sz w:val="16"/>
          <w:szCs w:val="16"/>
          <w:u w:val="single" w:color="auto"/>
          <w:color w:val="auto"/>
        </w:rPr>
        <w:t>Section 1.4(f)</w:t>
      </w:r>
      <w:r>
        <w:rPr>
          <w:rFonts w:ascii="Arial" w:cs="Arial" w:eastAsia="Arial" w:hAnsi="Arial"/>
          <w:sz w:val="16"/>
          <w:szCs w:val="16"/>
          <w:color w:val="auto"/>
        </w:rPr>
        <w:t xml:space="preserve">) for its own account any Collections in excess of: (x) amounts required to be reinvested in accordance with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or the proviso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plus (y) the amounts that are required to be set aside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the proviso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plus (z) the Seller’s Share of the Servicing Fee accrued and unpaid through such day and all reasonable and appropriate out-of-pocket costs and expenses of the Servicer for servicing, collecting and administering the Pool Receivables.</w:t>
      </w:r>
    </w:p>
    <w:p>
      <w:pPr>
        <w:spacing w:after="0" w:line="157" w:lineRule="exact"/>
        <w:rPr>
          <w:rFonts w:ascii="Arial" w:cs="Arial" w:eastAsia="Arial" w:hAnsi="Arial"/>
          <w:sz w:val="16"/>
          <w:szCs w:val="16"/>
          <w:color w:val="auto"/>
        </w:rPr>
      </w:pPr>
    </w:p>
    <w:p>
      <w:pPr>
        <w:ind w:right="20" w:firstLine="987"/>
        <w:spacing w:after="0" w:line="279" w:lineRule="auto"/>
        <w:tabs>
          <w:tab w:leader="none" w:pos="1236" w:val="left"/>
        </w:tabs>
        <w:numPr>
          <w:ilvl w:val="1"/>
          <w:numId w:val="223"/>
        </w:numPr>
        <w:rPr>
          <w:rFonts w:ascii="Arial" w:cs="Arial" w:eastAsia="Arial" w:hAnsi="Arial"/>
          <w:sz w:val="17"/>
          <w:szCs w:val="17"/>
          <w:color w:val="auto"/>
        </w:rPr>
      </w:pPr>
      <w:r>
        <w:rPr>
          <w:rFonts w:ascii="Arial" w:cs="Arial" w:eastAsia="Arial" w:hAnsi="Arial"/>
          <w:sz w:val="17"/>
          <w:szCs w:val="17"/>
          <w:color w:val="auto"/>
        </w:rPr>
        <w:t xml:space="preserve">The Servicer shall, in accordance with the priorities set forth in </w:t>
      </w:r>
      <w:r>
        <w:rPr>
          <w:rFonts w:ascii="Arial" w:cs="Arial" w:eastAsia="Arial" w:hAnsi="Arial"/>
          <w:sz w:val="17"/>
          <w:szCs w:val="17"/>
          <w:u w:val="single" w:color="auto"/>
          <w:color w:val="auto"/>
        </w:rPr>
        <w:t>Section 1.4(d)</w:t>
      </w:r>
      <w:r>
        <w:rPr>
          <w:rFonts w:ascii="Arial" w:cs="Arial" w:eastAsia="Arial" w:hAnsi="Arial"/>
          <w:sz w:val="17"/>
          <w:szCs w:val="17"/>
          <w:color w:val="auto"/>
        </w:rPr>
        <w:t xml:space="preserve">, deposit on each Settlement Date into the account from time to time specified by the Administrator, Collections held for the benefit of the Purchasers pursuant to </w:t>
      </w:r>
      <w:r>
        <w:rPr>
          <w:rFonts w:ascii="Arial" w:cs="Arial" w:eastAsia="Arial" w:hAnsi="Arial"/>
          <w:sz w:val="17"/>
          <w:szCs w:val="17"/>
          <w:u w:val="single" w:color="auto"/>
          <w:color w:val="auto"/>
        </w:rPr>
        <w:t>Sections 1.4(b)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1.4(f)</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if WESCO or an Affiliate thereof is the Servicer, such day is not a Termination Day and the Administrator has not notified WESCO (or such Affiliate) that such right is revoked, WESCO (or such Affiliate) may retain the portion of the Collections set aside pursuant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01" w:name="page202"/>
    <w:bookmarkEnd w:id="201"/>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w:t>
      </w:r>
      <w:r>
        <w:rPr>
          <w:rFonts w:ascii="Arial" w:cs="Arial" w:eastAsia="Arial" w:hAnsi="Arial"/>
          <w:sz w:val="17"/>
          <w:szCs w:val="17"/>
          <w:u w:val="single" w:color="auto"/>
          <w:color w:val="auto"/>
        </w:rPr>
        <w:t>Section 1.4(b)(i)</w:t>
      </w:r>
      <w:r>
        <w:rPr>
          <w:rFonts w:ascii="Arial" w:cs="Arial" w:eastAsia="Arial" w:hAnsi="Arial"/>
          <w:sz w:val="17"/>
          <w:szCs w:val="17"/>
          <w:color w:val="auto"/>
        </w:rPr>
        <w:t xml:space="preserve"> that represents the aggregate of each Purchaser Group’s Ratable Share of the Servicing Fee. Within three Business Days of the last day of each Yield Period with respect to any Portion of Investment, the applicable Purchaser Agent will notify the Servicer and the Administrator by e-mail of the amount of the Discount accrued with respect to such Portion of Investment during the related Yield Period.</w:t>
      </w:r>
    </w:p>
    <w:p>
      <w:pPr>
        <w:spacing w:after="0" w:line="165" w:lineRule="exact"/>
        <w:rPr>
          <w:sz w:val="20"/>
          <w:szCs w:val="20"/>
          <w:color w:val="auto"/>
        </w:rPr>
      </w:pPr>
    </w:p>
    <w:p>
      <w:pPr>
        <w:ind w:left="1240" w:hanging="253"/>
        <w:spacing w:after="0"/>
        <w:tabs>
          <w:tab w:leader="none" w:pos="12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 xml:space="preserve">The Servicer shall distribute the amounts described (and at the times set forth) in </w:t>
      </w:r>
      <w:r>
        <w:rPr>
          <w:rFonts w:ascii="Arial" w:cs="Arial" w:eastAsia="Arial" w:hAnsi="Arial"/>
          <w:sz w:val="18"/>
          <w:szCs w:val="18"/>
          <w:u w:val="single" w:color="auto"/>
          <w:color w:val="auto"/>
        </w:rPr>
        <w:t>Section 1.4(c)</w:t>
      </w:r>
      <w:r>
        <w:rPr>
          <w:rFonts w:ascii="Arial" w:cs="Arial" w:eastAsia="Arial" w:hAnsi="Arial"/>
          <w:sz w:val="18"/>
          <w:szCs w:val="18"/>
          <w:color w:val="auto"/>
        </w:rPr>
        <w:t>, as follows:</w:t>
      </w:r>
    </w:p>
    <w:p>
      <w:pPr>
        <w:spacing w:after="0" w:line="117" w:lineRule="exact"/>
        <w:rPr>
          <w:rFonts w:ascii="Arial" w:cs="Arial" w:eastAsia="Arial" w:hAnsi="Arial"/>
          <w:sz w:val="18"/>
          <w:szCs w:val="18"/>
          <w:color w:val="auto"/>
        </w:rPr>
      </w:pPr>
    </w:p>
    <w:p>
      <w:pPr>
        <w:ind w:left="440" w:right="120" w:firstLine="419"/>
        <w:spacing w:after="0" w:line="271" w:lineRule="auto"/>
        <w:tabs>
          <w:tab w:leader="none" w:pos="1078"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if such distribution occurs on a day that is not a Termination Day and the Purchased Interest does not exceed 100%, first to the Administrator for distribution to each Purchaser Agent ratably according to the Discount accrued during such Yield Period (for the benefit of the relevant Purchasers within such Purchaser Agent’s Purchaser Group) in payment in full of all accrued Discount and fees (other than Servicing Fees) with respect to each Portion of Investment maintained by such Purchasers; </w:t>
      </w:r>
      <w:r>
        <w:rPr>
          <w:rFonts w:ascii="Arial" w:cs="Arial" w:eastAsia="Arial" w:hAnsi="Arial"/>
          <w:sz w:val="17"/>
          <w:szCs w:val="17"/>
          <w:u w:val="single" w:color="auto"/>
          <w:color w:val="auto"/>
        </w:rPr>
        <w:t>it being understood</w:t>
      </w:r>
      <w:r>
        <w:rPr>
          <w:rFonts w:ascii="Arial" w:cs="Arial" w:eastAsia="Arial" w:hAnsi="Arial"/>
          <w:sz w:val="17"/>
          <w:szCs w:val="17"/>
          <w:color w:val="auto"/>
        </w:rPr>
        <w:t xml:space="preserve"> that each Purchaser Agent shall distribute such amounts to the Purchasers within its Purchaser Group ratably according to Discount and fees, and second, if the Servicer has set aside amounts in respect of the Servicing Fee pursuant to </w:t>
      </w:r>
      <w:r>
        <w:rPr>
          <w:rFonts w:ascii="Arial" w:cs="Arial" w:eastAsia="Arial" w:hAnsi="Arial"/>
          <w:sz w:val="17"/>
          <w:szCs w:val="17"/>
          <w:u w:val="single" w:color="auto"/>
          <w:color w:val="auto"/>
        </w:rPr>
        <w:t>clause (b)(i)</w:t>
      </w:r>
      <w:r>
        <w:rPr>
          <w:rFonts w:ascii="Arial" w:cs="Arial" w:eastAsia="Arial" w:hAnsi="Arial"/>
          <w:sz w:val="17"/>
          <w:szCs w:val="17"/>
          <w:color w:val="auto"/>
        </w:rPr>
        <w:t xml:space="preserve"> and has not retained such amounts pursuant to </w:t>
      </w:r>
      <w:r>
        <w:rPr>
          <w:rFonts w:ascii="Arial" w:cs="Arial" w:eastAsia="Arial" w:hAnsi="Arial"/>
          <w:sz w:val="17"/>
          <w:szCs w:val="17"/>
          <w:u w:val="single" w:color="auto"/>
          <w:color w:val="auto"/>
        </w:rPr>
        <w:t>clause (c)</w:t>
      </w:r>
      <w:r>
        <w:rPr>
          <w:rFonts w:ascii="Arial" w:cs="Arial" w:eastAsia="Arial" w:hAnsi="Arial"/>
          <w:sz w:val="17"/>
          <w:szCs w:val="17"/>
          <w:color w:val="auto"/>
        </w:rPr>
        <w:t>, to the Servicer’s own account (payable in arrears on each Settlement Date) in payment in full of the aggregate of each Purchaser Group’s Ratable Share of accrued Servicing Fees so set aside, and</w:t>
      </w:r>
    </w:p>
    <w:p>
      <w:pPr>
        <w:spacing w:after="0" w:line="70" w:lineRule="exact"/>
        <w:rPr>
          <w:rFonts w:ascii="Arial" w:cs="Arial" w:eastAsia="Arial" w:hAnsi="Arial"/>
          <w:sz w:val="17"/>
          <w:szCs w:val="17"/>
          <w:color w:val="auto"/>
        </w:rPr>
      </w:pPr>
    </w:p>
    <w:p>
      <w:pPr>
        <w:ind w:left="440" w:right="20" w:firstLine="419"/>
        <w:spacing w:after="0" w:line="283" w:lineRule="auto"/>
        <w:tabs>
          <w:tab w:leader="none" w:pos="112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if such distribution occurs on a Termination Day or on a day when the Purchased Interest exceeds 100%,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if WESCO or an Affiliate thereof is not the Servicer, to the Servicer’s own account in payment in full of all accrued Servicing Fees,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Administrator for distribution to each Purchaser Agent ratably according to Investment (for the benefit of the relevant Purchasers within such Purchaser Agent’s Purchaser Group) in payment in full of all such accrued Discount with respect to each Portion of Investment funded or maintained by the Purchasers within such Purchaser Agent’s Purchaser Group,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the Administrator for distribution to each Purchaser Agent (for the benefit of the relevant Purchasers within such Purchaser Agent’s Purchaser Group) ratably according to the fees accrued (other than Servicing Fees) in payment in full of all such accrued fees (other than Servicing Fees) with respect to each Portion of Investment maintained by such Purchasers,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the Administrator for distribution to each Purchaser Agent ratably according to the aggregate of the Investment of each Purchaser in each such Purchaser Agent’s Purchaser Group (for the benefit of the relevant Purchasers within such Purchaser Agent’s Purchaser Group) in payment in full of each Purchaser’s Investment (or, if such day is not a Termination Day, the amount necessary to reduce the Purchased Interest to 100%); </w:t>
      </w:r>
      <w:r>
        <w:rPr>
          <w:rFonts w:ascii="Arial" w:cs="Arial" w:eastAsia="Arial" w:hAnsi="Arial"/>
          <w:sz w:val="16"/>
          <w:szCs w:val="16"/>
          <w:u w:val="single" w:color="auto"/>
          <w:color w:val="auto"/>
        </w:rPr>
        <w:t>it being understood</w:t>
      </w:r>
      <w:r>
        <w:rPr>
          <w:rFonts w:ascii="Arial" w:cs="Arial" w:eastAsia="Arial" w:hAnsi="Arial"/>
          <w:sz w:val="16"/>
          <w:szCs w:val="16"/>
          <w:color w:val="auto"/>
        </w:rPr>
        <w:t xml:space="preserve"> that each Purchaser Agent shall distribute the amounts described in the second, third and fourth clauses of this </w:t>
      </w:r>
      <w:r>
        <w:rPr>
          <w:rFonts w:ascii="Arial" w:cs="Arial" w:eastAsia="Arial" w:hAnsi="Arial"/>
          <w:sz w:val="16"/>
          <w:szCs w:val="16"/>
          <w:u w:val="single" w:color="auto"/>
          <w:color w:val="auto"/>
        </w:rPr>
        <w:t>Section 1.4(d)(ii)</w:t>
      </w:r>
      <w:r>
        <w:rPr>
          <w:rFonts w:ascii="Arial" w:cs="Arial" w:eastAsia="Arial" w:hAnsi="Arial"/>
          <w:sz w:val="16"/>
          <w:szCs w:val="16"/>
          <w:color w:val="auto"/>
        </w:rPr>
        <w:t xml:space="preserve"> to the Purchasers within its Purchaser Group ratably according to Investment or, in the case of the third clause of this</w:t>
      </w:r>
    </w:p>
    <w:p>
      <w:pPr>
        <w:spacing w:after="0" w:line="2" w:lineRule="exact"/>
        <w:rPr>
          <w:rFonts w:ascii="Arial" w:cs="Arial" w:eastAsia="Arial" w:hAnsi="Arial"/>
          <w:sz w:val="16"/>
          <w:szCs w:val="16"/>
          <w:color w:val="auto"/>
        </w:rPr>
      </w:pPr>
    </w:p>
    <w:p>
      <w:pPr>
        <w:ind w:left="44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Section 1.4(d)(ii)</w:t>
      </w:r>
      <w:r>
        <w:rPr>
          <w:rFonts w:ascii="Arial" w:cs="Arial" w:eastAsia="Arial" w:hAnsi="Arial"/>
          <w:sz w:val="18"/>
          <w:szCs w:val="18"/>
          <w:color w:val="auto"/>
        </w:rPr>
        <w:t xml:space="preserve">, fees (not including the Servicing Fee), </w:t>
      </w:r>
      <w:r>
        <w:rPr>
          <w:rFonts w:ascii="Arial" w:cs="Arial" w:eastAsia="Arial" w:hAnsi="Arial"/>
          <w:sz w:val="18"/>
          <w:szCs w:val="18"/>
          <w:u w:val="single" w:color="auto"/>
          <w:color w:val="auto"/>
        </w:rPr>
        <w:t>fifth</w:t>
      </w:r>
      <w:r>
        <w:rPr>
          <w:rFonts w:ascii="Arial" w:cs="Arial" w:eastAsia="Arial" w:hAnsi="Arial"/>
          <w:sz w:val="18"/>
          <w:szCs w:val="18"/>
          <w:color w:val="auto"/>
        </w:rPr>
        <w:t>, if the Aggregate Investment and accrued Aggregate Discount with respect to each Portion of Investment for all Purchaser Groups have been reduced to zero, and all accrued Servicing Fees payable to the Servicer (if other than WESCO or an Affiliate thereof) have been paid in full, to the Administrator for distribution ratably to each Purchaser Agent (for the benefit of the Purchasers within such Purchaser Group) the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202" w:name="page203"/>
    <w:bookmarkEnd w:id="202"/>
    <w:p>
      <w:pPr>
        <w:jc w:val="both"/>
        <w:ind w:left="440"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Administrator, each Indemnified Party and each Affected Person, in payment in full of any other amounts owed thereto by the Seller or Servicer hereunder, and </w:t>
      </w:r>
      <w:r>
        <w:rPr>
          <w:rFonts w:ascii="Arial" w:cs="Arial" w:eastAsia="Arial" w:hAnsi="Arial"/>
          <w:sz w:val="18"/>
          <w:szCs w:val="18"/>
          <w:u w:val="single" w:color="auto"/>
          <w:color w:val="auto"/>
        </w:rPr>
        <w:t>sixth</w:t>
      </w:r>
      <w:r>
        <w:rPr>
          <w:rFonts w:ascii="Arial" w:cs="Arial" w:eastAsia="Arial" w:hAnsi="Arial"/>
          <w:sz w:val="18"/>
          <w:szCs w:val="18"/>
          <w:color w:val="auto"/>
        </w:rPr>
        <w:t>, to the Servicer’s own account (if the Servicer is WESCO or an Affiliate thereof) in payment in full of the aggregate of each Purchaser Group’s Ratable Share of all accrued Servicing Fees.</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After the Aggregate Investment, Aggregate Discount, fees payable pursuant to each Purchaser Group Fee Letter and Servicing Fees with respect to the Purchased Interest, and any other amounts payable by the Seller and the Servicer to each Purchaser Group, the Administrator or any other Indemnified Party or Affected Person hereunder, have been paid in full, all additional Collections with respect to the Purchased Interest shall be paid to the Seller for its own account. Each Purchaser Agent hereby covenants and agrees to timely provide the Administrator with all information necessary for the Administrator to make the allocations to the Purchaser Agents required to be made by the Administrator pursuant to </w:t>
      </w:r>
      <w:r>
        <w:rPr>
          <w:rFonts w:ascii="Arial" w:cs="Arial" w:eastAsia="Arial" w:hAnsi="Arial"/>
          <w:sz w:val="17"/>
          <w:szCs w:val="17"/>
          <w:u w:val="single" w:color="auto"/>
          <w:color w:val="auto"/>
        </w:rPr>
        <w:t>Sections 1.4(d)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1.4(f)</w:t>
      </w:r>
      <w:r>
        <w:rPr>
          <w:rFonts w:ascii="Arial" w:cs="Arial" w:eastAsia="Arial" w:hAnsi="Arial"/>
          <w:sz w:val="17"/>
          <w:szCs w:val="17"/>
          <w:color w:val="auto"/>
        </w:rPr>
        <w:t>, including the applicable account of each Purchaser Agent for which amounts should be distributed.</w:t>
      </w:r>
    </w:p>
    <w:p>
      <w:pPr>
        <w:spacing w:after="0" w:line="178" w:lineRule="exact"/>
        <w:rPr>
          <w:sz w:val="20"/>
          <w:szCs w:val="20"/>
          <w:color w:val="auto"/>
        </w:rPr>
      </w:pPr>
    </w:p>
    <w:p>
      <w:pPr>
        <w:ind w:left="680" w:hanging="244"/>
        <w:spacing w:after="0"/>
        <w:tabs>
          <w:tab w:leader="none" w:pos="6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40" w:firstLine="419"/>
        <w:spacing w:after="0" w:line="285" w:lineRule="auto"/>
        <w:tabs>
          <w:tab w:leader="none" w:pos="1078" w:val="left"/>
        </w:tabs>
        <w:numPr>
          <w:ilvl w:val="1"/>
          <w:numId w:val="226"/>
        </w:numPr>
        <w:rPr>
          <w:rFonts w:ascii="Arial" w:cs="Arial" w:eastAsia="Arial" w:hAnsi="Arial"/>
          <w:sz w:val="16"/>
          <w:szCs w:val="16"/>
          <w:color w:val="auto"/>
        </w:rPr>
      </w:pPr>
      <w:r>
        <w:rPr>
          <w:rFonts w:ascii="Arial" w:cs="Arial" w:eastAsia="Arial" w:hAnsi="Arial"/>
          <w:sz w:val="16"/>
          <w:szCs w:val="16"/>
          <w:color w:val="auto"/>
        </w:rPr>
        <w:t>if on any day the Outstanding Balance of any Pool Receivable is reduced or adjusted as a result of any defective, rejected, returned, repossessed or foreclosed goods or services, or any revision, cancellation, allowance, discount or other adjustment made by the Seller or any Affiliate of the Seller, or the Servicer or any Affiliate of the Servicer, or any setoff or dispute between the Seller or any Affiliate of the Seller, or the Servicer or any Affiliate of the Servicer and an Obligor, the Seller shall be deemed to have received on such day a Collection of such Pool Receivable in the amount of such reduction or adjustment and, if such reduction or adjustment (x) causes the Purchased Interest to exceed 100%,</w:t>
      </w:r>
    </w:p>
    <w:p>
      <w:pPr>
        <w:spacing w:after="0" w:line="1" w:lineRule="exact"/>
        <w:rPr>
          <w:rFonts w:ascii="Arial" w:cs="Arial" w:eastAsia="Arial" w:hAnsi="Arial"/>
          <w:sz w:val="16"/>
          <w:szCs w:val="16"/>
          <w:color w:val="auto"/>
        </w:rPr>
      </w:pPr>
    </w:p>
    <w:p>
      <w:pPr>
        <w:ind w:left="440" w:right="220" w:hanging="4"/>
        <w:spacing w:after="0" w:line="273" w:lineRule="auto"/>
        <w:tabs>
          <w:tab w:leader="none" w:pos="695" w:val="left"/>
        </w:tabs>
        <w:numPr>
          <w:ilvl w:val="0"/>
          <w:numId w:val="227"/>
        </w:numPr>
        <w:rPr>
          <w:rFonts w:ascii="Arial" w:cs="Arial" w:eastAsia="Arial" w:hAnsi="Arial"/>
          <w:sz w:val="17"/>
          <w:szCs w:val="17"/>
          <w:color w:val="auto"/>
        </w:rPr>
      </w:pPr>
      <w:r>
        <w:rPr>
          <w:rFonts w:ascii="Arial" w:cs="Arial" w:eastAsia="Arial" w:hAnsi="Arial"/>
          <w:sz w:val="17"/>
          <w:szCs w:val="17"/>
          <w:color w:val="auto"/>
        </w:rPr>
        <w:t xml:space="preserve">occurs after the occurrence of the Facility Termination Date or (z) occurs at any time when the Purchased Interest exceeds 100% or any Termination Event has occurred and is continuing, the Seller shall pay an amount equal to such reduction or adjustment to a Lock-Box Account (other than an Exception Account) (or as otherwise directed by the Administrator at such time) for the benefit of the Purchasers for application pursuant to </w:t>
      </w:r>
      <w:r>
        <w:rPr>
          <w:rFonts w:ascii="Arial" w:cs="Arial" w:eastAsia="Arial" w:hAnsi="Arial"/>
          <w:sz w:val="17"/>
          <w:szCs w:val="17"/>
          <w:u w:val="single" w:color="auto"/>
          <w:color w:val="auto"/>
        </w:rPr>
        <w:t>Section 1.6(a)</w:t>
      </w:r>
      <w:r>
        <w:rPr>
          <w:rFonts w:ascii="Arial" w:cs="Arial" w:eastAsia="Arial" w:hAnsi="Arial"/>
          <w:sz w:val="17"/>
          <w:szCs w:val="17"/>
          <w:color w:val="auto"/>
        </w:rPr>
        <w:t xml:space="preserve"> within one Business Day of such reduction or adjustment;</w:t>
      </w:r>
    </w:p>
    <w:p>
      <w:pPr>
        <w:spacing w:after="0" w:line="68" w:lineRule="exact"/>
        <w:rPr>
          <w:sz w:val="20"/>
          <w:szCs w:val="20"/>
          <w:color w:val="auto"/>
        </w:rPr>
      </w:pPr>
    </w:p>
    <w:p>
      <w:pPr>
        <w:ind w:left="440" w:firstLine="419"/>
        <w:spacing w:after="0" w:line="270" w:lineRule="auto"/>
        <w:tabs>
          <w:tab w:leader="none" w:pos="1128" w:val="left"/>
        </w:tabs>
        <w:numPr>
          <w:ilvl w:val="0"/>
          <w:numId w:val="228"/>
        </w:numPr>
        <w:rPr>
          <w:rFonts w:ascii="Arial" w:cs="Arial" w:eastAsia="Arial" w:hAnsi="Arial"/>
          <w:sz w:val="17"/>
          <w:szCs w:val="17"/>
          <w:color w:val="auto"/>
        </w:rPr>
      </w:pPr>
      <w:r>
        <w:rPr>
          <w:rFonts w:ascii="Arial" w:cs="Arial" w:eastAsia="Arial" w:hAnsi="Arial"/>
          <w:sz w:val="17"/>
          <w:szCs w:val="17"/>
          <w:color w:val="auto"/>
        </w:rPr>
        <w:t xml:space="preserve">if on any day any of the representations or warranties in </w:t>
      </w:r>
      <w:r>
        <w:rPr>
          <w:rFonts w:ascii="Arial" w:cs="Arial" w:eastAsia="Arial" w:hAnsi="Arial"/>
          <w:sz w:val="17"/>
          <w:szCs w:val="17"/>
          <w:u w:val="single" w:color="auto"/>
          <w:color w:val="auto"/>
        </w:rPr>
        <w:t>Section 1(g)</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(m)</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Exhibit III</w:t>
      </w:r>
      <w:r>
        <w:rPr>
          <w:rFonts w:ascii="Arial" w:cs="Arial" w:eastAsia="Arial" w:hAnsi="Arial"/>
          <w:sz w:val="17"/>
          <w:szCs w:val="17"/>
          <w:color w:val="auto"/>
        </w:rPr>
        <w:t xml:space="preserve"> is not true with respect to any Pool Receivable, the Seller shall be deemed to have received on such date, a Collection of such Pool Receivable in full, and if such breach (x) causes the Purchased Interest to exceed 100%, (y) occurs after the occurrence of the Facility Termination Date or (z) occurs at any time when the Purchased Interest exceeds 100% or any Termination Event has occurred and is continuing, the Seller shall pay the amount of such deemed Collection to a Lock-Box Account (other than an Exception Account) (or as otherwise directed by the Administrator at such time) for the benefit of the Purchasers for application pursuant to </w:t>
      </w:r>
      <w:r>
        <w:rPr>
          <w:rFonts w:ascii="Arial" w:cs="Arial" w:eastAsia="Arial" w:hAnsi="Arial"/>
          <w:sz w:val="17"/>
          <w:szCs w:val="17"/>
          <w:u w:val="single" w:color="auto"/>
          <w:color w:val="auto"/>
        </w:rPr>
        <w:t>Section 1.6(a)</w:t>
      </w:r>
      <w:r>
        <w:rPr>
          <w:rFonts w:ascii="Arial" w:cs="Arial" w:eastAsia="Arial" w:hAnsi="Arial"/>
          <w:sz w:val="17"/>
          <w:szCs w:val="17"/>
          <w:color w:val="auto"/>
        </w:rPr>
        <w:t xml:space="preserve"> within one Business Day of such breach; provided that, upon payment in full by the Seller of any Pool Receivable in accordance with this </w:t>
      </w:r>
      <w:r>
        <w:rPr>
          <w:rFonts w:ascii="Arial" w:cs="Arial" w:eastAsia="Arial" w:hAnsi="Arial"/>
          <w:sz w:val="17"/>
          <w:szCs w:val="17"/>
          <w:u w:val="single" w:color="auto"/>
          <w:color w:val="auto"/>
        </w:rPr>
        <w:t>Section 1.4(d)(ii)</w:t>
      </w:r>
      <w:r>
        <w:rPr>
          <w:rFonts w:ascii="Arial" w:cs="Arial" w:eastAsia="Arial" w:hAnsi="Arial"/>
          <w:sz w:val="17"/>
          <w:szCs w:val="17"/>
          <w:color w:val="auto"/>
        </w:rPr>
        <w:t>, the Administrator’s and each other Purchaser’s rights in such Receivable shall automatically be conveyed to the Seller, without representation or warranty, but free and clear of all liens, security interests, charges and encumbrances created by or through the Administrator or any Purchaser;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03" w:name="page204"/>
    <w:bookmarkEnd w:id="203"/>
    <w:p>
      <w:pPr>
        <w:ind w:left="444" w:right="220" w:firstLine="419"/>
        <w:spacing w:after="0" w:line="311" w:lineRule="auto"/>
        <w:tabs>
          <w:tab w:leader="none" w:pos="1182" w:val="left"/>
        </w:tabs>
        <w:numPr>
          <w:ilvl w:val="0"/>
          <w:numId w:val="2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provided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or as otherwise required by Applicable Law or the relevant Contract, all Collections received from an Obligor of any Receivable shall be applied to the Receivables of such Obligor in the order of the age of such Receivables, starting with the oldest such Receivable, unless such Obligor designates in writing its payment for application to specific Receivables; and</w:t>
      </w:r>
    </w:p>
    <w:p>
      <w:pPr>
        <w:spacing w:after="0" w:line="40" w:lineRule="exact"/>
        <w:rPr>
          <w:rFonts w:ascii="Arial" w:cs="Arial" w:eastAsia="Arial" w:hAnsi="Arial"/>
          <w:sz w:val="16"/>
          <w:szCs w:val="16"/>
          <w:color w:val="auto"/>
        </w:rPr>
      </w:pPr>
    </w:p>
    <w:p>
      <w:pPr>
        <w:ind w:left="444" w:firstLine="419"/>
        <w:spacing w:after="0" w:line="257" w:lineRule="auto"/>
        <w:tabs>
          <w:tab w:leader="none" w:pos="117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and to the extent the Administrator, any Purchaser Agent or any Purchaser shall be required for any reason to pay over to an Obligor (or any trustee, receiver, custodian or similar official in any Insolvency Proceeding) any amount received by it hereunder, such amount shall be deemed not to have been so received by such Person but rather to have been retained by the Seller and, accordingly, such Person shall have a claim against the Seller for such amount, payable when and to the extent that any distribution from or on behalf of such Obligor is made in respect thereof.</w:t>
      </w:r>
    </w:p>
    <w:p>
      <w:pPr>
        <w:spacing w:after="0" w:line="187" w:lineRule="exact"/>
        <w:rPr>
          <w:rFonts w:ascii="Arial" w:cs="Arial" w:eastAsia="Arial" w:hAnsi="Arial"/>
          <w:sz w:val="18"/>
          <w:szCs w:val="18"/>
          <w:color w:val="auto"/>
        </w:rPr>
      </w:pPr>
    </w:p>
    <w:p>
      <w:pPr>
        <w:ind w:left="4" w:firstLine="987"/>
        <w:spacing w:after="0" w:line="277" w:lineRule="auto"/>
        <w:tabs>
          <w:tab w:leader="none" w:pos="122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If at any time the Seller shall wish to cause the reduction of Aggregate Investment (but not to commence the liquidation, or reduction to zero, of the entire Aggregate Investment), the Seller may do so as follows:</w:t>
      </w:r>
    </w:p>
    <w:p>
      <w:pPr>
        <w:spacing w:after="0" w:line="62" w:lineRule="exact"/>
        <w:rPr>
          <w:sz w:val="20"/>
          <w:szCs w:val="20"/>
          <w:color w:val="auto"/>
        </w:rPr>
      </w:pPr>
    </w:p>
    <w:p>
      <w:pPr>
        <w:ind w:left="444" w:right="20" w:firstLine="419"/>
        <w:spacing w:after="0" w:line="263" w:lineRule="auto"/>
        <w:tabs>
          <w:tab w:leader="none" w:pos="108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Seller shall give the Administrator, each Purchaser Agent and the Servicer at least two Business Days’ prior written notice thereof for any reduction of Aggregate Investment (such notice to include the amount of such proposed reduction and the proposed date on which such reduction will commence);</w:t>
      </w:r>
    </w:p>
    <w:p>
      <w:pPr>
        <w:spacing w:after="0" w:line="75" w:lineRule="exact"/>
        <w:rPr>
          <w:rFonts w:ascii="Arial" w:cs="Arial" w:eastAsia="Arial" w:hAnsi="Arial"/>
          <w:sz w:val="18"/>
          <w:szCs w:val="18"/>
          <w:color w:val="auto"/>
        </w:rPr>
      </w:pPr>
    </w:p>
    <w:p>
      <w:pPr>
        <w:ind w:left="444" w:right="420" w:firstLine="419"/>
        <w:spacing w:after="0" w:line="277" w:lineRule="auto"/>
        <w:tabs>
          <w:tab w:leader="none" w:pos="113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on the proposed date of commencement of such reduction and on each day thereafter, the Servicer shall cause Collections not to be reinvested until the amount thereof not so reinvested shall equal the desired amount of reduction; and</w:t>
      </w:r>
    </w:p>
    <w:p>
      <w:pPr>
        <w:spacing w:after="0" w:line="62" w:lineRule="exact"/>
        <w:rPr>
          <w:rFonts w:ascii="Arial" w:cs="Arial" w:eastAsia="Arial" w:hAnsi="Arial"/>
          <w:sz w:val="18"/>
          <w:szCs w:val="18"/>
          <w:color w:val="auto"/>
        </w:rPr>
      </w:pPr>
    </w:p>
    <w:p>
      <w:pPr>
        <w:jc w:val="both"/>
        <w:ind w:left="444" w:firstLine="419"/>
        <w:spacing w:after="0" w:line="259" w:lineRule="auto"/>
        <w:tabs>
          <w:tab w:leader="none" w:pos="118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Servicer shall hold such Collections in trust for the benefit of each Purchaser ratably according to its Investment, for payment to the Administrator (for the account of such Purchaser) on the next Settlement Date, and the Aggregate Investment (together with the Investment of any related Purchaser) shall be deemed reduced in the amount to be paid to the Administrator (for the account of such Purchaser) only when in fact finally so paid;</w:t>
      </w:r>
    </w:p>
    <w:p>
      <w:pPr>
        <w:spacing w:after="0" w:line="187" w:lineRule="exact"/>
        <w:rPr>
          <w:sz w:val="20"/>
          <w:szCs w:val="20"/>
          <w:color w:val="auto"/>
        </w:rPr>
      </w:pPr>
    </w:p>
    <w:p>
      <w:pPr>
        <w:ind w:left="104" w:hanging="104"/>
        <w:spacing w:after="0"/>
        <w:tabs>
          <w:tab w:leader="none" w:pos="10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provided, that:</w:t>
      </w:r>
    </w:p>
    <w:p>
      <w:pPr>
        <w:spacing w:after="0" w:line="117" w:lineRule="exact"/>
        <w:rPr>
          <w:rFonts w:ascii="Arial" w:cs="Arial" w:eastAsia="Arial" w:hAnsi="Arial"/>
          <w:sz w:val="18"/>
          <w:szCs w:val="18"/>
          <w:color w:val="auto"/>
        </w:rPr>
      </w:pPr>
    </w:p>
    <w:p>
      <w:pPr>
        <w:ind w:left="444" w:right="540" w:firstLine="419"/>
        <w:spacing w:after="0" w:line="263" w:lineRule="auto"/>
        <w:tabs>
          <w:tab w:leader="none" w:pos="116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amount of any such reduction shall be not less than $500,000 in the aggregate for all Purchaser Groups (unless the Aggregate Investment at the time of such reduction is less than $500,000, in which case such reduction shall be in the amount required to reduce the Aggregate Investment to zero); and</w:t>
      </w:r>
    </w:p>
    <w:p>
      <w:pPr>
        <w:spacing w:after="0" w:line="75" w:lineRule="exact"/>
        <w:rPr>
          <w:rFonts w:ascii="Arial" w:cs="Arial" w:eastAsia="Arial" w:hAnsi="Arial"/>
          <w:sz w:val="18"/>
          <w:szCs w:val="18"/>
          <w:color w:val="auto"/>
        </w:rPr>
      </w:pPr>
    </w:p>
    <w:p>
      <w:pPr>
        <w:ind w:left="444" w:right="80" w:firstLine="419"/>
        <w:spacing w:after="0" w:line="277" w:lineRule="auto"/>
        <w:tabs>
          <w:tab w:leader="none" w:pos="115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with respect to any Portion of Investment, the Seller shall choose a reduction amount, and the date of commencement thereof, so that to the extent practicable such reduction shall commence and conclude in the same Yield Period.</w:t>
      </w:r>
    </w:p>
    <w:p>
      <w:pPr>
        <w:spacing w:after="0" w:line="170" w:lineRule="exact"/>
        <w:rPr>
          <w:sz w:val="20"/>
          <w:szCs w:val="20"/>
          <w:color w:val="auto"/>
        </w:rPr>
      </w:pPr>
    </w:p>
    <w:p>
      <w:pPr>
        <w:ind w:left="4" w:right="440" w:firstLine="440"/>
        <w:spacing w:after="0" w:line="342"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Fees</w:t>
      </w:r>
      <w:r>
        <w:rPr>
          <w:rFonts w:ascii="Arial" w:cs="Arial" w:eastAsia="Arial" w:hAnsi="Arial"/>
          <w:sz w:val="16"/>
          <w:szCs w:val="16"/>
          <w:color w:val="auto"/>
        </w:rPr>
        <w:t>. The Seller shall pay to the Administrator for distribution to each Purchaser Agent for the benefit of the related Purchasers, certain fees in the amounts and on the dates set forth in those certain fee letters, each such letter (as amended or amended and restated</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204" w:name="page205"/>
    <w:bookmarkEnd w:id="204"/>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through the date hereof and as amended, supplemented, or otherwise modified from time to time, a “</w:t>
      </w:r>
      <w:r>
        <w:rPr>
          <w:rFonts w:ascii="Arial" w:cs="Arial" w:eastAsia="Arial" w:hAnsi="Arial"/>
          <w:sz w:val="18"/>
          <w:szCs w:val="18"/>
          <w:u w:val="single" w:color="auto"/>
          <w:color w:val="auto"/>
        </w:rPr>
        <w:t>Purchaser Group Fee Letter</w:t>
      </w:r>
      <w:r>
        <w:rPr>
          <w:rFonts w:ascii="Arial" w:cs="Arial" w:eastAsia="Arial" w:hAnsi="Arial"/>
          <w:sz w:val="18"/>
          <w:szCs w:val="18"/>
          <w:color w:val="auto"/>
        </w:rPr>
        <w:t>”), in each case among the Seller, the Servicer, the related Purchaser Agent and the related Purchasers.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Payments and Computations, Etc</w:t>
      </w:r>
      <w:r>
        <w:rPr>
          <w:rFonts w:ascii="Arial" w:cs="Arial" w:eastAsia="Arial" w:hAnsi="Arial"/>
          <w:sz w:val="18"/>
          <w:szCs w:val="18"/>
          <w:color w:val="auto"/>
        </w:rPr>
        <w:t>.</w:t>
      </w:r>
    </w:p>
    <w:p>
      <w:pPr>
        <w:spacing w:after="0" w:line="117" w:lineRule="exact"/>
        <w:rPr>
          <w:sz w:val="20"/>
          <w:szCs w:val="20"/>
          <w:color w:val="auto"/>
        </w:rPr>
      </w:pPr>
    </w:p>
    <w:p>
      <w:pPr>
        <w:ind w:right="240" w:firstLine="987"/>
        <w:spacing w:after="0" w:line="286" w:lineRule="auto"/>
        <w:tabs>
          <w:tab w:leader="none" w:pos="1236"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All amounts to be paid or deposited by the Seller or the Servicer hereunder or under any other Transaction Document shall be made without reduction for offset or counterclaim and shall be paid or deposited no later than noon (New York City time) on the day when due in same day funds to the applicable account from time to time designated by the Administrator. All amounts received after noon (New York City time) will be deemed to have been received on the next Business Day. Except as expressly set forth herein (including, without limitation, as set forth in </w:t>
      </w:r>
      <w:r>
        <w:rPr>
          <w:rFonts w:ascii="Arial" w:cs="Arial" w:eastAsia="Arial" w:hAnsi="Arial"/>
          <w:sz w:val="16"/>
          <w:szCs w:val="16"/>
          <w:u w:val="single" w:color="auto"/>
          <w:color w:val="auto"/>
        </w:rPr>
        <w:t>Sections</w:t>
      </w:r>
    </w:p>
    <w:p>
      <w:pPr>
        <w:spacing w:after="0" w:line="1" w:lineRule="exact"/>
        <w:rPr>
          <w:rFonts w:ascii="Arial" w:cs="Arial" w:eastAsia="Arial" w:hAnsi="Arial"/>
          <w:sz w:val="16"/>
          <w:szCs w:val="16"/>
          <w:color w:val="auto"/>
        </w:rPr>
      </w:pPr>
    </w:p>
    <w:p>
      <w:pPr>
        <w:spacing w:after="0" w:line="285" w:lineRule="auto"/>
        <w:rPr>
          <w:rFonts w:ascii="Arial" w:cs="Arial" w:eastAsia="Arial" w:hAnsi="Arial"/>
          <w:sz w:val="16"/>
          <w:szCs w:val="16"/>
          <w:color w:val="auto"/>
        </w:rPr>
      </w:pPr>
      <w:r>
        <w:rPr>
          <w:rFonts w:ascii="Arial" w:cs="Arial" w:eastAsia="Arial" w:hAnsi="Arial"/>
          <w:sz w:val="16"/>
          <w:szCs w:val="16"/>
          <w:u w:val="single" w:color="auto"/>
          <w:color w:val="auto"/>
        </w:rPr>
        <w:t>1.4(b)(ii)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with respect to Collections held in trust for Exiting Purchasers), the Administrator shall promptly (and, if reasonably practicable, on the day it receives such amounts) distribute to the applicable Purchaser Agent amounts received by it hereunder for the benefit of the Purchasers within such Purchaser Agent’s Purchaser Group, and such Purchaser Agent shall promptly thereafter distribute such amounts received by it to the Purchasers within its Purchaser Group ratably (x) in the case of such amounts paid in respect of Discount and Fees, according to the Discount and Fees payable to such Purchasers and (y) in the case of such amounts paid in respect of Investment (or in respect of any other obligations other than Discount and Fees), according to the outstanding Investment funded by such Purchasers. Unless the Administrator shall have received notice from Seller prior to the date on which any payment is due to the Administrator for the account of any Purchasers hereunder that the Seller (or the Servicer on its behalf) will not make such payment (including because Collections are not available therefor), the Administrator may assume that the Seller has made or will make such payment on such date in accordance herewith and may (but shall not be obligated to), in reliance upon such assumption, distribute to the Purchaser Agents the amount due. In such event, if the Seller (or the Servicer on its behalf) has not in fact made such payment, then each Purchaser Agent severally agrees to repay to the Administrator forthwith on demand the amount so distributed to such Purchaser Agent, with interest thereon, for each day from and including the date such amount is distributed to it to but excluding the date of payment to the Administrator, at the greater of the Overnight Bank Funding Rate and a rate determined by the Administrator in accordance with banking industry rules on interbank compensation.</w:t>
      </w:r>
    </w:p>
    <w:p>
      <w:pPr>
        <w:spacing w:after="0" w:line="169" w:lineRule="exact"/>
        <w:rPr>
          <w:rFonts w:ascii="Arial" w:cs="Arial" w:eastAsia="Arial" w:hAnsi="Arial"/>
          <w:sz w:val="16"/>
          <w:szCs w:val="16"/>
          <w:color w:val="auto"/>
        </w:rPr>
      </w:pPr>
    </w:p>
    <w:p>
      <w:pPr>
        <w:ind w:firstLine="987"/>
        <w:spacing w:after="0" w:line="308" w:lineRule="auto"/>
        <w:tabs>
          <w:tab w:leader="none" w:pos="1246" w:val="left"/>
        </w:tabs>
        <w:numPr>
          <w:ilvl w:val="0"/>
          <w:numId w:val="232"/>
        </w:numPr>
        <w:rPr>
          <w:rFonts w:ascii="Arial" w:cs="Arial" w:eastAsia="Arial" w:hAnsi="Arial"/>
          <w:sz w:val="17"/>
          <w:szCs w:val="17"/>
          <w:color w:val="auto"/>
        </w:rPr>
      </w:pPr>
      <w:r>
        <w:rPr>
          <w:rFonts w:ascii="Arial" w:cs="Arial" w:eastAsia="Arial" w:hAnsi="Arial"/>
          <w:sz w:val="17"/>
          <w:szCs w:val="17"/>
          <w:color w:val="auto"/>
        </w:rPr>
        <w:t>Whenever any payment or deposit to be made hereunder shall be due on a day other than a Business Day, such payment or deposit shall be made on the next Business Day and such extension of time shall be included in the computation of such payment or deposit.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7" w:lineRule="auto"/>
        <w:tabs>
          <w:tab w:leader="none" w:pos="123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any Purchaser Agent, Purchaser, Liquidity Provider, the Administrator or any other Program Support Provider or any of their respective Affiliates (each an “</w:t>
      </w:r>
      <w:r>
        <w:rPr>
          <w:rFonts w:ascii="Arial" w:cs="Arial" w:eastAsia="Arial" w:hAnsi="Arial"/>
          <w:sz w:val="18"/>
          <w:szCs w:val="18"/>
          <w:u w:val="single" w:color="auto"/>
          <w:color w:val="auto"/>
        </w:rPr>
        <w:t>Affected Person</w:t>
      </w:r>
      <w:r>
        <w:rPr>
          <w:rFonts w:ascii="Arial" w:cs="Arial" w:eastAsia="Arial" w:hAnsi="Arial"/>
          <w:sz w:val="18"/>
          <w:szCs w:val="18"/>
          <w:color w:val="auto"/>
        </w:rPr>
        <w:t>”) reasonably determines that the existence of or compliance with: (i) any law or regulation or any change therein or in the interpretation or application thereof, in each case adopted, issued or occurring after the date hereof, or (ii) any request, guideline or directive from any central bank or other Governmental Authority (whether or not having the force of law) issued or occurring after the date of this Agreement, affects or would affect the amount of capital required or expected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05" w:name="page206"/>
    <w:bookmarkEnd w:id="20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maintained by such Affected Person, and such Affected Person determines that the amount of such capital is increased by or based upon the existence of any commitment to make purchases of (or otherwise to maintain the investment in) Pool Receivables related to this Agreement or any related liquidity facility, credit enhancement facility or other commitments of the same type, then, upon demand by such Affected Person (with a copy to the Administrator), the Seller shall promptly pay to the Administrator, for the account of such Affected Person, from time to time as specified by such Affected Person, additional amounts sufficient to compensate such Affected Person in the light of such circumstances, to the extent that such Affected Person reasonably determines such increase in capital to be allocable to the existence of any of such commitments. A certificate as to such amounts submitted to the Seller and the Administrator by such Affected Person shall be conclusive and binding for all purposes, absent manifest error.</w:t>
      </w:r>
    </w:p>
    <w:p>
      <w:pPr>
        <w:spacing w:after="0" w:line="166" w:lineRule="exact"/>
        <w:rPr>
          <w:sz w:val="20"/>
          <w:szCs w:val="20"/>
          <w:color w:val="auto"/>
        </w:rPr>
      </w:pPr>
    </w:p>
    <w:p>
      <w:pPr>
        <w:ind w:firstLine="987"/>
        <w:spacing w:after="0" w:line="254" w:lineRule="auto"/>
        <w:tabs>
          <w:tab w:leader="none" w:pos="124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If, due to either: (i) the introduction of or any change in or in the interpretation of any law or regulation or (ii) compliance with any guideline or request from any central bank or other Governmental Authority (whether or not having the force of law), there shall be any increase in the cost to any Affected Person of agreeing to purchase or purchasing, or maintaining the ownership of, the Purchased Interest or any portion thereof in respect of which Discount is computed by reference to the applicable Benchmark, then, upon demand by such Affected Person, the Seller shall promptly pay to such Affected Person, from time to time as specified by such Affected Person, additional amounts sufficient to compensate such Affected Person for such increased costs. A certificate as to such amounts submitted to the Seller and the Administrator by such Affected Person shall be conclusive and binding for all purposes, absent manifest error.</w:t>
      </w:r>
    </w:p>
    <w:p>
      <w:pPr>
        <w:spacing w:after="0" w:line="194" w:lineRule="exact"/>
        <w:rPr>
          <w:rFonts w:ascii="Arial" w:cs="Arial" w:eastAsia="Arial" w:hAnsi="Arial"/>
          <w:sz w:val="18"/>
          <w:szCs w:val="18"/>
          <w:color w:val="auto"/>
        </w:rPr>
      </w:pPr>
    </w:p>
    <w:p>
      <w:pPr>
        <w:ind w:right="760" w:firstLine="987"/>
        <w:spacing w:after="0" w:line="342" w:lineRule="auto"/>
        <w:tabs>
          <w:tab w:leader="none" w:pos="1236" w:val="left"/>
        </w:tabs>
        <w:numPr>
          <w:ilvl w:val="1"/>
          <w:numId w:val="234"/>
        </w:numPr>
        <w:rPr>
          <w:rFonts w:ascii="Arial" w:cs="Arial" w:eastAsia="Arial" w:hAnsi="Arial"/>
          <w:sz w:val="16"/>
          <w:szCs w:val="16"/>
          <w:color w:val="auto"/>
        </w:rPr>
      </w:pPr>
      <w:r>
        <w:rPr>
          <w:rFonts w:ascii="Arial" w:cs="Arial" w:eastAsia="Arial" w:hAnsi="Arial"/>
          <w:sz w:val="16"/>
          <w:szCs w:val="16"/>
          <w:color w:val="auto"/>
        </w:rPr>
        <w:t>If such increased costs affect the related Affected Person’s portfolio of financing transactions, such Affected Person shall use reasonable averaging and attribution methods to allocate such increased costs to the transactions contemplated by this Agreement.</w:t>
      </w:r>
    </w:p>
    <w:p>
      <w:pPr>
        <w:spacing w:after="0" w:line="123" w:lineRule="exact"/>
        <w:rPr>
          <w:rFonts w:ascii="Arial" w:cs="Arial" w:eastAsia="Arial" w:hAnsi="Arial"/>
          <w:sz w:val="16"/>
          <w:szCs w:val="16"/>
          <w:color w:val="auto"/>
        </w:rPr>
      </w:pPr>
    </w:p>
    <w:p>
      <w:pPr>
        <w:ind w:right="20" w:firstLine="987"/>
        <w:spacing w:after="0" w:line="255" w:lineRule="auto"/>
        <w:tabs>
          <w:tab w:leader="none" w:pos="124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for purposes of this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(i) the Dodd-Frank Wall Street Reform and Consumer Protection Act, and all requests, rules, guidelines and directives promulgated thereunder and (ii) all requests, rules, guidelines or directives promulgated by the Bank for International Settlements, the Basel Committee on Banking Supervision (or any successor or similar authority) or any Governmental Authority, any central bank of any jurisdiction, comparable agency or other Person, in each case pursuant to, or implementing, the accord know as Basel II or Basel III, are, in the case of each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deemed to have been introduced or adopted after the date hereof, regardless of the date enacted, adopted, issued, promulgated or implemented.</w:t>
      </w:r>
    </w:p>
    <w:p>
      <w:pPr>
        <w:spacing w:after="0" w:line="192" w:lineRule="exact"/>
        <w:rPr>
          <w:rFonts w:ascii="Arial" w:cs="Arial" w:eastAsia="Arial" w:hAnsi="Arial"/>
          <w:sz w:val="18"/>
          <w:szCs w:val="18"/>
          <w:color w:val="auto"/>
        </w:rPr>
      </w:pPr>
    </w:p>
    <w:p>
      <w:pPr>
        <w:ind w:right="20" w:firstLine="987"/>
        <w:spacing w:after="0" w:line="273" w:lineRule="auto"/>
        <w:tabs>
          <w:tab w:leader="none" w:pos="1236" w:val="left"/>
        </w:tabs>
        <w:numPr>
          <w:ilvl w:val="1"/>
          <w:numId w:val="234"/>
        </w:numPr>
        <w:rPr>
          <w:rFonts w:ascii="Arial" w:cs="Arial" w:eastAsia="Arial" w:hAnsi="Arial"/>
          <w:sz w:val="17"/>
          <w:szCs w:val="17"/>
          <w:color w:val="auto"/>
        </w:rPr>
      </w:pPr>
      <w:r>
        <w:rPr>
          <w:rFonts w:ascii="Arial" w:cs="Arial" w:eastAsia="Arial" w:hAnsi="Arial"/>
          <w:sz w:val="17"/>
          <w:szCs w:val="17"/>
          <w:color w:val="auto"/>
        </w:rPr>
        <w:t xml:space="preserve">Failure or delay on the part of any Affected Person to demand compensation pursuant to this Section shall not constitute a waiver of such Affected Person’s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Seller shall not be required to compensate an Affected Person pursuant to this Section for any increased costs or reductions incurred more than 180 days prior to the date that such Affected Person, as the case may be, notifies the Seller of the occurrence or event giving rise to such increased costs or reductions and of such Affected Person’s intention to claim compensation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if the occurrence or event giving rise to such increased costs or reductions is retroactive, then the 180-day period referred to above shall be extended to include the period of retroactive effect thereof.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06" w:name="page207"/>
    <w:bookmarkEnd w:id="20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1.8. </w:t>
      </w:r>
      <w:r>
        <w:rPr>
          <w:rFonts w:ascii="Arial" w:cs="Arial" w:eastAsia="Arial" w:hAnsi="Arial"/>
          <w:sz w:val="18"/>
          <w:szCs w:val="18"/>
          <w:u w:val="single" w:color="auto"/>
          <w:color w:val="auto"/>
        </w:rPr>
        <w:t>Requirements of Law</w:t>
      </w:r>
      <w:r>
        <w:rPr>
          <w:rFonts w:ascii="Arial" w:cs="Arial" w:eastAsia="Arial" w:hAnsi="Arial"/>
          <w:sz w:val="18"/>
          <w:szCs w:val="18"/>
          <w:color w:val="auto"/>
        </w:rPr>
        <w:t>.</w:t>
      </w:r>
    </w:p>
    <w:p>
      <w:pPr>
        <w:spacing w:after="0" w:line="117" w:lineRule="exact"/>
        <w:rPr>
          <w:sz w:val="20"/>
          <w:szCs w:val="20"/>
          <w:color w:val="auto"/>
        </w:rPr>
      </w:pPr>
    </w:p>
    <w:p>
      <w:pPr>
        <w:jc w:val="both"/>
        <w:ind w:left="4" w:right="220" w:firstLine="440"/>
        <w:spacing w:after="0" w:line="311" w:lineRule="auto"/>
        <w:rPr>
          <w:sz w:val="20"/>
          <w:szCs w:val="20"/>
          <w:color w:val="auto"/>
        </w:rPr>
      </w:pPr>
      <w:r>
        <w:rPr>
          <w:rFonts w:ascii="Arial" w:cs="Arial" w:eastAsia="Arial" w:hAnsi="Arial"/>
          <w:sz w:val="16"/>
          <w:szCs w:val="16"/>
          <w:color w:val="auto"/>
        </w:rPr>
        <w:t>If any Affected Person reasonably determines that the existence of or compliance with: (a) any law or regulation or any change therein or in the interpretation or application thereof, in each case adopted, issued or occurring after the date hereof, or (b) any request, guideline or directive from any central bank or other Governmental Authority (whether or not having the force of law) issued or occurring after the date of this Agreement:</w:t>
      </w:r>
    </w:p>
    <w:p>
      <w:pPr>
        <w:spacing w:after="0" w:line="41" w:lineRule="exact"/>
        <w:rPr>
          <w:sz w:val="20"/>
          <w:szCs w:val="20"/>
          <w:color w:val="auto"/>
        </w:rPr>
      </w:pPr>
    </w:p>
    <w:p>
      <w:pPr>
        <w:ind w:left="444" w:right="420" w:firstLine="419"/>
        <w:spacing w:after="0" w:line="275" w:lineRule="auto"/>
        <w:tabs>
          <w:tab w:leader="none" w:pos="1082" w:val="left"/>
        </w:tabs>
        <w:numPr>
          <w:ilvl w:val="0"/>
          <w:numId w:val="235"/>
        </w:numPr>
        <w:rPr>
          <w:rFonts w:ascii="Arial" w:cs="Arial" w:eastAsia="Arial" w:hAnsi="Arial"/>
          <w:sz w:val="17"/>
          <w:szCs w:val="17"/>
          <w:color w:val="auto"/>
        </w:rPr>
      </w:pPr>
      <w:r>
        <w:rPr>
          <w:rFonts w:ascii="Arial" w:cs="Arial" w:eastAsia="Arial" w:hAnsi="Arial"/>
          <w:sz w:val="17"/>
          <w:szCs w:val="17"/>
          <w:color w:val="auto"/>
        </w:rPr>
        <w:t>does or shall subject such Affected Person to any tax of any kind whatsoever with respect to this Agreement, any increase in the Purchased Interest or any portion thereof or in the amount of such Person’s Investment relating thereto, or does or shall change the basis of taxation of payments to such Affected Person on account of Collections, Discount or any other amounts payable hereunder (excluding taxes imposed on the overall pre-tax net income of such Affected Person, and franchise taxes imposed on such Affected Person, by the jurisdiction under the laws of which such Affected Person is organized or a political subdivision thereof),</w:t>
      </w:r>
    </w:p>
    <w:p>
      <w:pPr>
        <w:spacing w:after="0" w:line="68" w:lineRule="exact"/>
        <w:rPr>
          <w:rFonts w:ascii="Arial" w:cs="Arial" w:eastAsia="Arial" w:hAnsi="Arial"/>
          <w:sz w:val="17"/>
          <w:szCs w:val="17"/>
          <w:color w:val="auto"/>
        </w:rPr>
      </w:pPr>
    </w:p>
    <w:p>
      <w:pPr>
        <w:jc w:val="both"/>
        <w:ind w:left="444" w:right="100" w:firstLine="419"/>
        <w:spacing w:after="0" w:line="259" w:lineRule="auto"/>
        <w:tabs>
          <w:tab w:leader="none" w:pos="113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does or shall impose, modify or hold applicable any reserve, special deposit, compulsory loan or similar requirement against assets held by, or deposits or other liabilities in or for the account of, purchases, advances or loans by, or other credit extended by, or any other acquisition of funds by, any office of such Affected Person that are not otherwise included in the determination of the applicable Benchmark or the Base Rate hereunder, or</w:t>
      </w:r>
    </w:p>
    <w:p>
      <w:pPr>
        <w:spacing w:after="0" w:line="78" w:lineRule="exact"/>
        <w:rPr>
          <w:rFonts w:ascii="Arial" w:cs="Arial" w:eastAsia="Arial" w:hAnsi="Arial"/>
          <w:sz w:val="18"/>
          <w:szCs w:val="18"/>
          <w:color w:val="auto"/>
        </w:rPr>
      </w:pPr>
    </w:p>
    <w:p>
      <w:pPr>
        <w:ind w:left="1184" w:hanging="321"/>
        <w:spacing w:after="0"/>
        <w:tabs>
          <w:tab w:leader="none" w:pos="1184" w:val="left"/>
        </w:tabs>
        <w:numPr>
          <w:ilvl w:val="0"/>
          <w:numId w:val="235"/>
        </w:numPr>
        <w:rPr>
          <w:rFonts w:ascii="Arial" w:cs="Arial" w:eastAsia="Arial" w:hAnsi="Arial"/>
          <w:sz w:val="18"/>
          <w:szCs w:val="18"/>
          <w:color w:val="auto"/>
        </w:rPr>
      </w:pPr>
      <w:r>
        <w:rPr>
          <w:rFonts w:ascii="Arial" w:cs="Arial" w:eastAsia="Arial" w:hAnsi="Arial"/>
          <w:sz w:val="18"/>
          <w:szCs w:val="18"/>
          <w:color w:val="auto"/>
        </w:rPr>
        <w:t>does or shall impose on such Affected Person any other condition,</w:t>
      </w:r>
    </w:p>
    <w:p>
      <w:pPr>
        <w:spacing w:after="0" w:line="225" w:lineRule="exact"/>
        <w:rPr>
          <w:sz w:val="20"/>
          <w:szCs w:val="20"/>
          <w:color w:val="auto"/>
        </w:rPr>
      </w:pPr>
    </w:p>
    <w:p>
      <w:pPr>
        <w:ind w:left="4"/>
        <w:spacing w:after="0" w:line="283" w:lineRule="auto"/>
        <w:rPr>
          <w:sz w:val="20"/>
          <w:szCs w:val="20"/>
          <w:color w:val="auto"/>
        </w:rPr>
      </w:pPr>
      <w:r>
        <w:rPr>
          <w:rFonts w:ascii="Arial" w:cs="Arial" w:eastAsia="Arial" w:hAnsi="Arial"/>
          <w:sz w:val="16"/>
          <w:szCs w:val="16"/>
          <w:color w:val="auto"/>
        </w:rPr>
        <w:t xml:space="preserve">and the result of any of the foregoing is: (A) to increase the cost to such Affected Person of acting as Administrator or as a Purchaser Agent, or of agreeing to purchase or purchasing or maintaining the ownership of undivided percentage ownership interests with regard to the Purchased Interest (or interests therein) or any Portion of Investment, or (B) to reduce any amount receivable hereunder (whether directly or indirectly), then, in any such case, upon demand by such Affected Person, the Seller shall promptly pay to such Affected Person additional amounts necessary to compensate such Affected Person for such additional cost or reduced amount receivable. All such amounts shall be payable as incurred. A certificate from such Affected Person to the Seller and the Administrator certifying, in reasonably specific detail, the basis for, calculation of, and amount of such additional costs or reduced amount receivable shall be conclusive and binding for all purposes, absent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Affected Person shall be required to disclose any confidential or tax planning information in any such certificate;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anything to the contrary, for purposes of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(i) the Dodd-Frank Wall Street Reform and Consumer Protection Act, and all requests, rules, guidelines and directives promulgated thereunder, and (ii) all requests, rules, guidelines or directives promulgated by the Bank for International Settlements, the Basel Committee on Banking Supervision (or any successor or similar authority) or any Governmental Authority, any central bank of any jurisdiction, comparable agency or other Person, in each case pursuant to, or implementing, the accord know as Basel II or Basel III, are, in the case of each of </w:t>
      </w:r>
      <w:r>
        <w:rPr>
          <w:rFonts w:ascii="Arial" w:cs="Arial" w:eastAsia="Arial" w:hAnsi="Arial"/>
          <w:sz w:val="16"/>
          <w:szCs w:val="16"/>
          <w:u w:val="single" w:color="auto"/>
          <w:color w:val="auto"/>
        </w:rPr>
        <w:t>clause</w:t>
      </w:r>
    </w:p>
    <w:p>
      <w:pPr>
        <w:spacing w:after="0" w:line="3" w:lineRule="exact"/>
        <w:rPr>
          <w:sz w:val="20"/>
          <w:szCs w:val="20"/>
          <w:color w:val="auto"/>
        </w:rPr>
      </w:pPr>
    </w:p>
    <w:p>
      <w:pPr>
        <w:ind w:left="4" w:right="160" w:hanging="4"/>
        <w:spacing w:after="0" w:line="260" w:lineRule="auto"/>
        <w:tabs>
          <w:tab w:leader="none" w:pos="219" w:val="left"/>
        </w:tabs>
        <w:numPr>
          <w:ilvl w:val="0"/>
          <w:numId w:val="236"/>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deemed to have been introduced or adopted after the date hereof, regardless of the date enacted, adopted, issued, promulgated or implemented.</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207" w:name="page208"/>
    <w:bookmarkEnd w:id="207"/>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Failure or delay on the part of any Affected Person to demand compensation pursuant to this Section shall not constitute a waiver of such Affected Person’s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Seller shall not be required to compensate an Affected Person pursuant to this Section for any increased costs or reductions incurred more than 180 days prior to the date that such Affected Person, as the case may be, notifies the Seller of the occurrence or event giving rise to such increased costs or reductions and of such Affected Person’s intention to claim compensation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if the occurrence or event giving rise to such increased costs or reductions is retroactive, then the 180-day period referred to above shall be extended to include the period of retroactive effect thereof.</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1.9.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u w:val="single" w:color="auto"/>
          <w:color w:val="auto"/>
        </w:rPr>
        <w:t>Extension of Termination Date</w:t>
      </w:r>
      <w:r>
        <w:rPr>
          <w:rFonts w:ascii="Arial" w:cs="Arial" w:eastAsia="Arial" w:hAnsi="Arial"/>
          <w:sz w:val="16"/>
          <w:szCs w:val="16"/>
          <w:color w:val="auto"/>
        </w:rPr>
        <w:t xml:space="preserve">. The Seller may advise the Administrator and each Committed Purchaser in writing of its desire to extend the Scheduled Commitment Termination Date with respect to such Purchaser;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request is made not more than one-hundred twenty (120) days prior to, and not less than sixty (60) days prior to, the then current Scheduled Commitment Termination Date with respect to such Purchaser. In the event that the applicable Purchaser is agreeable to such extension, the Administrator shall so notify the Seller in writing (</w:t>
      </w:r>
      <w:r>
        <w:rPr>
          <w:rFonts w:ascii="Arial" w:cs="Arial" w:eastAsia="Arial" w:hAnsi="Arial"/>
          <w:sz w:val="16"/>
          <w:szCs w:val="16"/>
          <w:u w:val="single" w:color="auto"/>
          <w:color w:val="auto"/>
        </w:rPr>
        <w:t>it being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understood</w:t>
      </w:r>
      <w:r>
        <w:rPr>
          <w:rFonts w:ascii="Arial" w:cs="Arial" w:eastAsia="Arial" w:hAnsi="Arial"/>
          <w:sz w:val="16"/>
          <w:szCs w:val="16"/>
          <w:color w:val="auto"/>
        </w:rPr>
        <w:t xml:space="preserve"> that the Purchasers may accept or decline such a request in their sole discretion and on such terms as they may elect) not less than 30 days prior to its then current Scheduled Commitment Termination Date and the Seller, the Administrator, the Purchaser Agents and the Purchasers shall enter into such documents as the Purchasers may deem necessary or appropriate to reflect such extension, and all reasonable costs and expenses incurred by the Purchasers, the Administrator and the Purchaser Agents in connection therewith (including reasonable Attorney Costs) shall be paid by the Seller. In the event a Purchaser declines the request for such extension, the Administrator shall so notify the Seller and each Purchaser Agent of such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the Administrator to notify the Seller of the determination to decline such extension shall not affect the understanding and agreement that the Purchaser shall be deemed to have refused to grant the requested extension in the event the Administrator fails to affirmatively notify the Seller, in writing, of their agreement to accept the requested extension.</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Increase in Commitments.</w:t>
      </w:r>
    </w:p>
    <w:p>
      <w:pPr>
        <w:spacing w:after="0" w:line="117" w:lineRule="exact"/>
        <w:rPr>
          <w:sz w:val="20"/>
          <w:szCs w:val="20"/>
          <w:color w:val="auto"/>
        </w:rPr>
      </w:pPr>
    </w:p>
    <w:p>
      <w:pPr>
        <w:ind w:right="80" w:firstLine="987"/>
        <w:spacing w:after="0" w:line="270" w:lineRule="auto"/>
        <w:tabs>
          <w:tab w:leader="none" w:pos="1236" w:val="left"/>
        </w:tabs>
        <w:numPr>
          <w:ilvl w:val="0"/>
          <w:numId w:val="237"/>
        </w:numPr>
        <w:rPr>
          <w:rFonts w:ascii="Arial" w:cs="Arial" w:eastAsia="Arial" w:hAnsi="Arial"/>
          <w:sz w:val="17"/>
          <w:szCs w:val="17"/>
          <w:color w:val="auto"/>
        </w:rPr>
      </w:pPr>
      <w:r>
        <w:rPr>
          <w:rFonts w:ascii="Arial" w:cs="Arial" w:eastAsia="Arial" w:hAnsi="Arial"/>
          <w:sz w:val="17"/>
          <w:szCs w:val="17"/>
          <w:u w:val="single" w:color="auto"/>
          <w:color w:val="auto"/>
        </w:rPr>
        <w:t>Requests for Increase</w:t>
      </w:r>
      <w:r>
        <w:rPr>
          <w:rFonts w:ascii="Arial" w:cs="Arial" w:eastAsia="Arial" w:hAnsi="Arial"/>
          <w:sz w:val="17"/>
          <w:szCs w:val="17"/>
          <w:color w:val="auto"/>
        </w:rPr>
        <w:t xml:space="preserve">. So long as no Termination Event or Unmatured Termination Event has occurred and is continuing, upon notice to the Administrator and each Purchaser Agent, the Servicer (on behalf of the Seller) may from time to time (i) request an increase in the Commitment with respect to any existing Committed Purchaser (with the consent of the Administrator) or (ii) request that additional Persons be added as Committed Purchasers subject to the provisions of </w:t>
      </w:r>
      <w:r>
        <w:rPr>
          <w:rFonts w:ascii="Arial" w:cs="Arial" w:eastAsia="Arial" w:hAnsi="Arial"/>
          <w:sz w:val="17"/>
          <w:szCs w:val="17"/>
          <w:u w:val="single" w:color="auto"/>
          <w:color w:val="auto"/>
        </w:rPr>
        <w:t>Section 1.2(e)</w:t>
      </w:r>
      <w:r>
        <w:rPr>
          <w:rFonts w:ascii="Arial" w:cs="Arial" w:eastAsia="Arial" w:hAnsi="Arial"/>
          <w:sz w:val="17"/>
          <w:szCs w:val="17"/>
          <w:color w:val="auto"/>
        </w:rPr>
        <w:t xml:space="preserve">, in each case at any time following the Closing Date and prior to the Facility Termination Date (it being understood and agreed that, for the avoidance of doubt, at no time shall the aggregate of all Commitments exceed $1,750,000,000);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request for an increase or addition of a Person pursuant to </w:t>
      </w:r>
      <w:r>
        <w:rPr>
          <w:rFonts w:ascii="Arial" w:cs="Arial" w:eastAsia="Arial" w:hAnsi="Arial"/>
          <w:sz w:val="17"/>
          <w:szCs w:val="17"/>
          <w:u w:val="single" w:color="auto"/>
          <w:color w:val="auto"/>
        </w:rPr>
        <w:t>Section 1.2(e)</w:t>
      </w:r>
      <w:r>
        <w:rPr>
          <w:rFonts w:ascii="Arial" w:cs="Arial" w:eastAsia="Arial" w:hAnsi="Arial"/>
          <w:sz w:val="17"/>
          <w:szCs w:val="17"/>
          <w:color w:val="auto"/>
        </w:rPr>
        <w:t xml:space="preserve"> shall be in a minimum amount of $10,000,000 and increments of $5,000,000 above such minimum amount. At the time of sending such notice with respect to any existing Committed Purchaser, the Servicer (in consultation with the Administrator and the Purchaser Agent related to such Committed Purchaser) shall specify the time period within which such Committed Purchaser and the Administrator are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08" w:name="page209"/>
    <w:bookmarkEnd w:id="208"/>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requested to respond to the Servicer’s request (which shall in no event be less than ten (10) Business Days from the date of delivery of such notice to the Administrator and such Committed Purchaser and its related Purchaser Agent). For the avoidance of doubt, any increase in the Commitment of any Committed Purchaser is at the sole discretion of such Committed Purchaser.</w:t>
      </w:r>
    </w:p>
    <w:p>
      <w:pPr>
        <w:spacing w:after="0" w:line="184" w:lineRule="exact"/>
        <w:rPr>
          <w:sz w:val="20"/>
          <w:szCs w:val="20"/>
          <w:color w:val="auto"/>
        </w:rPr>
      </w:pPr>
    </w:p>
    <w:p>
      <w:pPr>
        <w:ind w:firstLine="987"/>
        <w:spacing w:after="0" w:line="296" w:lineRule="auto"/>
        <w:tabs>
          <w:tab w:leader="none" w:pos="1246"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t>Elections to Increase</w:t>
      </w:r>
      <w:r>
        <w:rPr>
          <w:rFonts w:ascii="Arial" w:cs="Arial" w:eastAsia="Arial" w:hAnsi="Arial"/>
          <w:sz w:val="16"/>
          <w:szCs w:val="16"/>
          <w:color w:val="auto"/>
        </w:rPr>
        <w:t>. In respect of any existing Committed Purchaser, each of such Committed Purchaser being asked to increase its Commitment and the Administrator shall notify the Seller and the Servicer within the applicable time period whether or not such Person agrees, in its respective sole discretion, to the increase to such Committed Purchaser’s Commitment. Any such Person not responding within such time period shall be deemed to have declined to consent to an increase in such Committed Purchaser’s Commitment. For the avoidance of doubt, only the consent of the Committed Purchaser then being asked to increase its Commitment and the Administrator shall be required in order to approve any such request.</w:t>
      </w:r>
    </w:p>
    <w:p>
      <w:pPr>
        <w:spacing w:after="0" w:line="161" w:lineRule="exact"/>
        <w:rPr>
          <w:rFonts w:ascii="Arial" w:cs="Arial" w:eastAsia="Arial" w:hAnsi="Arial"/>
          <w:sz w:val="16"/>
          <w:szCs w:val="16"/>
          <w:color w:val="auto"/>
        </w:rPr>
      </w:pPr>
    </w:p>
    <w:p>
      <w:pPr>
        <w:ind w:right="340" w:firstLine="987"/>
        <w:spacing w:after="0" w:line="263" w:lineRule="auto"/>
        <w:tabs>
          <w:tab w:leader="none" w:pos="1236"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If the Commitment of any existing Committed Purchaser is increased in accordance with this </w:t>
      </w:r>
      <w:r>
        <w:rPr>
          <w:rFonts w:ascii="Arial" w:cs="Arial" w:eastAsia="Arial" w:hAnsi="Arial"/>
          <w:sz w:val="18"/>
          <w:szCs w:val="18"/>
          <w:u w:val="single" w:color="auto"/>
          <w:color w:val="auto"/>
        </w:rPr>
        <w:t>Section 1.11</w:t>
      </w:r>
      <w:r>
        <w:rPr>
          <w:rFonts w:ascii="Arial" w:cs="Arial" w:eastAsia="Arial" w:hAnsi="Arial"/>
          <w:sz w:val="18"/>
          <w:szCs w:val="18"/>
          <w:color w:val="auto"/>
        </w:rPr>
        <w:t>, the Administrator and the Purchaser Agent for such Committed Purchaser shall determine the effective date with respect to such increase (such date, the “</w:t>
      </w:r>
      <w:r>
        <w:rPr>
          <w:rFonts w:ascii="Arial" w:cs="Arial" w:eastAsia="Arial" w:hAnsi="Arial"/>
          <w:sz w:val="18"/>
          <w:szCs w:val="18"/>
          <w:u w:val="single" w:color="auto"/>
          <w:color w:val="auto"/>
        </w:rPr>
        <w:t>Commitment Increase Effective Date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700" w:firstLine="987"/>
        <w:spacing w:after="0" w:line="263" w:lineRule="auto"/>
        <w:tabs>
          <w:tab w:leader="none" w:pos="1246"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Notification by the Administrator</w:t>
      </w:r>
      <w:r>
        <w:rPr>
          <w:rFonts w:ascii="Arial" w:cs="Arial" w:eastAsia="Arial" w:hAnsi="Arial"/>
          <w:sz w:val="18"/>
          <w:szCs w:val="18"/>
          <w:color w:val="auto"/>
        </w:rPr>
        <w:t>. The Administrator shall notify each Purchaser Agent, the Seller and the Servicer of the Administrator’s and such Committed Purchaser’s response to each request made hereunder, the amount of such increase (if any) and the related Commitment Increase Effective Date.</w:t>
      </w:r>
    </w:p>
    <w:p>
      <w:pPr>
        <w:spacing w:after="0" w:line="183" w:lineRule="exact"/>
        <w:rPr>
          <w:rFonts w:ascii="Arial" w:cs="Arial" w:eastAsia="Arial" w:hAnsi="Arial"/>
          <w:sz w:val="18"/>
          <w:szCs w:val="18"/>
          <w:color w:val="auto"/>
        </w:rPr>
      </w:pPr>
    </w:p>
    <w:p>
      <w:pPr>
        <w:ind w:right="20" w:firstLine="987"/>
        <w:spacing w:after="0" w:line="269" w:lineRule="auto"/>
        <w:tabs>
          <w:tab w:leader="none" w:pos="1236"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Conditions to Effectiveness of Increase</w:t>
      </w:r>
      <w:r>
        <w:rPr>
          <w:rFonts w:ascii="Arial" w:cs="Arial" w:eastAsia="Arial" w:hAnsi="Arial"/>
          <w:sz w:val="17"/>
          <w:szCs w:val="17"/>
          <w:color w:val="auto"/>
        </w:rPr>
        <w:t xml:space="preserve">. As a condition precedent to each such increase, the Servicer shall deliver to the Administrator and each Purchaser Agent, a certificate of the Secretary or Assistant Secretary of each of the Seller and the Servicer, dated as of the Commitment Increase Effective Date, (i) certifying and attaching (x) the resolutions of the Board of Directors of such Person adopted by such Board of Directors approving or consenting to such Commitment increase and authorizing the execution, delivery and performance by such Person of the amendment to this Agreement contemplated in </w:t>
      </w:r>
      <w:r>
        <w:rPr>
          <w:rFonts w:ascii="Arial" w:cs="Arial" w:eastAsia="Arial" w:hAnsi="Arial"/>
          <w:sz w:val="17"/>
          <w:szCs w:val="17"/>
          <w:u w:val="single" w:color="auto"/>
          <w:color w:val="auto"/>
        </w:rPr>
        <w:t>Section 1.11(c)</w:t>
      </w:r>
      <w:r>
        <w:rPr>
          <w:rFonts w:ascii="Arial" w:cs="Arial" w:eastAsia="Arial" w:hAnsi="Arial"/>
          <w:sz w:val="17"/>
          <w:szCs w:val="17"/>
          <w:color w:val="auto"/>
        </w:rPr>
        <w:t xml:space="preserve">, as applicable (it being understood that such resolutions may be dated as of a date prior to the Commitment Increase Effective Date), and (y) all documents evidencing all other necessary corporate action and governmental approvals, if any, with respect to such Commitment increase and such amendment to this Agreement (it being understood that such documents may be dated as of a date prior to the Commitment Increase Effective Date) and (ii) certifying that, before and after giving effect to such increase, (x) the representations and warranties of such Person contained in </w:t>
      </w:r>
      <w:r>
        <w:rPr>
          <w:rFonts w:ascii="Arial" w:cs="Arial" w:eastAsia="Arial" w:hAnsi="Arial"/>
          <w:sz w:val="17"/>
          <w:szCs w:val="17"/>
          <w:u w:val="single" w:color="auto"/>
          <w:color w:val="auto"/>
        </w:rPr>
        <w:t>Exhibit III</w:t>
      </w:r>
      <w:r>
        <w:rPr>
          <w:rFonts w:ascii="Arial" w:cs="Arial" w:eastAsia="Arial" w:hAnsi="Arial"/>
          <w:sz w:val="17"/>
          <w:szCs w:val="17"/>
          <w:color w:val="auto"/>
        </w:rPr>
        <w:t xml:space="preserve"> are true and correct as of the Commitment Increase Effective Date and (y) no Termination Event or Unmatured Termination Event exists or shall exist.</w:t>
      </w:r>
    </w:p>
    <w:p>
      <w:pPr>
        <w:spacing w:after="0" w:line="185" w:lineRule="exact"/>
        <w:rPr>
          <w:rFonts w:ascii="Arial" w:cs="Arial" w:eastAsia="Arial" w:hAnsi="Arial"/>
          <w:sz w:val="17"/>
          <w:szCs w:val="17"/>
          <w:color w:val="auto"/>
        </w:rPr>
      </w:pPr>
    </w:p>
    <w:p>
      <w:pPr>
        <w:ind w:left="1220" w:hanging="233"/>
        <w:spacing w:after="0"/>
        <w:tabs>
          <w:tab w:leader="none" w:pos="122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to the contrary.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Discount Rates</w:t>
      </w:r>
      <w:r>
        <w:rPr>
          <w:rFonts w:ascii="Arial" w:cs="Arial" w:eastAsia="Arial" w:hAnsi="Arial"/>
          <w:sz w:val="18"/>
          <w:szCs w:val="18"/>
          <w:color w:val="auto"/>
        </w:rPr>
        <w:t>.</w:t>
      </w:r>
    </w:p>
    <w:p>
      <w:pPr>
        <w:spacing w:after="0" w:line="117" w:lineRule="exact"/>
        <w:rPr>
          <w:sz w:val="20"/>
          <w:szCs w:val="20"/>
          <w:color w:val="auto"/>
        </w:rPr>
      </w:pPr>
    </w:p>
    <w:p>
      <w:pPr>
        <w:ind w:right="460" w:firstLine="987"/>
        <w:spacing w:after="0" w:line="277" w:lineRule="auto"/>
        <w:tabs>
          <w:tab w:leader="none" w:pos="1236"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Discount Rate Options</w:t>
      </w:r>
      <w:r>
        <w:rPr>
          <w:rFonts w:ascii="Arial" w:cs="Arial" w:eastAsia="Arial" w:hAnsi="Arial"/>
          <w:sz w:val="18"/>
          <w:szCs w:val="18"/>
          <w:color w:val="auto"/>
        </w:rPr>
        <w:t>. The Seller shall pay Discount in respect of the Aggregate Investment as selected by it from the applicable Discount Rate Options specified below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09" w:name="page210"/>
    <w:bookmarkEnd w:id="20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applicable to the Investments, respectively, it being understood that, subject to the provisions of this Agreement, the Seller may select different Discount Rate Options to apply simultaneously to the Investments comprising different Portions of Investment and may convert to or renew one or more Discount Rate Options with respect to all or any portion of the Investments comprising different Portions of Investment;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be at any one time outstanding more than 5 (five) Portions of Investment;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an Termination Event or Unmatured Termination Event exists and is continuing, the Seller may not request, convert to or renew any Term Rate Investment Option</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or</w:t>
      </w:r>
      <w:r>
        <w:rPr>
          <w:rFonts w:ascii="Arial" w:cs="Arial" w:eastAsia="Arial" w:hAnsi="Arial"/>
          <w:sz w:val="17"/>
          <w:szCs w:val="17"/>
          <w:color w:val="auto"/>
        </w:rPr>
        <w:t xml:space="preserve"> Daily Resetting SOFR </w:t>
      </w:r>
      <w:r>
        <w:rPr>
          <w:rFonts w:ascii="Arial" w:cs="Arial" w:eastAsia="Arial" w:hAnsi="Arial"/>
          <w:sz w:val="17"/>
          <w:szCs w:val="17"/>
          <w:color w:val="FF0000"/>
          <w:strike w:val="1"/>
        </w:rPr>
        <w:t>Option or Daily Simple</w:t>
      </w:r>
      <w:r>
        <w:rPr>
          <w:rFonts w:ascii="Arial" w:cs="Arial" w:eastAsia="Arial" w:hAnsi="Arial"/>
          <w:sz w:val="17"/>
          <w:szCs w:val="17"/>
          <w:color w:val="auto"/>
        </w:rPr>
        <w:t xml:space="preserve"> </w:t>
      </w:r>
      <w:r>
        <w:rPr>
          <w:rFonts w:ascii="Arial" w:cs="Arial" w:eastAsia="Arial" w:hAnsi="Arial"/>
          <w:sz w:val="17"/>
          <w:szCs w:val="17"/>
          <w:color w:val="FF0000"/>
          <w:strike w:val="1"/>
        </w:rPr>
        <w:t>SOFR</w:t>
      </w:r>
      <w:r>
        <w:rPr>
          <w:rFonts w:ascii="Arial" w:cs="Arial" w:eastAsia="Arial" w:hAnsi="Arial"/>
          <w:sz w:val="17"/>
          <w:szCs w:val="17"/>
          <w:color w:val="FF0000"/>
        </w:rPr>
        <w:t xml:space="preserve"> </w:t>
      </w:r>
      <w:r>
        <w:rPr>
          <w:rFonts w:ascii="Arial" w:cs="Arial" w:eastAsia="Arial" w:hAnsi="Arial"/>
          <w:sz w:val="17"/>
          <w:szCs w:val="17"/>
          <w:color w:val="000000"/>
        </w:rPr>
        <w:t>Option for any Investments and the Majority Purchasers may demand that all existing Portions of Investment accruing Discount under a Term</w:t>
      </w:r>
      <w:r>
        <w:rPr>
          <w:rFonts w:ascii="Arial" w:cs="Arial" w:eastAsia="Arial" w:hAnsi="Arial"/>
          <w:sz w:val="17"/>
          <w:szCs w:val="17"/>
          <w:color w:val="FF0000"/>
        </w:rPr>
        <w:t xml:space="preserve"> </w:t>
      </w:r>
      <w:r>
        <w:rPr>
          <w:rFonts w:ascii="Arial" w:cs="Arial" w:eastAsia="Arial" w:hAnsi="Arial"/>
          <w:sz w:val="17"/>
          <w:szCs w:val="17"/>
          <w:color w:val="000000"/>
        </w:rPr>
        <w:t xml:space="preserve">Rate Investment Option, Daily Resetting SOFR Option or Daily Simple SOFR shall be converted immediately to the Base Rate Option, subject to the obligation of the Seller to pay any Termination Fees in connection with such conversion. If at any time the designated rate applicable to any Investment made by any Purchaser exceeds such Purchaser’s highest lawful rate, the Discount Rate Option on such Purchaser’s Investments shall be limited to such Purchaser’s highest lawful rate. The applicable Base Rate, SOFR Rate, </w:t>
      </w:r>
      <w:r>
        <w:rPr>
          <w:rFonts w:ascii="Arial" w:cs="Arial" w:eastAsia="Arial" w:hAnsi="Arial"/>
          <w:sz w:val="17"/>
          <w:szCs w:val="17"/>
          <w:u w:val="single" w:color="auto"/>
          <w:color w:val="0000FF"/>
        </w:rPr>
        <w:t>or</w:t>
      </w:r>
      <w:r>
        <w:rPr>
          <w:rFonts w:ascii="Arial" w:cs="Arial" w:eastAsia="Arial" w:hAnsi="Arial"/>
          <w:sz w:val="17"/>
          <w:szCs w:val="17"/>
          <w:color w:val="000000"/>
        </w:rPr>
        <w:t xml:space="preserve"> Daily Resetting SOFR </w:t>
      </w:r>
      <w:r>
        <w:rPr>
          <w:rFonts w:ascii="Arial" w:cs="Arial" w:eastAsia="Arial" w:hAnsi="Arial"/>
          <w:sz w:val="17"/>
          <w:szCs w:val="17"/>
          <w:color w:val="FF0000"/>
          <w:strike w:val="1"/>
        </w:rPr>
        <w:t>or Daily Simple SOFR</w:t>
      </w:r>
      <w:r>
        <w:rPr>
          <w:rFonts w:ascii="Arial" w:cs="Arial" w:eastAsia="Arial" w:hAnsi="Arial"/>
          <w:sz w:val="17"/>
          <w:szCs w:val="17"/>
          <w:color w:val="000000"/>
        </w:rPr>
        <w:t xml:space="preserve"> shall be determined by the Administrator, and such determination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-826135</wp:posOffset>
            </wp:positionV>
            <wp:extent cx="1028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-140335</wp:posOffset>
            </wp:positionV>
            <wp:extent cx="939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54" w:lineRule="exact"/>
        <w:rPr>
          <w:sz w:val="20"/>
          <w:szCs w:val="20"/>
          <w:color w:val="auto"/>
        </w:rPr>
      </w:pPr>
    </w:p>
    <w:p>
      <w:pPr>
        <w:ind w:left="1080" w:hanging="221"/>
        <w:spacing w:after="0"/>
        <w:tabs>
          <w:tab w:leader="none" w:pos="1080"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Discount Rate Options</w:t>
      </w:r>
      <w:r>
        <w:rPr>
          <w:rFonts w:ascii="Arial" w:cs="Arial" w:eastAsia="Arial" w:hAnsi="Arial"/>
          <w:sz w:val="16"/>
          <w:szCs w:val="16"/>
          <w:color w:val="auto"/>
        </w:rPr>
        <w:t>. The Seller shall have the right to select from the following Discount Rate Options applicable to the Investments:</w:t>
      </w:r>
    </w:p>
    <w:p>
      <w:pPr>
        <w:spacing w:after="0" w:line="140"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8"/>
          <w:szCs w:val="18"/>
          <w:color w:val="auto"/>
        </w:rPr>
        <w:t>(A) Term Rate Investment Options:</w:t>
      </w:r>
    </w:p>
    <w:p>
      <w:pPr>
        <w:spacing w:after="0" w:line="117" w:lineRule="exact"/>
        <w:rPr>
          <w:sz w:val="20"/>
          <w:szCs w:val="20"/>
          <w:color w:val="auto"/>
        </w:rPr>
      </w:pPr>
    </w:p>
    <w:p>
      <w:pPr>
        <w:ind w:left="1420" w:right="40" w:firstLine="8"/>
        <w:spacing w:after="0" w:line="259" w:lineRule="auto"/>
        <w:tabs>
          <w:tab w:leader="none" w:pos="1675"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SOFR Rate Option</w:t>
      </w:r>
      <w:r>
        <w:rPr>
          <w:rFonts w:ascii="Arial" w:cs="Arial" w:eastAsia="Arial" w:hAnsi="Arial"/>
          <w:sz w:val="18"/>
          <w:szCs w:val="18"/>
          <w:color w:val="auto"/>
        </w:rPr>
        <w:t xml:space="preserve">. In the case of SOFR Rate Investments denominated in Dollars, a rate per annum (computed on the basis of a year of 360 days and actual days elapsed) equal to the SOFR Rate as determined for each applicable Yield Period plus the SOFR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SOFR Rate Option, determined as provided above, would be less than the Floor, then the SOFR Rate Option shall be deemed to be the Floor.</w:t>
      </w:r>
    </w:p>
    <w:p>
      <w:pPr>
        <w:spacing w:after="0" w:line="78" w:lineRule="exact"/>
        <w:rPr>
          <w:rFonts w:ascii="Arial" w:cs="Arial" w:eastAsia="Arial" w:hAnsi="Arial"/>
          <w:sz w:val="18"/>
          <w:szCs w:val="18"/>
          <w:color w:val="auto"/>
        </w:rPr>
      </w:pPr>
    </w:p>
    <w:p>
      <w:pPr>
        <w:ind w:left="1140" w:hanging="281"/>
        <w:spacing w:after="0"/>
        <w:tabs>
          <w:tab w:leader="none" w:pos="11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Daily Rate Investment Options:</w:t>
      </w:r>
    </w:p>
    <w:p>
      <w:pPr>
        <w:spacing w:after="0" w:line="117" w:lineRule="exact"/>
        <w:rPr>
          <w:rFonts w:ascii="Arial" w:cs="Arial" w:eastAsia="Arial" w:hAnsi="Arial"/>
          <w:sz w:val="18"/>
          <w:szCs w:val="18"/>
          <w:color w:val="auto"/>
        </w:rPr>
      </w:pPr>
    </w:p>
    <w:p>
      <w:pPr>
        <w:ind w:left="1420" w:firstLine="8"/>
        <w:spacing w:after="0" w:line="257" w:lineRule="auto"/>
        <w:tabs>
          <w:tab w:leader="none" w:pos="1675" w:val="left"/>
        </w:tabs>
        <w:numPr>
          <w:ilvl w:val="1"/>
          <w:numId w:val="242"/>
        </w:numPr>
        <w:rPr>
          <w:rFonts w:ascii="Arial" w:cs="Arial" w:eastAsia="Arial" w:hAnsi="Arial"/>
          <w:sz w:val="18"/>
          <w:szCs w:val="18"/>
          <w:color w:val="auto"/>
        </w:rPr>
      </w:pPr>
      <w:r>
        <w:rPr>
          <w:rFonts w:ascii="Arial" w:cs="Arial" w:eastAsia="Arial" w:hAnsi="Arial"/>
          <w:sz w:val="18"/>
          <w:szCs w:val="18"/>
          <w:u w:val="single" w:color="auto"/>
          <w:color w:val="FF0000"/>
          <w:strike w:val="1"/>
        </w:rPr>
        <w:t xml:space="preserve">Daily Simple SOFR Option </w:t>
      </w:r>
      <w:r>
        <w:rPr>
          <w:rFonts w:ascii="Arial" w:cs="Arial" w:eastAsia="Arial" w:hAnsi="Arial"/>
          <w:sz w:val="18"/>
          <w:szCs w:val="18"/>
          <w:color w:val="FF0000"/>
          <w:strike w:val="1"/>
        </w:rPr>
        <w:t>In the case of Daily Simple SOFR Investments denominated in Dollars, a fluctuating rate per annum</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 xml:space="preserve">(computed on the basis of a year of 360 days and actual days elapsed) equal to Daily Simple SOFR plus the SOFR Adjustment, such discount rate to change automatically from time to time effective as of the effective date of each change in the SOFR Rate;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that if the Daily Simple SOFR Option, determined as provided above, would be less than the Floor, then the Daily Simple SOFR Option shall be deemed to be the Floor; or</w:t>
      </w:r>
      <w:r>
        <w:rPr>
          <w:rFonts w:ascii="Arial" w:cs="Arial" w:eastAsia="Arial" w:hAnsi="Arial"/>
          <w:sz w:val="18"/>
          <w:szCs w:val="18"/>
          <w:u w:val="single" w:color="auto"/>
          <w:color w:val="0000FF"/>
          <w:strike w:val="1"/>
        </w:rPr>
        <w:t>[Reserved]; or</w:t>
      </w:r>
    </w:p>
    <w:p>
      <w:pPr>
        <w:spacing w:after="0" w:line="79" w:lineRule="exact"/>
        <w:rPr>
          <w:rFonts w:ascii="Arial" w:cs="Arial" w:eastAsia="Arial" w:hAnsi="Arial"/>
          <w:sz w:val="18"/>
          <w:szCs w:val="18"/>
          <w:color w:val="auto"/>
        </w:rPr>
      </w:pPr>
    </w:p>
    <w:p>
      <w:pPr>
        <w:ind w:left="1420" w:right="180" w:firstLine="8"/>
        <w:spacing w:after="0" w:line="286" w:lineRule="auto"/>
        <w:tabs>
          <w:tab w:leader="none" w:pos="1675" w:val="left"/>
        </w:tabs>
        <w:numPr>
          <w:ilvl w:val="1"/>
          <w:numId w:val="242"/>
        </w:numPr>
        <w:rPr>
          <w:rFonts w:ascii="Arial" w:cs="Arial" w:eastAsia="Arial" w:hAnsi="Arial"/>
          <w:sz w:val="17"/>
          <w:szCs w:val="17"/>
          <w:color w:val="auto"/>
        </w:rPr>
      </w:pPr>
      <w:r>
        <w:rPr>
          <w:rFonts w:ascii="Arial" w:cs="Arial" w:eastAsia="Arial" w:hAnsi="Arial"/>
          <w:sz w:val="17"/>
          <w:szCs w:val="17"/>
          <w:u w:val="single" w:color="auto"/>
          <w:color w:val="auto"/>
        </w:rPr>
        <w:t>Daily Resetting SOFR Option</w:t>
      </w:r>
      <w:r>
        <w:rPr>
          <w:rFonts w:ascii="Arial" w:cs="Arial" w:eastAsia="Arial" w:hAnsi="Arial"/>
          <w:sz w:val="17"/>
          <w:szCs w:val="17"/>
          <w:color w:val="auto"/>
        </w:rPr>
        <w:t>. In the case of Daily Resetting SOFR Investments denominated in Dollars, a fluctuating rate per annum (computed on the basis of a year of 360 days and actual days elapsed) equal to Daily Resetting SOFR plus the SOFR Adjustment, such discount rate to change automatically from time to time effective as of the effective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-494030</wp:posOffset>
            </wp:positionV>
            <wp:extent cx="65151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10" w:name="page211"/>
    <w:bookmarkEnd w:id="210"/>
    <w:p>
      <w:pPr>
        <w:ind w:left="1400"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change in Daily Resetting SOFR;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Daily Resetting SOFR Option, determined as provided above, would be less than the Floor, then the Daily Resetting SOFR Option shall be deemed to be the Floor; or</w:t>
      </w:r>
    </w:p>
    <w:p>
      <w:pPr>
        <w:spacing w:after="0" w:line="62" w:lineRule="exact"/>
        <w:rPr>
          <w:sz w:val="20"/>
          <w:szCs w:val="20"/>
          <w:color w:val="auto"/>
        </w:rPr>
      </w:pPr>
    </w:p>
    <w:p>
      <w:pPr>
        <w:ind w:left="1400" w:right="60" w:firstLine="8"/>
        <w:spacing w:after="0" w:line="286" w:lineRule="auto"/>
        <w:tabs>
          <w:tab w:leader="none" w:pos="1655" w:val="left"/>
        </w:tabs>
        <w:numPr>
          <w:ilvl w:val="2"/>
          <w:numId w:val="243"/>
        </w:numPr>
        <w:rPr>
          <w:rFonts w:ascii="Arial" w:cs="Arial" w:eastAsia="Arial" w:hAnsi="Arial"/>
          <w:sz w:val="17"/>
          <w:szCs w:val="17"/>
          <w:color w:val="auto"/>
        </w:rPr>
      </w:pPr>
      <w:r>
        <w:rPr>
          <w:rFonts w:ascii="Arial" w:cs="Arial" w:eastAsia="Arial" w:hAnsi="Arial"/>
          <w:sz w:val="17"/>
          <w:szCs w:val="17"/>
          <w:u w:val="single" w:color="auto"/>
          <w:color w:val="auto"/>
        </w:rPr>
        <w:t>Base Rate Option</w:t>
      </w:r>
      <w:r>
        <w:rPr>
          <w:rFonts w:ascii="Arial" w:cs="Arial" w:eastAsia="Arial" w:hAnsi="Arial"/>
          <w:sz w:val="17"/>
          <w:szCs w:val="17"/>
          <w:color w:val="auto"/>
        </w:rPr>
        <w:t>. In the case of Base Rate Investments denominated in Dollars, a fluctuating rate per annum (computed on the basis of a year of 365 or 366 days, as the case may be, and actual days elapsed) equal to the Base Rate, such discount rate to change automatically from time to time effective as of the effective date of each change in the Base Rate; or</w:t>
      </w:r>
    </w:p>
    <w:p>
      <w:pPr>
        <w:spacing w:after="0" w:line="57" w:lineRule="exact"/>
        <w:rPr>
          <w:rFonts w:ascii="Arial" w:cs="Arial" w:eastAsia="Arial" w:hAnsi="Arial"/>
          <w:sz w:val="17"/>
          <w:szCs w:val="17"/>
          <w:color w:val="auto"/>
        </w:rPr>
      </w:pPr>
    </w:p>
    <w:p>
      <w:pPr>
        <w:ind w:left="420" w:right="40" w:firstLine="419"/>
        <w:spacing w:after="0" w:line="263" w:lineRule="auto"/>
        <w:tabs>
          <w:tab w:leader="none" w:pos="1108"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Rate Quotations</w:t>
      </w:r>
      <w:r>
        <w:rPr>
          <w:rFonts w:ascii="Arial" w:cs="Arial" w:eastAsia="Arial" w:hAnsi="Arial"/>
          <w:sz w:val="18"/>
          <w:szCs w:val="18"/>
          <w:color w:val="auto"/>
        </w:rPr>
        <w:t>. The Seller may call the Administrator on or before the date on which a Purchase Notice is to be delivered to receive an indication of the rates then in effect, but it is acknowledged that such projection shall not be binding on the Administrator or the Purchasers nor affect the rate of discount which thereafter is actually in effect when the election is made.</w:t>
      </w:r>
    </w:p>
    <w:p>
      <w:pPr>
        <w:spacing w:after="0" w:line="183" w:lineRule="exact"/>
        <w:rPr>
          <w:rFonts w:ascii="Arial" w:cs="Arial" w:eastAsia="Arial" w:hAnsi="Arial"/>
          <w:sz w:val="18"/>
          <w:szCs w:val="18"/>
          <w:color w:val="auto"/>
        </w:rPr>
      </w:pPr>
    </w:p>
    <w:p>
      <w:pPr>
        <w:ind w:left="-20" w:right="40" w:firstLine="987"/>
        <w:spacing w:after="0" w:line="263" w:lineRule="auto"/>
        <w:tabs>
          <w:tab w:leader="none" w:pos="1226"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Yield Periods</w:t>
      </w:r>
      <w:r>
        <w:rPr>
          <w:rFonts w:ascii="Arial" w:cs="Arial" w:eastAsia="Arial" w:hAnsi="Arial"/>
          <w:sz w:val="18"/>
          <w:szCs w:val="18"/>
          <w:color w:val="auto"/>
        </w:rPr>
        <w:t>. At any time when the Seller shall select, convert to or renew a Term Rate Investment Option, the Seller shall notify the Administrator thereof by delivering a request therefor prior to the effective date. Notwithstanding the preceding sentence, the following provisions shall apply to any selection of, renewal of, or conversion to a Term Rate Investment Option:</w:t>
      </w:r>
    </w:p>
    <w:p>
      <w:pPr>
        <w:spacing w:after="0" w:line="76" w:lineRule="exact"/>
        <w:rPr>
          <w:sz w:val="20"/>
          <w:szCs w:val="20"/>
          <w:color w:val="auto"/>
        </w:rPr>
      </w:pPr>
    </w:p>
    <w:p>
      <w:pPr>
        <w:ind w:left="420" w:right="100" w:firstLine="419"/>
        <w:spacing w:after="0" w:line="277" w:lineRule="auto"/>
        <w:tabs>
          <w:tab w:leader="none" w:pos="1058"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Amount of Portions of Capital</w:t>
      </w:r>
      <w:r>
        <w:rPr>
          <w:rFonts w:ascii="Arial" w:cs="Arial" w:eastAsia="Arial" w:hAnsi="Arial"/>
          <w:sz w:val="18"/>
          <w:szCs w:val="18"/>
          <w:color w:val="auto"/>
        </w:rPr>
        <w:t xml:space="preserve">. Each Portion of Investment under the Term Rate Investment Option shall be in integral multiples of, and not less than, the respective amounts specified in </w:t>
      </w:r>
      <w:r>
        <w:rPr>
          <w:rFonts w:ascii="Arial" w:cs="Arial" w:eastAsia="Arial" w:hAnsi="Arial"/>
          <w:sz w:val="18"/>
          <w:szCs w:val="18"/>
          <w:u w:val="single" w:color="auto"/>
          <w:color w:val="auto"/>
        </w:rPr>
        <w:t>Section 1.2</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20" w:firstLine="419"/>
        <w:spacing w:after="0" w:line="277" w:lineRule="auto"/>
        <w:tabs>
          <w:tab w:leader="none" w:pos="1108"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Renewals</w:t>
      </w:r>
      <w:r>
        <w:rPr>
          <w:rFonts w:ascii="Arial" w:cs="Arial" w:eastAsia="Arial" w:hAnsi="Arial"/>
          <w:sz w:val="18"/>
          <w:szCs w:val="18"/>
          <w:color w:val="auto"/>
        </w:rPr>
        <w:t>. In the case of the renewal of a Term Rate Investment Option at the end of a Yield Period, the first day of the new Yield Period shall be the last day of the preceding Yield Period, without duplication in payment of discount for such day.</w:t>
      </w:r>
    </w:p>
    <w:p>
      <w:pPr>
        <w:spacing w:after="0" w:line="170" w:lineRule="exact"/>
        <w:rPr>
          <w:sz w:val="20"/>
          <w:szCs w:val="20"/>
          <w:color w:val="auto"/>
        </w:rPr>
      </w:pPr>
    </w:p>
    <w:p>
      <w:pPr>
        <w:ind w:left="-20" w:right="320" w:firstLine="987"/>
        <w:spacing w:after="0" w:line="263" w:lineRule="auto"/>
        <w:tabs>
          <w:tab w:leader="none" w:pos="1216"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Discount After Default</w:t>
      </w:r>
      <w:r>
        <w:rPr>
          <w:rFonts w:ascii="Arial" w:cs="Arial" w:eastAsia="Arial" w:hAnsi="Arial"/>
          <w:sz w:val="18"/>
          <w:szCs w:val="18"/>
          <w:color w:val="auto"/>
        </w:rPr>
        <w:t>. To the extent permitted by Law, upon the occurrence of Termination Event and until such time such Termination Event shall have been cured or waived, at the discretion of the Administrator or upon written demand by the Majority Purchasers to the Administrator:</w:t>
      </w:r>
    </w:p>
    <w:p>
      <w:pPr>
        <w:spacing w:after="0" w:line="75" w:lineRule="exact"/>
        <w:rPr>
          <w:rFonts w:ascii="Arial" w:cs="Arial" w:eastAsia="Arial" w:hAnsi="Arial"/>
          <w:sz w:val="18"/>
          <w:szCs w:val="18"/>
          <w:color w:val="auto"/>
        </w:rPr>
      </w:pPr>
    </w:p>
    <w:p>
      <w:pPr>
        <w:ind w:left="1060" w:hanging="221"/>
        <w:spacing w:after="0"/>
        <w:tabs>
          <w:tab w:leader="none" w:pos="1060" w:val="left"/>
        </w:tabs>
        <w:numPr>
          <w:ilvl w:val="0"/>
          <w:numId w:val="247"/>
        </w:numPr>
        <w:rPr>
          <w:rFonts w:ascii="Arial" w:cs="Arial" w:eastAsia="Arial" w:hAnsi="Arial"/>
          <w:sz w:val="16"/>
          <w:szCs w:val="16"/>
          <w:color w:val="auto"/>
        </w:rPr>
      </w:pPr>
      <w:r>
        <w:rPr>
          <w:rFonts w:ascii="Arial" w:cs="Arial" w:eastAsia="Arial" w:hAnsi="Arial"/>
          <w:sz w:val="16"/>
          <w:szCs w:val="16"/>
          <w:u w:val="single" w:color="auto"/>
          <w:color w:val="auto"/>
        </w:rPr>
        <w:t>Discount Rate</w:t>
      </w:r>
      <w:r>
        <w:rPr>
          <w:rFonts w:ascii="Arial" w:cs="Arial" w:eastAsia="Arial" w:hAnsi="Arial"/>
          <w:sz w:val="16"/>
          <w:szCs w:val="16"/>
          <w:color w:val="auto"/>
        </w:rPr>
        <w:t xml:space="preserve">. The Discount for each Investment otherwise applicable pursuant to </w:t>
      </w:r>
      <w:r>
        <w:rPr>
          <w:rFonts w:ascii="Arial" w:cs="Arial" w:eastAsia="Arial" w:hAnsi="Arial"/>
          <w:sz w:val="16"/>
          <w:szCs w:val="16"/>
          <w:u w:val="single" w:color="auto"/>
          <w:color w:val="auto"/>
        </w:rPr>
        <w:t>Section 1.12(a)</w:t>
      </w:r>
      <w:r>
        <w:rPr>
          <w:rFonts w:ascii="Arial" w:cs="Arial" w:eastAsia="Arial" w:hAnsi="Arial"/>
          <w:sz w:val="16"/>
          <w:szCs w:val="16"/>
          <w:color w:val="auto"/>
        </w:rPr>
        <w:t>, shall be increased by 2.00% per</w:t>
      </w:r>
    </w:p>
    <w:p>
      <w:pPr>
        <w:spacing w:after="0" w:line="4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annum;</w:t>
      </w:r>
    </w:p>
    <w:p>
      <w:pPr>
        <w:spacing w:after="0" w:line="102" w:lineRule="exact"/>
        <w:rPr>
          <w:rFonts w:ascii="Arial" w:cs="Arial" w:eastAsia="Arial" w:hAnsi="Arial"/>
          <w:sz w:val="16"/>
          <w:szCs w:val="16"/>
          <w:color w:val="auto"/>
        </w:rPr>
      </w:pPr>
    </w:p>
    <w:p>
      <w:pPr>
        <w:ind w:left="420" w:right="100" w:firstLine="419"/>
        <w:spacing w:after="0" w:line="263" w:lineRule="auto"/>
        <w:tabs>
          <w:tab w:leader="none" w:pos="1108"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Other Obligations</w:t>
      </w:r>
      <w:r>
        <w:rPr>
          <w:rFonts w:ascii="Arial" w:cs="Arial" w:eastAsia="Arial" w:hAnsi="Arial"/>
          <w:sz w:val="18"/>
          <w:szCs w:val="18"/>
          <w:color w:val="auto"/>
        </w:rPr>
        <w:t>. Each other obligation hereunder if not paid when due shall bear interest at a rate per annum equal to the sum of the rate of interest applicable to Investments under the Base Rate Option plus an additional 2.00% per annum from the time such obligation becomes due and payable until the time such obligation is paid in full; and</w:t>
      </w:r>
    </w:p>
    <w:p>
      <w:pPr>
        <w:spacing w:after="0" w:line="75" w:lineRule="exact"/>
        <w:rPr>
          <w:rFonts w:ascii="Arial" w:cs="Arial" w:eastAsia="Arial" w:hAnsi="Arial"/>
          <w:sz w:val="18"/>
          <w:szCs w:val="18"/>
          <w:color w:val="auto"/>
        </w:rPr>
      </w:pPr>
    </w:p>
    <w:p>
      <w:pPr>
        <w:ind w:left="420" w:right="100" w:firstLine="419"/>
        <w:spacing w:after="0" w:line="311" w:lineRule="auto"/>
        <w:tabs>
          <w:tab w:leader="none" w:pos="1158" w:val="left"/>
        </w:tabs>
        <w:numPr>
          <w:ilvl w:val="0"/>
          <w:numId w:val="247"/>
        </w:numPr>
        <w:rPr>
          <w:rFonts w:ascii="Arial" w:cs="Arial" w:eastAsia="Arial" w:hAnsi="Arial"/>
          <w:sz w:val="16"/>
          <w:szCs w:val="16"/>
          <w:color w:val="auto"/>
        </w:rPr>
      </w:pPr>
      <w:r>
        <w:rPr>
          <w:rFonts w:ascii="Arial" w:cs="Arial" w:eastAsia="Arial" w:hAnsi="Arial"/>
          <w:sz w:val="16"/>
          <w:szCs w:val="16"/>
          <w:u w:val="single" w:color="auto"/>
          <w:color w:val="auto"/>
        </w:rPr>
        <w:t>Acknowledgment</w:t>
      </w:r>
      <w:r>
        <w:rPr>
          <w:rFonts w:ascii="Arial" w:cs="Arial" w:eastAsia="Arial" w:hAnsi="Arial"/>
          <w:sz w:val="16"/>
          <w:szCs w:val="16"/>
          <w:color w:val="auto"/>
        </w:rPr>
        <w:t xml:space="preserve">. The Seller acknowledges that the increase in rates referred to in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reflects, among other things, the fact that such Investments or other amounts have become a substantially greater risk given their default status and that the Purchasers are entitled to additional compensation for such risk; and all such Discount shall be payable by Seller upon demand by Administrator.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60" w:top="274" w:right="479" w:bottom="1440" w:gutter="0" w:footer="0" w:header="0"/>
        </w:sectPr>
      </w:pPr>
    </w:p>
    <w:bookmarkStart w:id="211" w:name="page212"/>
    <w:bookmarkEnd w:id="211"/>
    <w:p>
      <w:pPr>
        <w:ind w:left="1240" w:hanging="253"/>
        <w:spacing w:after="0"/>
        <w:tabs>
          <w:tab w:leader="none" w:pos="1240" w:val="left"/>
        </w:tabs>
        <w:numPr>
          <w:ilvl w:val="2"/>
          <w:numId w:val="2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Unascertainable; Increased Costs; Deposits Not Available</w:t>
      </w:r>
      <w:r>
        <w:rPr>
          <w:rFonts w:ascii="Arial" w:cs="Arial" w:eastAsia="Arial" w:hAnsi="Arial"/>
          <w:sz w:val="18"/>
          <w:szCs w:val="18"/>
          <w:color w:val="auto"/>
        </w:rPr>
        <w:t>. If at any time:</w:t>
      </w:r>
    </w:p>
    <w:p>
      <w:pPr>
        <w:spacing w:after="0" w:line="117" w:lineRule="exact"/>
        <w:rPr>
          <w:rFonts w:ascii="Arial" w:cs="Arial" w:eastAsia="Arial" w:hAnsi="Arial"/>
          <w:sz w:val="18"/>
          <w:szCs w:val="18"/>
          <w:color w:val="auto"/>
        </w:rPr>
      </w:pPr>
    </w:p>
    <w:p>
      <w:pPr>
        <w:ind w:left="440" w:right="260" w:firstLine="419"/>
        <w:spacing w:after="0" w:line="287" w:lineRule="auto"/>
        <w:tabs>
          <w:tab w:leader="none" w:pos="1078" w:val="left"/>
        </w:tabs>
        <w:numPr>
          <w:ilvl w:val="1"/>
          <w:numId w:val="249"/>
        </w:numPr>
        <w:rPr>
          <w:rFonts w:ascii="Arial" w:cs="Arial" w:eastAsia="Arial" w:hAnsi="Arial"/>
          <w:sz w:val="16"/>
          <w:szCs w:val="16"/>
          <w:color w:val="auto"/>
        </w:rPr>
      </w:pPr>
      <w:r>
        <w:rPr>
          <w:rFonts w:ascii="Arial" w:cs="Arial" w:eastAsia="Arial" w:hAnsi="Arial"/>
          <w:sz w:val="16"/>
          <w:szCs w:val="16"/>
          <w:color w:val="auto"/>
        </w:rPr>
        <w:t>on or prior to the first day of a Yield Period, the Administrator shall have determined (which determination shall be conclusive and binding absent manifest error) that (x) the SOFR Rate</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or</w:t>
      </w:r>
      <w:r>
        <w:rPr>
          <w:rFonts w:ascii="Arial" w:cs="Arial" w:eastAsia="Arial" w:hAnsi="Arial"/>
          <w:sz w:val="16"/>
          <w:szCs w:val="16"/>
          <w:color w:val="auto"/>
        </w:rPr>
        <w:t xml:space="preserve"> Daily Resetting </w:t>
      </w:r>
      <w:r>
        <w:rPr>
          <w:rFonts w:ascii="Arial" w:cs="Arial" w:eastAsia="Arial" w:hAnsi="Arial"/>
          <w:sz w:val="16"/>
          <w:szCs w:val="16"/>
          <w:color w:val="FF0000"/>
          <w:strike w:val="1"/>
        </w:rPr>
        <w:t>SOFR or Daily Simple</w:t>
      </w:r>
      <w:r>
        <w:rPr>
          <w:rFonts w:ascii="Arial" w:cs="Arial" w:eastAsia="Arial" w:hAnsi="Arial"/>
          <w:sz w:val="16"/>
          <w:szCs w:val="16"/>
          <w:color w:val="auto"/>
        </w:rPr>
        <w:t xml:space="preserve"> SOFR applicable to an Investment cannot be determined pursuant to the definition thereof, including, without limitation, because such rate is not available or published on a current basis or</w:t>
      </w:r>
    </w:p>
    <w:p>
      <w:pPr>
        <w:spacing w:after="0" w:line="2" w:lineRule="exact"/>
        <w:rPr>
          <w:rFonts w:ascii="Arial" w:cs="Arial" w:eastAsia="Arial" w:hAnsi="Arial"/>
          <w:sz w:val="16"/>
          <w:szCs w:val="16"/>
          <w:color w:val="auto"/>
        </w:rPr>
      </w:pPr>
    </w:p>
    <w:p>
      <w:pPr>
        <w:ind w:left="440" w:right="460" w:hanging="4"/>
        <w:spacing w:after="0" w:line="260" w:lineRule="auto"/>
        <w:tabs>
          <w:tab w:leader="none" w:pos="69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 fundamental change has occurred with respect to such rate (including, without limitation, changes in national or international financial, political or economic conditions or currency exchange rates or exchange controls), or</w:t>
      </w:r>
    </w:p>
    <w:p>
      <w:pPr>
        <w:spacing w:after="0" w:line="77" w:lineRule="exact"/>
        <w:rPr>
          <w:rFonts w:ascii="Arial" w:cs="Arial" w:eastAsia="Arial" w:hAnsi="Arial"/>
          <w:sz w:val="18"/>
          <w:szCs w:val="18"/>
          <w:color w:val="auto"/>
        </w:rPr>
      </w:pPr>
    </w:p>
    <w:p>
      <w:pPr>
        <w:jc w:val="both"/>
        <w:ind w:left="440" w:firstLine="419"/>
        <w:spacing w:after="0" w:line="259" w:lineRule="auto"/>
        <w:tabs>
          <w:tab w:leader="none" w:pos="1128" w:val="left"/>
        </w:tabs>
        <w:numPr>
          <w:ilvl w:val="1"/>
          <w:numId w:val="250"/>
        </w:numPr>
        <w:rPr>
          <w:rFonts w:ascii="Arial" w:cs="Arial" w:eastAsia="Arial" w:hAnsi="Arial"/>
          <w:sz w:val="18"/>
          <w:szCs w:val="18"/>
          <w:color w:val="auto"/>
        </w:rPr>
      </w:pPr>
      <w:r>
        <w:rPr>
          <w:rFonts w:ascii="Arial" w:cs="Arial" w:eastAsia="Arial" w:hAnsi="Arial"/>
          <w:sz w:val="18"/>
          <w:szCs w:val="18"/>
          <w:color w:val="auto"/>
        </w:rPr>
        <w:t>on or prior to the first day of a Yield Period, any Purchaser determines that for any reason in connection with any request for a Term Rate Investment or a conversion thereto or a continuation thereof that the Term Rate Investment Option for any requested Yield Period with respect to a proposed Term Rate Investment, as applicable, does not adequately and fairly reflect the cost to such Purchasers of funding, establishing or maintaining such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-1029335</wp:posOffset>
            </wp:positionV>
            <wp:extent cx="939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then the Administrator shall have the rights specified in </w:t>
      </w:r>
      <w:r>
        <w:rPr>
          <w:rFonts w:ascii="Arial" w:cs="Arial" w:eastAsia="Arial" w:hAnsi="Arial"/>
          <w:sz w:val="18"/>
          <w:szCs w:val="18"/>
          <w:u w:val="single" w:color="auto"/>
          <w:color w:val="auto"/>
        </w:rPr>
        <w:t>clause (f)</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7" w:lineRule="auto"/>
        <w:tabs>
          <w:tab w:leader="none" w:pos="1236"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Illegality</w:t>
      </w:r>
      <w:r>
        <w:rPr>
          <w:rFonts w:ascii="Arial" w:cs="Arial" w:eastAsia="Arial" w:hAnsi="Arial"/>
          <w:sz w:val="18"/>
          <w:szCs w:val="18"/>
          <w:color w:val="auto"/>
        </w:rPr>
        <w:t>. If at any time any Purchaser shall have determined, or any Governmental Authority shall have asserted, that the making, maintenance or funding of any Investment to which any Discount Rate Option applies, or the determination or charging of discount rates based upon any Discount Rate Option has been made impracticable or unlawful, by compliance by such Purchaser in good faith with any Law or any interpretation or application thereof by any Governmental Authority or with any request or directive of any such Governmental Authority (whether or not having the force of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then the Administrator shall have the rights specified in </w:t>
      </w:r>
      <w:r>
        <w:rPr>
          <w:rFonts w:ascii="Arial" w:cs="Arial" w:eastAsia="Arial" w:hAnsi="Arial"/>
          <w:sz w:val="18"/>
          <w:szCs w:val="18"/>
          <w:u w:val="single" w:color="auto"/>
          <w:color w:val="auto"/>
        </w:rPr>
        <w:t>clause (f)</w:t>
      </w:r>
      <w:r>
        <w:rPr>
          <w:rFonts w:ascii="Arial" w:cs="Arial" w:eastAsia="Arial" w:hAnsi="Arial"/>
          <w:sz w:val="18"/>
          <w:szCs w:val="18"/>
          <w:color w:val="auto"/>
        </w:rPr>
        <w:t>.</w:t>
      </w:r>
    </w:p>
    <w:p>
      <w:pPr>
        <w:spacing w:after="0" w:line="225" w:lineRule="exact"/>
        <w:rPr>
          <w:sz w:val="20"/>
          <w:szCs w:val="20"/>
          <w:color w:val="auto"/>
        </w:rPr>
      </w:pPr>
    </w:p>
    <w:p>
      <w:pPr>
        <w:jc w:val="both"/>
        <w:ind w:right="20" w:firstLine="987"/>
        <w:spacing w:after="0" w:line="259" w:lineRule="auto"/>
        <w:tabs>
          <w:tab w:leader="none" w:pos="1216"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Administrator’s and Purchaser’s Rights</w:t>
      </w:r>
      <w:r>
        <w:rPr>
          <w:rFonts w:ascii="Arial" w:cs="Arial" w:eastAsia="Arial" w:hAnsi="Arial"/>
          <w:sz w:val="18"/>
          <w:szCs w:val="18"/>
          <w:color w:val="auto"/>
        </w:rPr>
        <w:t xml:space="preserve">. In the case of any event specified in </w:t>
      </w:r>
      <w:r>
        <w:rPr>
          <w:rFonts w:ascii="Arial" w:cs="Arial" w:eastAsia="Arial" w:hAnsi="Arial"/>
          <w:sz w:val="18"/>
          <w:szCs w:val="18"/>
          <w:u w:val="single" w:color="auto"/>
          <w:color w:val="auto"/>
        </w:rPr>
        <w:t>Section 1.12(d)(i)</w:t>
      </w:r>
      <w:r>
        <w:rPr>
          <w:rFonts w:ascii="Arial" w:cs="Arial" w:eastAsia="Arial" w:hAnsi="Arial"/>
          <w:sz w:val="18"/>
          <w:szCs w:val="18"/>
          <w:color w:val="auto"/>
        </w:rPr>
        <w:t xml:space="preserve"> above, the Administrator shall promptly so notify the Purchasers and the Seller thereof, and in the case of an event specified in </w:t>
      </w:r>
      <w:r>
        <w:rPr>
          <w:rFonts w:ascii="Arial" w:cs="Arial" w:eastAsia="Arial" w:hAnsi="Arial"/>
          <w:sz w:val="18"/>
          <w:szCs w:val="18"/>
          <w:u w:val="single" w:color="auto"/>
          <w:color w:val="auto"/>
        </w:rPr>
        <w:t>Section 1.12(d)(ii)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above, such Purchaser shall promptly so notify the Administrator and endorse a certificate to such notice as to the specific circumstances of such notice, and the Administrator shall promptly send copies of such notice and certificate to the other Purchasers and the Seller.</w:t>
      </w:r>
    </w:p>
    <w:p>
      <w:pPr>
        <w:spacing w:after="0" w:line="78" w:lineRule="exact"/>
        <w:rPr>
          <w:rFonts w:ascii="Arial" w:cs="Arial" w:eastAsia="Arial" w:hAnsi="Arial"/>
          <w:sz w:val="18"/>
          <w:szCs w:val="18"/>
          <w:color w:val="auto"/>
        </w:rPr>
      </w:pPr>
    </w:p>
    <w:p>
      <w:pPr>
        <w:ind w:left="440" w:right="60" w:firstLine="419"/>
        <w:spacing w:after="0" w:line="273" w:lineRule="auto"/>
        <w:tabs>
          <w:tab w:leader="none" w:pos="1078" w:val="left"/>
        </w:tabs>
        <w:numPr>
          <w:ilvl w:val="0"/>
          <w:numId w:val="253"/>
        </w:numPr>
        <w:rPr>
          <w:rFonts w:ascii="Arial" w:cs="Arial" w:eastAsia="Arial" w:hAnsi="Arial"/>
          <w:sz w:val="17"/>
          <w:szCs w:val="17"/>
          <w:color w:val="auto"/>
        </w:rPr>
      </w:pPr>
      <w:r>
        <w:rPr>
          <w:rFonts w:ascii="Arial" w:cs="Arial" w:eastAsia="Arial" w:hAnsi="Arial"/>
          <w:sz w:val="17"/>
          <w:szCs w:val="17"/>
          <w:color w:val="auto"/>
        </w:rPr>
        <w:t>Upon such date as shall be specified in such notice (which shall not be earlier than the date such notice is given), the obligation of (x) the Purchasers, in the case of such notice given by the Administrator, or (y) such Purchaser, in the case of such notice given by such Purchaser, to allow the Seller to select, convert to or renew an Investment under the affected Discount Rate Option shall be suspended (to the extent of the affected Discount Rate Option or the applicable Yield Periods) until the Administrator shall have later notified the Seller, or such Purchaser shall have later notified the Administrator, of the Administrator’s or such Purchaser’s, as the case may be, determination that the circumstances giving rise to such previous determination no longer exist.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12" w:name="page213"/>
    <w:bookmarkEnd w:id="212"/>
    <w:p>
      <w:pPr>
        <w:ind w:right="20" w:firstLine="419"/>
        <w:spacing w:after="0" w:line="255" w:lineRule="auto"/>
        <w:tabs>
          <w:tab w:leader="none" w:pos="688" w:val="left"/>
        </w:tabs>
        <w:numPr>
          <w:ilvl w:val="0"/>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at any time the Administrator makes a determination under </w:t>
      </w:r>
      <w:r>
        <w:rPr>
          <w:rFonts w:ascii="Arial" w:cs="Arial" w:eastAsia="Arial" w:hAnsi="Arial"/>
          <w:sz w:val="18"/>
          <w:szCs w:val="18"/>
          <w:u w:val="single" w:color="auto"/>
          <w:color w:val="auto"/>
        </w:rPr>
        <w:t>clause (d)(i)</w:t>
      </w:r>
      <w:r>
        <w:rPr>
          <w:rFonts w:ascii="Arial" w:cs="Arial" w:eastAsia="Arial" w:hAnsi="Arial"/>
          <w:sz w:val="18"/>
          <w:szCs w:val="18"/>
          <w:color w:val="auto"/>
        </w:rPr>
        <w:t>, (x) if the Seller has previously notified the Administrator of its selection of, conversion to or renewal of a an affected Discount Rate Option, and such Discount Rate Option has not yet gone into effect, absent due notice from the Seller of revocation, conversion or prepayment, such notification shall be deemed to provide for selection of, conversion to or renewal of the Base Rate Option otherwise available with respect to such Investments in the amount specified therein and (y) any outstanding affected Investments shall be deemed to have been converted into Base Rate Investments immediately or, in the case of Term Rate Investments, at the end of the applicable Yield Period.</w:t>
      </w:r>
    </w:p>
    <w:p>
      <w:pPr>
        <w:spacing w:after="0" w:line="84" w:lineRule="exact"/>
        <w:rPr>
          <w:rFonts w:ascii="Arial" w:cs="Arial" w:eastAsia="Arial" w:hAnsi="Arial"/>
          <w:sz w:val="18"/>
          <w:szCs w:val="18"/>
          <w:color w:val="auto"/>
        </w:rPr>
      </w:pPr>
    </w:p>
    <w:p>
      <w:pPr>
        <w:ind w:right="260" w:firstLine="419"/>
        <w:spacing w:after="0" w:line="275" w:lineRule="auto"/>
        <w:tabs>
          <w:tab w:leader="none" w:pos="738"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If any Purchaser notifies the Administrator of a determination under </w:t>
      </w:r>
      <w:r>
        <w:rPr>
          <w:rFonts w:ascii="Arial" w:cs="Arial" w:eastAsia="Arial" w:hAnsi="Arial"/>
          <w:sz w:val="17"/>
          <w:szCs w:val="17"/>
          <w:u w:val="single" w:color="auto"/>
          <w:color w:val="auto"/>
        </w:rPr>
        <w:t>clause(d)(ii)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w:t>
      </w:r>
      <w:r>
        <w:rPr>
          <w:rFonts w:ascii="Arial" w:cs="Arial" w:eastAsia="Arial" w:hAnsi="Arial"/>
          <w:sz w:val="17"/>
          <w:szCs w:val="17"/>
          <w:color w:val="auto"/>
        </w:rPr>
        <w:t>, the Seller shall, subject to the Seller’s obligation to pay any Termination Fees, as to any Investment of the Purchaser to which an affected Discount Rate Option applies, on the date specified in such notice either convert such Investment to the Base Rate Option otherwise available with respect to such Investment or prepay such Investment. Absent due notice from the Seller of conversion or prepayment, such Investment shall automatically be converted to the Base Rate Option otherwise available with respect to such Investment upon such specified date.</w:t>
      </w:r>
    </w:p>
    <w:p>
      <w:pPr>
        <w:spacing w:after="0" w:line="176" w:lineRule="exact"/>
        <w:rPr>
          <w:sz w:val="20"/>
          <w:szCs w:val="20"/>
          <w:color w:val="auto"/>
        </w:rPr>
      </w:pPr>
    </w:p>
    <w:p>
      <w:pPr>
        <w:ind w:left="800" w:hanging="253"/>
        <w:spacing w:after="0"/>
        <w:tabs>
          <w:tab w:leader="none" w:pos="800" w:val="left"/>
        </w:tabs>
        <w:numPr>
          <w:ilvl w:val="1"/>
          <w:numId w:val="255"/>
        </w:numPr>
        <w:rPr>
          <w:rFonts w:ascii="Arial" w:cs="Arial" w:eastAsia="Arial" w:hAnsi="Arial"/>
          <w:sz w:val="18"/>
          <w:szCs w:val="18"/>
          <w:color w:val="auto"/>
        </w:rPr>
      </w:pPr>
      <w:r>
        <w:rPr>
          <w:rFonts w:ascii="Arial" w:cs="Arial" w:eastAsia="Arial" w:hAnsi="Arial"/>
          <w:sz w:val="18"/>
          <w:szCs w:val="18"/>
          <w:u w:val="single" w:color="auto"/>
          <w:color w:val="auto"/>
        </w:rPr>
        <w:t>Benchmark Replacement Setting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19"/>
        <w:spacing w:after="0" w:line="287" w:lineRule="auto"/>
        <w:tabs>
          <w:tab w:leader="none" w:pos="718"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Benchmark Replacement</w:t>
      </w:r>
      <w:r>
        <w:rPr>
          <w:rFonts w:ascii="Arial" w:cs="Arial" w:eastAsia="Arial" w:hAnsi="Arial"/>
          <w:sz w:val="16"/>
          <w:szCs w:val="16"/>
          <w:color w:val="auto"/>
        </w:rPr>
        <w:t xml:space="preserve">. Notwithstanding anything to the contrary herein or in any other Transaction Document, if a Benchmark Transition Event has occurred prior to the Reference Time in respect of any setting of the then-current Benchmark, then (x) if a Benchmark Replacement is determined in accordance with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of the definition of “Benchmark Replacement” for such Benchmark Replacement Date, such Benchmark Replacement will replace such Benchmark for all purposes hereunder and under any Transaction Document in respect of such Benchmark setting and subsequent Benchmark settings without any amendment to, or further action or consent of any other party to, this Agreement or any other Transaction Document and (y) if a Benchmark Replacement is determined in accordance with </w:t>
      </w:r>
      <w:r>
        <w:rPr>
          <w:rFonts w:ascii="Arial" w:cs="Arial" w:eastAsia="Arial" w:hAnsi="Arial"/>
          <w:sz w:val="16"/>
          <w:szCs w:val="16"/>
          <w:u w:val="single" w:color="auto"/>
          <w:color w:val="auto"/>
        </w:rPr>
        <w:t>clause (2)</w:t>
      </w:r>
      <w:r>
        <w:rPr>
          <w:rFonts w:ascii="Arial" w:cs="Arial" w:eastAsia="Arial" w:hAnsi="Arial"/>
          <w:sz w:val="16"/>
          <w:szCs w:val="16"/>
          <w:color w:val="auto"/>
        </w:rPr>
        <w:t xml:space="preserve"> of the definition of “Benchmark Replacement” for such Benchmark Replacement Date, such Benchmark Replacement will replace such Benchmark for all purposes hereunder and under any Transaction Document in respect of any Benchmark setting at or after 5:00 p.m. (New York City time) on the fifth (5th) Business Day after the date notice of such Benchmark Replacement is provided to the Purchasers and Seller without any amendment to, or further action or consent of any other party to, this Agreement or any other Transaction Document so long as the Administrator has not received, by such time, written notice of objection to such Benchmark Replacement from Purchasers comprising the Majority Purchasers.</w:t>
      </w:r>
    </w:p>
    <w:p>
      <w:pPr>
        <w:spacing w:after="0" w:line="63" w:lineRule="exact"/>
        <w:rPr>
          <w:rFonts w:ascii="Arial" w:cs="Arial" w:eastAsia="Arial" w:hAnsi="Arial"/>
          <w:sz w:val="16"/>
          <w:szCs w:val="16"/>
          <w:color w:val="auto"/>
        </w:rPr>
      </w:pPr>
    </w:p>
    <w:p>
      <w:pPr>
        <w:ind w:right="20" w:firstLine="419"/>
        <w:spacing w:after="0" w:line="301" w:lineRule="auto"/>
        <w:tabs>
          <w:tab w:leader="none" w:pos="708"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Benchmark Replacement Conforming Changes</w:t>
      </w:r>
      <w:r>
        <w:rPr>
          <w:rFonts w:ascii="Arial" w:cs="Arial" w:eastAsia="Arial" w:hAnsi="Arial"/>
          <w:sz w:val="16"/>
          <w:szCs w:val="16"/>
          <w:color w:val="auto"/>
        </w:rPr>
        <w:t>. In connection with the implementation and administration of a Benchmark Replacement, the Administrator will have the right, in consultation with the Seller,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w:t>
      </w:r>
    </w:p>
    <w:p>
      <w:pPr>
        <w:spacing w:after="0" w:line="9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40"/>
          </w:cols>
          <w:pgMar w:left="880" w:top="274" w:right="479" w:bottom="1440" w:gutter="0" w:footer="0" w:header="0"/>
        </w:sectPr>
      </w:pPr>
    </w:p>
    <w:bookmarkStart w:id="213" w:name="page214"/>
    <w:bookmarkEnd w:id="213"/>
    <w:p>
      <w:pPr>
        <w:ind w:left="4" w:firstLine="419"/>
        <w:spacing w:after="0" w:line="253" w:lineRule="auto"/>
        <w:tabs>
          <w:tab w:leader="none" w:pos="711"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 Standards for Decisions and Determinations</w:t>
      </w:r>
      <w:r>
        <w:rPr>
          <w:rFonts w:ascii="Arial" w:cs="Arial" w:eastAsia="Arial" w:hAnsi="Arial"/>
          <w:sz w:val="18"/>
          <w:szCs w:val="18"/>
          <w:color w:val="auto"/>
        </w:rPr>
        <w:t xml:space="preserve">. The Administrator will promptly notify the Seller and the Purchasers of (1) any occurrence of a Benchmark Transition Event and its related Benchmark Replacement Date, (2) the implementation of any Benchmark Replacement, (3) the effectiveness of any Conforming Changes, (4) the removal or reinstatement of any tenor of a Benchmark pursuant to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below and (5) the commencement or conclusion of any Benchmark Unavailability Period. Any determination, decision or election that may be made by the Administrator or, if applicable, any Purchaser (or Purchaser Group)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Section.</w:t>
      </w:r>
    </w:p>
    <w:p>
      <w:pPr>
        <w:spacing w:after="0" w:line="88" w:lineRule="exact"/>
        <w:rPr>
          <w:rFonts w:ascii="Arial" w:cs="Arial" w:eastAsia="Arial" w:hAnsi="Arial"/>
          <w:sz w:val="18"/>
          <w:szCs w:val="18"/>
          <w:color w:val="auto"/>
        </w:rPr>
      </w:pPr>
    </w:p>
    <w:p>
      <w:pPr>
        <w:jc w:val="both"/>
        <w:ind w:left="4" w:right="180" w:firstLine="419"/>
        <w:spacing w:after="0" w:line="291" w:lineRule="auto"/>
        <w:tabs>
          <w:tab w:leader="none" w:pos="721"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Unavailability of Tenor of Benchmark</w:t>
      </w:r>
      <w:r>
        <w:rPr>
          <w:rFonts w:ascii="Arial" w:cs="Arial" w:eastAsia="Arial" w:hAnsi="Arial"/>
          <w:sz w:val="16"/>
          <w:szCs w:val="16"/>
          <w:color w:val="auto"/>
        </w:rPr>
        <w:t>. Notwithstanding anything to the contrary herein or in any other Transaction Document, at any time (including in connection with the implementation of a Benchmark Replacement), (i) if the then-current Benchmark is a term rate and either</w:t>
      </w:r>
    </w:p>
    <w:p>
      <w:pPr>
        <w:ind w:left="4" w:hanging="4"/>
        <w:spacing w:after="0" w:line="285" w:lineRule="auto"/>
        <w:tabs>
          <w:tab w:leader="none" w:pos="258"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any tenor for such Benchmark is not displayed on a screen or other information service that publishes such rate from time to time as selected by the Administrator in its reasonable discretion or (2) the administrator of such Benchmark or the regulatory supervisor for the administrator of such Benchmark has provided a public statement or publication of information announcing that any tenor for such Benchmark is or will be no longer be representative or in compliance with or aligned with the International Organization of Securities Commissions (IOSCO) Principles for Financial Benchmarks, then the Administrator may modify the definition of “Yield Period” (or any similar or analogous definition) for any Benchmark settings at or after such time to remove such unavailable or non-representative, non-compliant or non-aligned tenor and (ii) if a tenor that was removed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either (1) is subsequently displayed on a screen or information service for a Benchmark (including a Benchmark Replacement) or (2) is not, or is no longer, subject to an announcement that it is or will no longer be representative or in compliance with or aligned with the International Organization of Securities Commissions (IOSCO) Principles for Financial Benchmarks for a Benchmark (including a Benchmark Replacement), then the Administrator may modify the definition of “Yield Period” (or any similar or analogous definition) for all Benchmark settings at or after such time to reinstate such previously removed tenor.</w:t>
      </w:r>
    </w:p>
    <w:p>
      <w:pPr>
        <w:spacing w:after="0" w:line="66" w:lineRule="exact"/>
        <w:rPr>
          <w:rFonts w:ascii="Arial" w:cs="Arial" w:eastAsia="Arial" w:hAnsi="Arial"/>
          <w:sz w:val="16"/>
          <w:szCs w:val="16"/>
          <w:color w:val="auto"/>
        </w:rPr>
      </w:pPr>
    </w:p>
    <w:p>
      <w:pPr>
        <w:ind w:left="4" w:right="60" w:firstLine="419"/>
        <w:spacing w:after="0" w:line="272" w:lineRule="auto"/>
        <w:tabs>
          <w:tab w:leader="none" w:pos="701" w:val="left"/>
        </w:tabs>
        <w:numPr>
          <w:ilvl w:val="1"/>
          <w:numId w:val="258"/>
        </w:numPr>
        <w:rPr>
          <w:rFonts w:ascii="Arial" w:cs="Arial" w:eastAsia="Arial" w:hAnsi="Arial"/>
          <w:sz w:val="17"/>
          <w:szCs w:val="17"/>
          <w:color w:val="auto"/>
        </w:rPr>
      </w:pPr>
      <w:r>
        <w:rPr>
          <w:rFonts w:ascii="Arial" w:cs="Arial" w:eastAsia="Arial" w:hAnsi="Arial"/>
          <w:sz w:val="17"/>
          <w:szCs w:val="17"/>
          <w:u w:val="single" w:color="auto"/>
          <w:color w:val="auto"/>
        </w:rPr>
        <w:t>Benchmark Unavailability Period</w:t>
      </w:r>
      <w:r>
        <w:rPr>
          <w:rFonts w:ascii="Arial" w:cs="Arial" w:eastAsia="Arial" w:hAnsi="Arial"/>
          <w:sz w:val="17"/>
          <w:szCs w:val="17"/>
          <w:color w:val="auto"/>
        </w:rPr>
        <w:t>. Upon the Seller’s receipt of notice of the commencement of a Benchmark Unavailability Period, the Seller may revoke any request for an Investment accruing Discount based on the SOFR Rate, conversion to or continuation of Investments accruing Discount based on the SOFR Rate Option to be made, converted or continued during any Benchmark Unavailability Period and, failing that, the Seller will be deemed to have converted any such request into a request for an Investment of or conversion to Investments accruing Discount under the Base Rate Option.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1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4"/>
          </w:cols>
          <w:pgMar w:left="876" w:top="274" w:right="459" w:bottom="1440" w:gutter="0" w:footer="0" w:header="0"/>
        </w:sectPr>
      </w:pPr>
    </w:p>
    <w:bookmarkStart w:id="214" w:name="page215"/>
    <w:bookmarkEnd w:id="214"/>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Section:</w:t>
      </w:r>
    </w:p>
    <w:p>
      <w:pPr>
        <w:spacing w:after="0" w:line="225" w:lineRule="exact"/>
        <w:rPr>
          <w:sz w:val="20"/>
          <w:szCs w:val="20"/>
          <w:color w:val="auto"/>
        </w:rPr>
      </w:pPr>
    </w:p>
    <w:p>
      <w:pPr>
        <w:ind w:right="2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Tenor</w:t>
      </w:r>
      <w:r>
        <w:rPr>
          <w:rFonts w:ascii="Arial" w:cs="Arial" w:eastAsia="Arial" w:hAnsi="Arial"/>
          <w:sz w:val="16"/>
          <w:szCs w:val="16"/>
          <w:color w:val="auto"/>
        </w:rPr>
        <w:t>” means, as of any date of determination and with respect to the then-current Benchmark, as applicable, (x) if the then-current Benchmark is a term rate, any tenor for such Benchmark that is or may be used for determining the length of a Yield Period or (y) otherwise, any payment period for discount calculated with reference to such Benchmark, as applicable, pursuant to this Agreement as of such date.</w:t>
      </w:r>
    </w:p>
    <w:p>
      <w:pPr>
        <w:spacing w:after="0" w:line="149"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means, initially, the SOFR Rate</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w:t>
      </w:r>
      <w:r>
        <w:rPr>
          <w:rFonts w:ascii="Arial" w:cs="Arial" w:eastAsia="Arial" w:hAnsi="Arial"/>
          <w:sz w:val="18"/>
          <w:szCs w:val="18"/>
          <w:color w:val="auto"/>
        </w:rPr>
        <w:t xml:space="preserve"> Daily Resetting </w:t>
      </w:r>
      <w:r>
        <w:rPr>
          <w:rFonts w:ascii="Arial" w:cs="Arial" w:eastAsia="Arial" w:hAnsi="Arial"/>
          <w:sz w:val="18"/>
          <w:szCs w:val="18"/>
          <w:color w:val="FF0000"/>
          <w:strike w:val="1"/>
        </w:rPr>
        <w:t>SOFR and Daily Simple</w:t>
      </w:r>
      <w:r>
        <w:rPr>
          <w:rFonts w:ascii="Arial" w:cs="Arial" w:eastAsia="Arial" w:hAnsi="Arial"/>
          <w:sz w:val="18"/>
          <w:szCs w:val="18"/>
          <w:color w:val="auto"/>
        </w:rPr>
        <w:t xml:space="preserve"> SOFR;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replacement of the Benchmark has occurred pursuant to this </w:t>
      </w:r>
      <w:r>
        <w:rPr>
          <w:rFonts w:ascii="Arial" w:cs="Arial" w:eastAsia="Arial" w:hAnsi="Arial"/>
          <w:sz w:val="18"/>
          <w:szCs w:val="18"/>
          <w:u w:val="single" w:color="auto"/>
          <w:color w:val="auto"/>
        </w:rPr>
        <w:t>Section 1.12(g)</w:t>
      </w:r>
      <w:r>
        <w:rPr>
          <w:rFonts w:ascii="Arial" w:cs="Arial" w:eastAsia="Arial" w:hAnsi="Arial"/>
          <w:sz w:val="18"/>
          <w:szCs w:val="18"/>
          <w:color w:val="auto"/>
        </w:rPr>
        <w:t>,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-412115</wp:posOffset>
            </wp:positionV>
            <wp:extent cx="1625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w:t>
      </w:r>
      <w:r>
        <w:rPr>
          <w:rFonts w:ascii="Arial" w:cs="Arial" w:eastAsia="Arial" w:hAnsi="Arial"/>
          <w:sz w:val="17"/>
          <w:szCs w:val="17"/>
          <w:color w:val="auto"/>
        </w:rPr>
        <w:t>” means, for any Available Tenor, the first alternative set forth in the order below that can be determined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Administrator for the applicable Benchmark Replacement Date:</w:t>
      </w:r>
    </w:p>
    <w:p>
      <w:pPr>
        <w:spacing w:after="0" w:line="103" w:lineRule="exact"/>
        <w:rPr>
          <w:sz w:val="20"/>
          <w:szCs w:val="20"/>
          <w:color w:val="auto"/>
        </w:rPr>
      </w:pPr>
    </w:p>
    <w:p>
      <w:pPr>
        <w:ind w:left="1420" w:right="180" w:firstLine="391"/>
        <w:spacing w:after="0" w:line="277" w:lineRule="auto"/>
        <w:tabs>
          <w:tab w:leader="none" w:pos="205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with respect to a Benchmark Transition Event relating to the Daily Resetting SOFR or SOFR Rate, the sum of: (A) Daily Simple SOFR and (B) the SOFR Adjustment; and</w:t>
      </w:r>
    </w:p>
    <w:p>
      <w:pPr>
        <w:spacing w:after="0" w:line="62" w:lineRule="exact"/>
        <w:rPr>
          <w:rFonts w:ascii="Arial" w:cs="Arial" w:eastAsia="Arial" w:hAnsi="Arial"/>
          <w:sz w:val="18"/>
          <w:szCs w:val="18"/>
          <w:color w:val="auto"/>
        </w:rPr>
      </w:pPr>
    </w:p>
    <w:p>
      <w:pPr>
        <w:ind w:left="1420" w:right="180" w:firstLine="391"/>
        <w:spacing w:after="0" w:line="301" w:lineRule="auto"/>
        <w:tabs>
          <w:tab w:leader="none" w:pos="2058"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sum of (A) the alternate benchmark rate that has been selected by the Administrator and the Seller as the replacement for the then-current Benchmark for the applicable Available Tenor giving due consideration to any evolving or then-prevailing market convention, including any applicable recommendations made by the Relevant Governmental Body, for U.S. dollar-denominated syndicated credit facilities at such time and (B) the related Benchmark Replacement Adjustment;</w:t>
      </w:r>
    </w:p>
    <w:p>
      <w:pPr>
        <w:spacing w:after="0" w:line="49"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such Unadjusted Benchmark Replacement is displayed on a screen or other information service that publishes such rate from time to time as selected by the Administrator in its reasonable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the Benchmark Replacement (as determined pursuant to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w:t>
      </w:r>
      <w:r>
        <w:rPr>
          <w:rFonts w:ascii="Arial" w:cs="Arial" w:eastAsia="Arial" w:hAnsi="Arial"/>
          <w:sz w:val="18"/>
          <w:szCs w:val="18"/>
          <w:color w:val="auto"/>
        </w:rPr>
        <w:t xml:space="preserve"> above and after giving effect to the SOFR Adjustment or the related Benchmark Replacement Adjustment, respectively) would be less than the Floor, the Benchmark Replacement will be deemed to be the Floor for the purposes of this Agreement and the other Transaction Documents.</w:t>
      </w:r>
    </w:p>
    <w:p>
      <w:pPr>
        <w:spacing w:after="0" w:line="188"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Adjustment</w:t>
      </w:r>
      <w:r>
        <w:rPr>
          <w:rFonts w:ascii="Arial" w:cs="Arial" w:eastAsia="Arial" w:hAnsi="Arial"/>
          <w:sz w:val="17"/>
          <w:szCs w:val="17"/>
          <w:color w:val="auto"/>
        </w:rPr>
        <w:t xml:space="preserve">” means, with respect to any replacement of the then-current Benchmark with an Unadjusted Benchmark Replacement for any applicable Available Tenor for any setting of such Unadjusted Benchmark Replacement, the spread adjustment, or method for calculating or determining such spread adjustment, (which may be a positive or negative value or zero) that has been selected by the Administrator and the Seller for the applicable Corresponding Tenor giving due consideration to any evolving or then-prevailing market convention, including any applicable recommendations made by the Relevant Governmental Body, for U.S. dollar-denominated syndicated credit facilities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if the then-current Benchmark is a term rate, more than one tenor of such Benchmark</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215" w:name="page216"/>
    <w:bookmarkEnd w:id="215"/>
    <w:p>
      <w:pPr>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available as of the applicable Benchmark Replacement Date and the applicable Unadjusted Benchmark Replacement will not be a term rate, the Available Tenor of such Benchmark for purposes of this definition of “Benchmark Replacement Adjustment” shall be deemed to be the Available Tenor that has approximately the same length (disregarding business day adjustments) as the payment period for discount calculated with reference to such Unadjusted Benchmark Replacement.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the earliest to occur of the following events with respect to the then-current Benchmark:</w:t>
      </w:r>
    </w:p>
    <w:p>
      <w:pPr>
        <w:spacing w:after="0" w:line="117" w:lineRule="exact"/>
        <w:rPr>
          <w:sz w:val="20"/>
          <w:szCs w:val="20"/>
          <w:color w:val="auto"/>
        </w:rPr>
      </w:pPr>
    </w:p>
    <w:p>
      <w:pPr>
        <w:ind w:left="984" w:right="60" w:firstLine="408"/>
        <w:spacing w:after="0" w:line="259" w:lineRule="auto"/>
        <w:tabs>
          <w:tab w:leader="none" w:pos="16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in the case of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78" w:lineRule="exact"/>
        <w:rPr>
          <w:rFonts w:ascii="Arial" w:cs="Arial" w:eastAsia="Arial" w:hAnsi="Arial"/>
          <w:sz w:val="18"/>
          <w:szCs w:val="18"/>
          <w:color w:val="auto"/>
        </w:rPr>
      </w:pPr>
    </w:p>
    <w:p>
      <w:pPr>
        <w:jc w:val="both"/>
        <w:ind w:left="984" w:right="260" w:firstLine="408"/>
        <w:spacing w:after="0" w:line="263" w:lineRule="auto"/>
        <w:tabs>
          <w:tab w:leader="none" w:pos="16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in the case of </w:t>
      </w:r>
      <w:r>
        <w:rPr>
          <w:rFonts w:ascii="Arial" w:cs="Arial" w:eastAsia="Arial" w:hAnsi="Arial"/>
          <w:sz w:val="18"/>
          <w:szCs w:val="18"/>
          <w:u w:val="single" w:color="auto"/>
          <w:color w:val="auto"/>
        </w:rPr>
        <w:t>clause (2)</w:t>
      </w:r>
      <w:r>
        <w:rPr>
          <w:rFonts w:ascii="Arial" w:cs="Arial" w:eastAsia="Arial" w:hAnsi="Arial"/>
          <w:sz w:val="18"/>
          <w:szCs w:val="18"/>
          <w:color w:val="auto"/>
        </w:rPr>
        <w:t xml:space="preserve"> of the definition of “Benchmark Transition Event,” date determined and announced or on behalf of the administrator of such Benchmark (or such component thereof) or by the Administrator, which date shall promptly follow the date of the public statement or publication of information referenced therein; or</w:t>
      </w:r>
    </w:p>
    <w:p>
      <w:pPr>
        <w:spacing w:after="0" w:line="184" w:lineRule="exact"/>
        <w:rPr>
          <w:sz w:val="20"/>
          <w:szCs w:val="20"/>
          <w:color w:val="auto"/>
        </w:rPr>
      </w:pPr>
    </w:p>
    <w:p>
      <w:pPr>
        <w:ind w:left="4" w:right="160"/>
        <w:spacing w:after="0" w:line="257" w:lineRule="auto"/>
        <w:rPr>
          <w:sz w:val="20"/>
          <w:szCs w:val="20"/>
          <w:color w:val="auto"/>
        </w:rPr>
      </w:pPr>
      <w:r>
        <w:rPr>
          <w:rFonts w:ascii="Arial" w:cs="Arial" w:eastAsia="Arial" w:hAnsi="Arial"/>
          <w:sz w:val="18"/>
          <w:szCs w:val="18"/>
          <w:color w:val="auto"/>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or (2) with respect to any Benchmark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ind w:left="4" w:right="2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the occurrence a public statement or publication of information by or on behalf of the administrator of the then-current Benchmark, the regulatory supervisor for the administrator of such Benchmark, the Federal Reserve Board, the Federal Reserve Bank of New York,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w:t>
      </w:r>
    </w:p>
    <w:p>
      <w:pPr>
        <w:spacing w:after="0" w:line="80" w:lineRule="exact"/>
        <w:rPr>
          <w:sz w:val="20"/>
          <w:szCs w:val="20"/>
          <w:color w:val="auto"/>
        </w:rPr>
      </w:pPr>
    </w:p>
    <w:p>
      <w:pPr>
        <w:ind w:left="984" w:right="120" w:firstLine="408"/>
        <w:spacing w:after="0" w:line="263" w:lineRule="auto"/>
        <w:tabs>
          <w:tab w:leader="none" w:pos="16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such administrator has ceased or will cease on a specified date to provide all Available Tenors of such Benchmark,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w:t>
      </w:r>
    </w:p>
    <w:p>
      <w:pPr>
        <w:spacing w:after="0" w:line="75" w:lineRule="exact"/>
        <w:rPr>
          <w:rFonts w:ascii="Arial" w:cs="Arial" w:eastAsia="Arial" w:hAnsi="Arial"/>
          <w:sz w:val="18"/>
          <w:szCs w:val="18"/>
          <w:color w:val="auto"/>
        </w:rPr>
      </w:pPr>
    </w:p>
    <w:p>
      <w:pPr>
        <w:ind w:left="984" w:firstLine="408"/>
        <w:spacing w:after="0" w:line="277" w:lineRule="auto"/>
        <w:tabs>
          <w:tab w:leader="none" w:pos="16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all Available Tenors of such Benchmark are or will no longer be representative of the underlying market and economic reality that such Benchmark is intended to measure and that representativeness will not be restored.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Unavailability Period</w:t>
      </w:r>
      <w:r>
        <w:rPr>
          <w:rFonts w:ascii="Arial" w:cs="Arial" w:eastAsia="Arial" w:hAnsi="Arial"/>
          <w:sz w:val="16"/>
          <w:szCs w:val="16"/>
          <w:color w:val="auto"/>
        </w:rPr>
        <w:t xml:space="preserve">” means the period (if any) (x) beginning at the time that a Benchmark Replacement Date pursuant to </w:t>
      </w:r>
      <w:r>
        <w:rPr>
          <w:rFonts w:ascii="Arial" w:cs="Arial" w:eastAsia="Arial" w:hAnsi="Arial"/>
          <w:sz w:val="16"/>
          <w:szCs w:val="16"/>
          <w:u w:val="single" w:color="auto"/>
          <w:color w:val="auto"/>
        </w:rPr>
        <w:t>clauses</w:t>
      </w:r>
    </w:p>
    <w:p>
      <w:pPr>
        <w:spacing w:after="0" w:line="46" w:lineRule="exact"/>
        <w:rPr>
          <w:sz w:val="20"/>
          <w:szCs w:val="20"/>
          <w:color w:val="auto"/>
        </w:rPr>
      </w:pPr>
    </w:p>
    <w:p>
      <w:pPr>
        <w:ind w:left="264" w:hanging="264"/>
        <w:spacing w:after="0"/>
        <w:tabs>
          <w:tab w:leader="none" w:pos="264" w:val="left"/>
        </w:tabs>
        <w:numPr>
          <w:ilvl w:val="0"/>
          <w:numId w:val="262"/>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(2)</w:t>
      </w:r>
      <w:r>
        <w:rPr>
          <w:rFonts w:ascii="Arial" w:cs="Arial" w:eastAsia="Arial" w:hAnsi="Arial"/>
          <w:sz w:val="18"/>
          <w:szCs w:val="18"/>
          <w:color w:val="auto"/>
        </w:rPr>
        <w:t xml:space="preserve"> of that definition has occurred if, at</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4"/>
          </w:cols>
          <w:pgMar w:left="436" w:top="274" w:right="439" w:bottom="1440" w:gutter="0" w:footer="0" w:header="0"/>
        </w:sectPr>
      </w:pPr>
    </w:p>
    <w:bookmarkStart w:id="216" w:name="page217"/>
    <w:bookmarkEnd w:id="216"/>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time, no Benchmark Replacement has replaced the then-current Benchmark for all purposes hereunder and under any Transaction Document in accordance with this </w:t>
      </w:r>
      <w:r>
        <w:rPr>
          <w:rFonts w:ascii="Arial" w:cs="Arial" w:eastAsia="Arial" w:hAnsi="Arial"/>
          <w:sz w:val="18"/>
          <w:szCs w:val="18"/>
          <w:u w:val="single" w:color="auto"/>
          <w:color w:val="auto"/>
        </w:rPr>
        <w:t>Section 1.12(g)</w:t>
      </w:r>
      <w:r>
        <w:rPr>
          <w:rFonts w:ascii="Arial" w:cs="Arial" w:eastAsia="Arial" w:hAnsi="Arial"/>
          <w:sz w:val="18"/>
          <w:szCs w:val="18"/>
          <w:color w:val="auto"/>
        </w:rPr>
        <w:t xml:space="preserve"> and (y) ending at the time that a Benchmark Replacement has replaced the then-current Benchmark for all purposes hereunder and under any Transaction Document in accordance with this </w:t>
      </w:r>
      <w:r>
        <w:rPr>
          <w:rFonts w:ascii="Arial" w:cs="Arial" w:eastAsia="Arial" w:hAnsi="Arial"/>
          <w:sz w:val="18"/>
          <w:szCs w:val="18"/>
          <w:u w:val="single" w:color="auto"/>
          <w:color w:val="auto"/>
        </w:rPr>
        <w:t>Section 1.12(g)</w:t>
      </w:r>
      <w:r>
        <w:rPr>
          <w:rFonts w:ascii="Arial" w:cs="Arial" w:eastAsia="Arial" w:hAnsi="Arial"/>
          <w:sz w:val="18"/>
          <w:szCs w:val="18"/>
          <w:color w:val="auto"/>
        </w:rPr>
        <w:t>.</w:t>
      </w:r>
    </w:p>
    <w:p>
      <w:pPr>
        <w:spacing w:after="0" w:line="1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Corresponding Tenor</w:t>
      </w:r>
      <w:r>
        <w:rPr>
          <w:rFonts w:ascii="Arial" w:cs="Arial" w:eastAsia="Arial" w:hAnsi="Arial"/>
          <w:sz w:val="18"/>
          <w:szCs w:val="18"/>
          <w:color w:val="auto"/>
        </w:rPr>
        <w:t>” with respect to any Available Tenor means, as applicable, either a tenor (including overnight) or discount payment period having approximately the same length (disregarding business day adjustment) as such Available Tenor.</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Time</w:t>
      </w:r>
      <w:r>
        <w:rPr>
          <w:rFonts w:ascii="Arial" w:cs="Arial" w:eastAsia="Arial" w:hAnsi="Arial"/>
          <w:sz w:val="18"/>
          <w:szCs w:val="18"/>
          <w:color w:val="auto"/>
        </w:rPr>
        <w:t>” means, with respect to any setting of the then-current Benchmark, the time determined by the Administrator in its reasonable discretion.</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Federal Reserve Board or the Federal Reserve Bank of New York, or a committee officially endorsed or convened by the Federal Reserve Board or the Federal Reserve Bank of New York, or any successor thereto.</w:t>
      </w:r>
    </w:p>
    <w:p>
      <w:pPr>
        <w:spacing w:after="0" w:line="170" w:lineRule="exact"/>
        <w:rPr>
          <w:sz w:val="20"/>
          <w:szCs w:val="20"/>
          <w:color w:val="auto"/>
        </w:rPr>
      </w:pPr>
    </w:p>
    <w:p>
      <w:pPr>
        <w:ind w:right="9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Benchmark Replacement</w:t>
      </w:r>
      <w:r>
        <w:rPr>
          <w:rFonts w:ascii="Arial" w:cs="Arial" w:eastAsia="Arial" w:hAnsi="Arial"/>
          <w:sz w:val="18"/>
          <w:szCs w:val="18"/>
          <w:color w:val="auto"/>
        </w:rPr>
        <w:t>” means the applicable Benchmark Replacement excluding the related Benchmark Replacement Adjustment.</w:t>
      </w:r>
    </w:p>
    <w:p>
      <w:pPr>
        <w:spacing w:after="0" w:line="170" w:lineRule="exact"/>
        <w:rPr>
          <w:sz w:val="20"/>
          <w:szCs w:val="20"/>
          <w:color w:val="auto"/>
        </w:rPr>
      </w:pPr>
    </w:p>
    <w:p>
      <w:pPr>
        <w:ind w:firstLine="987"/>
        <w:spacing w:after="0" w:line="275" w:lineRule="auto"/>
        <w:tabs>
          <w:tab w:leader="none" w:pos="1246"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Selection of Discount Rate Options</w:t>
      </w:r>
      <w:r>
        <w:rPr>
          <w:rFonts w:ascii="Arial" w:cs="Arial" w:eastAsia="Arial" w:hAnsi="Arial"/>
          <w:sz w:val="17"/>
          <w:szCs w:val="17"/>
          <w:color w:val="auto"/>
        </w:rPr>
        <w:t xml:space="preserve">. If the Seller fails to select a new Discount Rate Option to apply to any Portion of Investment under any Term Rate Investment Option at the expiration of an existing Yield Period applicable to such Portion of Investment in accordance with the provisions of </w:t>
      </w:r>
      <w:r>
        <w:rPr>
          <w:rFonts w:ascii="Arial" w:cs="Arial" w:eastAsia="Arial" w:hAnsi="Arial"/>
          <w:sz w:val="17"/>
          <w:szCs w:val="17"/>
          <w:u w:val="single" w:color="auto"/>
          <w:color w:val="auto"/>
        </w:rPr>
        <w:t>Section 1.12</w:t>
      </w:r>
      <w:r>
        <w:rPr>
          <w:rFonts w:ascii="Arial" w:cs="Arial" w:eastAsia="Arial" w:hAnsi="Arial"/>
          <w:sz w:val="17"/>
          <w:szCs w:val="17"/>
          <w:color w:val="auto"/>
        </w:rPr>
        <w:t>, the Seller shall be deemed to have continued such Portion of Investment as the Term Rate Investment Option then in effect commencing upon the last day of the existing Yield Period. Each Yield Period for SOFR Rate Investments shall be a period of one (1) month. Any Purchase Notice that fails to select a Discount Rate Option shall be deemed to be a request for the SOFR Rate Option.</w:t>
      </w:r>
    </w:p>
    <w:p>
      <w:pPr>
        <w:spacing w:after="0" w:line="176" w:lineRule="exact"/>
        <w:rPr>
          <w:rFonts w:ascii="Arial" w:cs="Arial" w:eastAsia="Arial" w:hAnsi="Arial"/>
          <w:sz w:val="17"/>
          <w:szCs w:val="17"/>
          <w:color w:val="auto"/>
        </w:rPr>
      </w:pPr>
    </w:p>
    <w:p>
      <w:pPr>
        <w:ind w:right="280" w:firstLine="987"/>
        <w:spacing w:after="0" w:line="263" w:lineRule="auto"/>
        <w:tabs>
          <w:tab w:leader="none" w:pos="1206"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Discount Payment Dates</w:t>
      </w:r>
      <w:r>
        <w:rPr>
          <w:rFonts w:ascii="Arial" w:cs="Arial" w:eastAsia="Arial" w:hAnsi="Arial"/>
          <w:sz w:val="18"/>
          <w:szCs w:val="18"/>
          <w:color w:val="auto"/>
        </w:rPr>
        <w:t xml:space="preserve">. Each Investment shall accrue Discount on each day when such Investment remains outstanding at the then applicable discount rate for the Portion of Investment relating to such Investment. The Seller shall pay all Discount on each Settlement Date in accordance with the terms and priorities for payment set forth in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COVENANTS;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EVENTS</w:t>
      </w:r>
    </w:p>
    <w:p>
      <w:pPr>
        <w:spacing w:after="0" w:line="211"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Representations and Warranties; Covenants</w:t>
      </w:r>
      <w:r>
        <w:rPr>
          <w:rFonts w:ascii="Arial" w:cs="Arial" w:eastAsia="Arial" w:hAnsi="Arial"/>
          <w:sz w:val="16"/>
          <w:szCs w:val="16"/>
          <w:color w:val="auto"/>
        </w:rPr>
        <w:t xml:space="preserve">. Each of the Seller, WESCO and the Servicer hereby makes the representations and warranties, and hereby agrees to perform and observe the covenants, applicable to it set forth in </w:t>
      </w:r>
      <w:r>
        <w:rPr>
          <w:rFonts w:ascii="Arial" w:cs="Arial" w:eastAsia="Arial" w:hAnsi="Arial"/>
          <w:sz w:val="16"/>
          <w:szCs w:val="16"/>
          <w:u w:val="single" w:color="auto"/>
          <w:color w:val="auto"/>
        </w:rPr>
        <w:t>Exhibits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IV</w:t>
      </w:r>
      <w:r>
        <w:rPr>
          <w:rFonts w:ascii="Arial" w:cs="Arial" w:eastAsia="Arial" w:hAnsi="Arial"/>
          <w:sz w:val="16"/>
          <w:szCs w:val="16"/>
          <w:color w:val="auto"/>
        </w:rPr>
        <w:t>, respectively.</w:t>
      </w:r>
    </w:p>
    <w:p>
      <w:pPr>
        <w:spacing w:after="0" w:line="124"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Termination Events</w:t>
      </w:r>
      <w:r>
        <w:rPr>
          <w:rFonts w:ascii="Arial" w:cs="Arial" w:eastAsia="Arial" w:hAnsi="Arial"/>
          <w:sz w:val="18"/>
          <w:szCs w:val="18"/>
          <w:color w:val="auto"/>
        </w:rPr>
        <w:t xml:space="preserve">. If any of the Termination Events set forth in </w:t>
      </w:r>
      <w:r>
        <w:rPr>
          <w:rFonts w:ascii="Arial" w:cs="Arial" w:eastAsia="Arial" w:hAnsi="Arial"/>
          <w:sz w:val="18"/>
          <w:szCs w:val="18"/>
          <w:u w:val="single" w:color="auto"/>
          <w:color w:val="auto"/>
        </w:rPr>
        <w:t>Exhibit V</w:t>
      </w:r>
      <w:r>
        <w:rPr>
          <w:rFonts w:ascii="Arial" w:cs="Arial" w:eastAsia="Arial" w:hAnsi="Arial"/>
          <w:sz w:val="18"/>
          <w:szCs w:val="18"/>
          <w:color w:val="auto"/>
        </w:rPr>
        <w:t xml:space="preserve"> shall occur and be continuing, the Administrator may (with the consent of a Simple Majority of the Purchasers) or shall (at the direction of a Simple Majority of the Purchasers), by notice to the Seller, declare the Facility Termination Date to have occurred (in which case the Facility Termination Date shall be deemed to have occurred);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automatically upon the occurrence of any event (without any requirement for the passage of time or the giving of notice) described in </w:t>
      </w:r>
      <w:r>
        <w:rPr>
          <w:rFonts w:ascii="Arial" w:cs="Arial" w:eastAsia="Arial" w:hAnsi="Arial"/>
          <w:sz w:val="18"/>
          <w:szCs w:val="18"/>
          <w:u w:val="single" w:color="auto"/>
          <w:color w:val="auto"/>
        </w:rPr>
        <w:t>paragraph (f)</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V</w:t>
      </w:r>
      <w:r>
        <w:rPr>
          <w:rFonts w:ascii="Arial" w:cs="Arial" w:eastAsia="Arial" w:hAnsi="Arial"/>
          <w:sz w:val="18"/>
          <w:szCs w:val="18"/>
          <w:color w:val="auto"/>
        </w:rPr>
        <w:t>, the Facility Termination Date shall occur. Upon any such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17" w:name="page218"/>
    <w:bookmarkEnd w:id="217"/>
    <w:p>
      <w:pPr>
        <w:jc w:val="both"/>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declaration, occurrence or deemed occurrence of the Facility Termination Date, the Administrator, each Purchaser Agent and each Purchaser shall have, in addition to the rights and remedies that they may have under this Agreement, all other rights and remedies provided after default under the New York UCC and under other Applicable Law, which rights and remedies shall be cumulative.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right="80" w:firstLine="440"/>
        <w:spacing w:after="0" w:line="268"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Indemnities by the Seller</w:t>
      </w:r>
      <w:r>
        <w:rPr>
          <w:rFonts w:ascii="Arial" w:cs="Arial" w:eastAsia="Arial" w:hAnsi="Arial"/>
          <w:sz w:val="17"/>
          <w:szCs w:val="17"/>
          <w:color w:val="auto"/>
        </w:rPr>
        <w:t>. Without limiting any other rights that any Purchaser Agent, Purchaser, Liquidity Provider, the Administrator or any Program Support Provider or any of their respective Affiliates, employees, officers, directors, agents, counsel, successors, transferees or assigns (each,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may have hereunder or under Applicable Law, the Seller hereby agrees to indemnify each Indemnified Party from and against any and all claims, damages, expenses, costs, losses and liabilities (including Attorney Costs) (all of the foregoing being collectively referred to as “</w:t>
      </w:r>
      <w:r>
        <w:rPr>
          <w:rFonts w:ascii="Arial" w:cs="Arial" w:eastAsia="Arial" w:hAnsi="Arial"/>
          <w:sz w:val="17"/>
          <w:szCs w:val="17"/>
          <w:u w:val="single" w:color="auto"/>
          <w:color w:val="auto"/>
        </w:rPr>
        <w:t>Indemnified Amounts</w:t>
      </w:r>
      <w:r>
        <w:rPr>
          <w:rFonts w:ascii="Arial" w:cs="Arial" w:eastAsia="Arial" w:hAnsi="Arial"/>
          <w:sz w:val="17"/>
          <w:szCs w:val="17"/>
          <w:color w:val="auto"/>
        </w:rPr>
        <w:t>”) arising out of or resulting from this Agreement (whether directly or indirectly), the use of proceeds of purchases or reinvestments, the ownership of the Purchased Interest, or any interest therein, or in respect of any Receivable, Related Security or Contract, excluding, however: (a) Indemnified Amounts to the extent resulting from gross negligence or willful misconduct on the part of such Indemnified Party or its officers, directors, agents or counsel, (b) Indemnified Amounts in respect of any Receivable to the extent that such Receivable is uncollectible on account of the insolvency, bankruptcy or lack of creditworthiness of the related Obligor, or (c) any overall net income taxes or franchise taxes imposed on such Indemnified Party by the jurisdiction under the laws of which such Indemnified Party is organized or any political subdivision thereof. Without limiting or being limited by the foregoing, and subject to the exclusions set forth in the preceding sentence, the Seller shall pay on demand (which demand shall be accompanied by documentation of the Indemnified Amounts, in reasonable detail) to each Indemnified Party any and all amounts necessary to indemnify such Indemnified Party from and against any and all Indemnified Amounts relating to or resulting from any of the following:</w:t>
      </w:r>
    </w:p>
    <w:p>
      <w:pPr>
        <w:spacing w:after="0" w:line="76" w:lineRule="exact"/>
        <w:rPr>
          <w:sz w:val="20"/>
          <w:szCs w:val="20"/>
          <w:color w:val="auto"/>
        </w:rPr>
      </w:pPr>
    </w:p>
    <w:p>
      <w:pPr>
        <w:jc w:val="both"/>
        <w:ind w:left="440" w:right="120" w:firstLine="419"/>
        <w:spacing w:after="0" w:line="311" w:lineRule="auto"/>
        <w:tabs>
          <w:tab w:leader="none" w:pos="107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the failure of any Receivable included in the calculation of the Net Receivables Pool Balance as an Eligible Receivable to be an Eligible Receivable, the failure of any information contained in an Information Package or Daily Report to be true and correct, or the failure of any other information provided to such Indemnified Party by the Seller or Servicer with respect to Receivables or this Agreement to be true and correct;</w:t>
      </w:r>
    </w:p>
    <w:p>
      <w:pPr>
        <w:spacing w:after="0" w:line="40" w:lineRule="exact"/>
        <w:rPr>
          <w:rFonts w:ascii="Arial" w:cs="Arial" w:eastAsia="Arial" w:hAnsi="Arial"/>
          <w:sz w:val="16"/>
          <w:szCs w:val="16"/>
          <w:color w:val="auto"/>
        </w:rPr>
      </w:pPr>
    </w:p>
    <w:p>
      <w:pPr>
        <w:ind w:left="440" w:firstLine="419"/>
        <w:spacing w:after="0" w:line="277" w:lineRule="auto"/>
        <w:tabs>
          <w:tab w:leader="none" w:pos="11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failure of any representation, warranty or statement made or deemed made by the Seller (or any of its officers) under or in connection with this Agreement to have been true and correct as of the date made or deemed made in all respects when made;</w:t>
      </w:r>
    </w:p>
    <w:p>
      <w:pPr>
        <w:spacing w:after="0" w:line="62" w:lineRule="exact"/>
        <w:rPr>
          <w:rFonts w:ascii="Arial" w:cs="Arial" w:eastAsia="Arial" w:hAnsi="Arial"/>
          <w:sz w:val="18"/>
          <w:szCs w:val="18"/>
          <w:color w:val="auto"/>
        </w:rPr>
      </w:pPr>
    </w:p>
    <w:p>
      <w:pPr>
        <w:ind w:left="440" w:firstLine="419"/>
        <w:spacing w:after="0" w:line="277" w:lineRule="auto"/>
        <w:tabs>
          <w:tab w:leader="none" w:pos="117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failure by the Seller to comply with any Applicable Law with respect to any Pool Receivable or the related Contract, or the failure of any Pool Receivable or the related Contract to conform to any such Applicable Law;</w:t>
      </w:r>
    </w:p>
    <w:p>
      <w:pPr>
        <w:spacing w:after="0" w:line="62" w:lineRule="exact"/>
        <w:rPr>
          <w:rFonts w:ascii="Arial" w:cs="Arial" w:eastAsia="Arial" w:hAnsi="Arial"/>
          <w:sz w:val="18"/>
          <w:szCs w:val="18"/>
          <w:color w:val="auto"/>
        </w:rPr>
      </w:pPr>
    </w:p>
    <w:p>
      <w:pPr>
        <w:ind w:left="440" w:right="240" w:firstLine="419"/>
        <w:spacing w:after="0" w:line="277" w:lineRule="auto"/>
        <w:tabs>
          <w:tab w:leader="none" w:pos="116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failure to vest in the Administrator (for the benefit of the Purchasers) a valid and enforceable: (A) perfected undivided percentage ownership interest, to the extent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18" w:name="page219"/>
    <w:bookmarkEnd w:id="218"/>
    <w:p>
      <w:pPr>
        <w:ind w:left="44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Purchased Interest, in the Receivables in, or purporting to be in, the Receivables Pool and the other Pool Assets, or, if not, a (B) first priority perfected security interest in the Pool Assets, in each case, free and clear of any Adverse Claim;</w:t>
      </w:r>
    </w:p>
    <w:p>
      <w:pPr>
        <w:spacing w:after="0" w:line="62" w:lineRule="exact"/>
        <w:rPr>
          <w:sz w:val="20"/>
          <w:szCs w:val="20"/>
          <w:color w:val="auto"/>
        </w:rPr>
      </w:pPr>
    </w:p>
    <w:p>
      <w:pPr>
        <w:jc w:val="both"/>
        <w:ind w:left="440" w:right="360" w:firstLine="419"/>
        <w:spacing w:after="0" w:line="263" w:lineRule="auto"/>
        <w:tabs>
          <w:tab w:leader="none" w:pos="111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failure to have filed, or any delay in filing, financing statements or other similar instruments or documents under the UCC of any applicable jurisdiction or other Applicable Laws with respect to any Receivables in, or purporting to be in, the Receivables Pool and the other Pool Assets, whether at the time of any Purchase or reinvestment or at any subsequent time;</w:t>
      </w:r>
    </w:p>
    <w:p>
      <w:pPr>
        <w:spacing w:after="0" w:line="75" w:lineRule="exact"/>
        <w:rPr>
          <w:rFonts w:ascii="Arial" w:cs="Arial" w:eastAsia="Arial" w:hAnsi="Arial"/>
          <w:sz w:val="18"/>
          <w:szCs w:val="18"/>
          <w:color w:val="auto"/>
        </w:rPr>
      </w:pPr>
    </w:p>
    <w:p>
      <w:pPr>
        <w:ind w:left="440" w:firstLine="419"/>
        <w:spacing w:after="0" w:line="257" w:lineRule="auto"/>
        <w:tabs>
          <w:tab w:leader="none" w:pos="116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dispute, claim, offset or defense (other than discharge in bankruptcy of the Obligor) of the Obligor to the payment of any Receivable in, or purporting to be in, the Receivables Pool (including a defense based on such Receivable or the related Contract not being a legal, valid and binding obligation of such Obligor enforceable against it in accordance with its terms), or any other claim resulting from the sale of the goods or services related to such Receivable or the furnishing or failure to furnish such goods or services or relating to collection activities with respect to such Receivable;</w:t>
      </w:r>
    </w:p>
    <w:p>
      <w:pPr>
        <w:spacing w:after="0" w:line="79" w:lineRule="exact"/>
        <w:rPr>
          <w:rFonts w:ascii="Arial" w:cs="Arial" w:eastAsia="Arial" w:hAnsi="Arial"/>
          <w:sz w:val="18"/>
          <w:szCs w:val="18"/>
          <w:color w:val="auto"/>
        </w:rPr>
      </w:pPr>
    </w:p>
    <w:p>
      <w:pPr>
        <w:ind w:left="440" w:right="80" w:firstLine="419"/>
        <w:spacing w:after="0" w:line="277" w:lineRule="auto"/>
        <w:tabs>
          <w:tab w:leader="none" w:pos="121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failure of the Seller, any Affiliate of the Seller or the Servicer to perform its duties or obligations in accordance with the provisions hereof or under the Contracts;</w:t>
      </w:r>
    </w:p>
    <w:p>
      <w:pPr>
        <w:spacing w:after="0" w:line="62" w:lineRule="exact"/>
        <w:rPr>
          <w:rFonts w:ascii="Arial" w:cs="Arial" w:eastAsia="Arial" w:hAnsi="Arial"/>
          <w:sz w:val="18"/>
          <w:szCs w:val="18"/>
          <w:color w:val="auto"/>
        </w:rPr>
      </w:pPr>
    </w:p>
    <w:p>
      <w:pPr>
        <w:ind w:left="440" w:right="60" w:firstLine="419"/>
        <w:spacing w:after="0" w:line="277" w:lineRule="auto"/>
        <w:tabs>
          <w:tab w:leader="none" w:pos="126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products liability or other claim, investigation, litigation or proceeding arising out of or in connection with merchandise, insurance or services that are the subject of any Contract;</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commingling of Collections at any time with other funds;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use of proceeds of purchases or reinvestments; or</w:t>
      </w:r>
    </w:p>
    <w:p>
      <w:pPr>
        <w:spacing w:after="0" w:line="117" w:lineRule="exact"/>
        <w:rPr>
          <w:rFonts w:ascii="Arial" w:cs="Arial" w:eastAsia="Arial" w:hAnsi="Arial"/>
          <w:sz w:val="18"/>
          <w:szCs w:val="18"/>
          <w:color w:val="auto"/>
        </w:rPr>
      </w:pPr>
    </w:p>
    <w:p>
      <w:pPr>
        <w:ind w:left="440" w:right="200" w:firstLine="419"/>
        <w:spacing w:after="0" w:line="277" w:lineRule="auto"/>
        <w:tabs>
          <w:tab w:leader="none" w:pos="116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any reduction in the Aggregate Investment as a result of the distribution of Collections pursuant to </w:t>
      </w:r>
      <w:r>
        <w:rPr>
          <w:rFonts w:ascii="Arial" w:cs="Arial" w:eastAsia="Arial" w:hAnsi="Arial"/>
          <w:sz w:val="18"/>
          <w:szCs w:val="18"/>
          <w:u w:val="single" w:color="auto"/>
          <w:color w:val="auto"/>
        </w:rPr>
        <w:t>Section 1.4(d)</w:t>
      </w:r>
      <w:r>
        <w:rPr>
          <w:rFonts w:ascii="Arial" w:cs="Arial" w:eastAsia="Arial" w:hAnsi="Arial"/>
          <w:sz w:val="18"/>
          <w:szCs w:val="18"/>
          <w:color w:val="auto"/>
        </w:rPr>
        <w:t>, if all or a portion of such distributions shall thereafter be rescinded or otherwise must be returned for any reason.</w:t>
      </w:r>
    </w:p>
    <w:p>
      <w:pPr>
        <w:spacing w:after="0" w:line="170"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Indemnities by the Servicer</w:t>
      </w:r>
      <w:r>
        <w:rPr>
          <w:rFonts w:ascii="Arial" w:cs="Arial" w:eastAsia="Arial" w:hAnsi="Arial"/>
          <w:sz w:val="16"/>
          <w:szCs w:val="16"/>
          <w:color w:val="auto"/>
        </w:rPr>
        <w:t>. Without limiting any other rights that any Indemnified Party may have hereunder or under Applicable Law, the Servicer hereby agrees to indemnify each Indemnified Party from and against any and all Indemnified Amounts arising out of or resulting from (whether directly or indirectly): (a) the failure of any information contained in an Information Package or Daily Report to be true and correct, or the failure of any other information provided to such Indemnified Party by, or on behalf of, the Servicer to be true and correct, (b) the failure of any representation, warranty or statement made or deemed made by the Servicer (or any of its officers) under or in connection with this Agreement or any other Transaction Document to which it is a party to have been true and correct as of the date made or deemed made in all respects when made, (c) the failure by the Servicer to comply with any Applicable Law with respect to any Pool Receivable or the related Contract, (d) any dispute, claim, offset or defense of the Obligor to the payment of any Receivable in, or purporting to be in, the Receivables Pool resulting from or related to the collection activities of the Servicer, its Affiliates and designees, including any sub-servicers, with respect to such Receivable, or (e) any failure 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219" w:name="page220"/>
    <w:bookmarkEnd w:id="21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Servicer to perform its duties or obligations in accordance with the provisions hereof or any other Transaction Document to which it is a party.</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 AND COLLECTIONS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Appointment of the Servicer</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93" w:lineRule="auto"/>
        <w:tabs>
          <w:tab w:leader="none" w:pos="1236" w:val="left"/>
        </w:tabs>
        <w:numPr>
          <w:ilvl w:val="0"/>
          <w:numId w:val="266"/>
        </w:numPr>
        <w:rPr>
          <w:rFonts w:ascii="Arial" w:cs="Arial" w:eastAsia="Arial" w:hAnsi="Arial"/>
          <w:sz w:val="16"/>
          <w:szCs w:val="16"/>
          <w:color w:val="auto"/>
        </w:rPr>
      </w:pPr>
      <w:r>
        <w:rPr>
          <w:rFonts w:ascii="Arial" w:cs="Arial" w:eastAsia="Arial" w:hAnsi="Arial"/>
          <w:sz w:val="16"/>
          <w:szCs w:val="16"/>
          <w:color w:val="auto"/>
        </w:rPr>
        <w:t xml:space="preserve">The servicing, administering and collection of the Pool Receivables shall be conducted by the Person so designated from time to time as the Servicer in accordance with this Section. Until the Administrator gives notice to WESCO (in accordance with this </w:t>
      </w:r>
      <w:r>
        <w:rPr>
          <w:rFonts w:ascii="Arial" w:cs="Arial" w:eastAsia="Arial" w:hAnsi="Arial"/>
          <w:sz w:val="16"/>
          <w:szCs w:val="16"/>
          <w:u w:val="single" w:color="auto"/>
          <w:color w:val="auto"/>
        </w:rPr>
        <w:t>Section 4.1</w:t>
      </w:r>
      <w:r>
        <w:rPr>
          <w:rFonts w:ascii="Arial" w:cs="Arial" w:eastAsia="Arial" w:hAnsi="Arial"/>
          <w:sz w:val="16"/>
          <w:szCs w:val="16"/>
          <w:color w:val="auto"/>
        </w:rPr>
        <w:t>) of the designation of a new Servicer, WESCO is hereby designated as, and hereby agrees to perform the duties and obligations of, the Servicer pursuant to the terms hereof. Upon the occurrence of a Termination Event, the Administrator may (with the consent of the Majority Purchasers) or shall (at the direction of the Majority Purchasers) designate as Servicer any Person (including itself) to succeed WESCO or any successor Servicer, on the condition in each case that any such Person so designated shall agree to perform the duties and obligations of the Servicer pursuant to the terms hereof.</w:t>
      </w:r>
    </w:p>
    <w:p>
      <w:pPr>
        <w:spacing w:after="0" w:line="164" w:lineRule="exact"/>
        <w:rPr>
          <w:rFonts w:ascii="Arial" w:cs="Arial" w:eastAsia="Arial" w:hAnsi="Arial"/>
          <w:sz w:val="16"/>
          <w:szCs w:val="16"/>
          <w:color w:val="auto"/>
        </w:rPr>
      </w:pPr>
    </w:p>
    <w:p>
      <w:pPr>
        <w:ind w:right="280" w:firstLine="987"/>
        <w:spacing w:after="0" w:line="257" w:lineRule="auto"/>
        <w:tabs>
          <w:tab w:leader="none" w:pos="124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Upon the designation of a successor Servicer as set forth in </w:t>
      </w:r>
      <w:r>
        <w:rPr>
          <w:rFonts w:ascii="Arial" w:cs="Arial" w:eastAsia="Arial" w:hAnsi="Arial"/>
          <w:sz w:val="18"/>
          <w:szCs w:val="18"/>
          <w:u w:val="single" w:color="auto"/>
          <w:color w:val="auto"/>
        </w:rPr>
        <w:t>clause (a)</w:t>
      </w:r>
      <w:r>
        <w:rPr>
          <w:rFonts w:ascii="Arial" w:cs="Arial" w:eastAsia="Arial" w:hAnsi="Arial"/>
          <w:sz w:val="18"/>
          <w:szCs w:val="18"/>
          <w:color w:val="auto"/>
        </w:rPr>
        <w:t>, WESCO agrees that it will terminate its activities as Servicer hereunder in a manner that the Administrator determines will facilitate the transition of the performance of such activities to the new Servicer, and WESCO shall cooperate with and assist such new Servicer. Such cooperation shall include access to and transfer of related records (including all Contracts) and use by the new Servicer of all licenses, hardware or software necessary or desirable to collect the Pool Receivables and the Related Security.</w:t>
      </w:r>
    </w:p>
    <w:p>
      <w:pPr>
        <w:spacing w:after="0" w:line="187" w:lineRule="exact"/>
        <w:rPr>
          <w:rFonts w:ascii="Arial" w:cs="Arial" w:eastAsia="Arial" w:hAnsi="Arial"/>
          <w:sz w:val="18"/>
          <w:szCs w:val="18"/>
          <w:color w:val="auto"/>
        </w:rPr>
      </w:pPr>
    </w:p>
    <w:p>
      <w:pPr>
        <w:jc w:val="both"/>
        <w:ind w:right="340" w:firstLine="987"/>
        <w:spacing w:after="0" w:line="342" w:lineRule="auto"/>
        <w:tabs>
          <w:tab w:leader="none" w:pos="1236" w:val="left"/>
        </w:tabs>
        <w:numPr>
          <w:ilvl w:val="0"/>
          <w:numId w:val="266"/>
        </w:numPr>
        <w:rPr>
          <w:rFonts w:ascii="Arial" w:cs="Arial" w:eastAsia="Arial" w:hAnsi="Arial"/>
          <w:sz w:val="16"/>
          <w:szCs w:val="16"/>
          <w:color w:val="auto"/>
        </w:rPr>
      </w:pPr>
      <w:r>
        <w:rPr>
          <w:rFonts w:ascii="Arial" w:cs="Arial" w:eastAsia="Arial" w:hAnsi="Arial"/>
          <w:sz w:val="16"/>
          <w:szCs w:val="16"/>
          <w:color w:val="auto"/>
        </w:rPr>
        <w:t>WESCO acknowledges that, in making their decision to execute and deliver this Agreement, the Administrator and each Purchaser Group have relied on WESCO’s agreement to act as Servicer hereunder. Accordingly, WESCO agrees that it will not voluntarily resign as Servicer.</w:t>
      </w:r>
    </w:p>
    <w:p>
      <w:pPr>
        <w:spacing w:after="0" w:line="123" w:lineRule="exact"/>
        <w:rPr>
          <w:rFonts w:ascii="Arial" w:cs="Arial" w:eastAsia="Arial" w:hAnsi="Arial"/>
          <w:sz w:val="16"/>
          <w:szCs w:val="16"/>
          <w:color w:val="auto"/>
        </w:rPr>
      </w:pPr>
    </w:p>
    <w:p>
      <w:pPr>
        <w:ind w:right="40" w:firstLine="987"/>
        <w:spacing w:after="0" w:line="254" w:lineRule="auto"/>
        <w:tabs>
          <w:tab w:leader="none" w:pos="124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Servicer may delegate its duties and obligations hereunder to any subservicer (each a “</w:t>
      </w:r>
      <w:r>
        <w:rPr>
          <w:rFonts w:ascii="Arial" w:cs="Arial" w:eastAsia="Arial" w:hAnsi="Arial"/>
          <w:sz w:val="18"/>
          <w:szCs w:val="18"/>
          <w:u w:val="single" w:color="auto"/>
          <w:color w:val="auto"/>
        </w:rPr>
        <w:t>Sub-Servicer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such delegation: (i) such Sub-Servicer shall agree in writing to perform the duties and obligations of the Servicer pursuant to the terms hereof, (ii) the Servicer shall remain primarily liable for the performance of the duties and obligations so delegated, (iii) the Seller, the Administrator and each Purchaser Group shall have the right to look solely to the Servicer for performance, and (iv) the terms of any agreement with any Sub-Servicer shall provide that the Administrator may terminate such agreement upon the termination of the Servicer hereunder by giving notice of its desire to terminate such agreement to the Servicer (and the Servicer shall provide appropriate notice to each such Sub-Servicer);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such delegation is to any Person other than an Originator or an Affiliate thereof, the Administrator and the Majority Purchasers shall have consented in writing in advance to such delegation.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Duties of the Servicer</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20" w:name="page221"/>
    <w:bookmarkEnd w:id="220"/>
    <w:p>
      <w:pPr>
        <w:ind w:firstLine="987"/>
        <w:spacing w:after="0" w:line="285" w:lineRule="auto"/>
        <w:tabs>
          <w:tab w:leader="none" w:pos="1236" w:val="left"/>
        </w:tabs>
        <w:numPr>
          <w:ilvl w:val="0"/>
          <w:numId w:val="2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Servicer shall take or cause to be taken all such action as may be necessary or advisable to administer and collect each Pool Receivable from time to time, all in accordance with this Agreement and all Applicable Laws, with reasonable care and diligence, and in accordance with the Credit and Collection Policies. The Servicer shall set aside, for the account of each Purchaser Group, the amount of the Collections to which each such Purchaser Group is entitled in accordance with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The Servicer may, in accordance with the applicable Credit and Collection Policy, extend the maturity of any Pool Receivable and extend the maturity or adjust the Outstanding Balance of any Defaulted Receivable as the Servicer may determine to be appropriate to maximize Collections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such extension or adjustment shall not alter the status of such Pool Receivable as a Delinquent Receivable or a Defaulted Receivable (or cause any ineligible Receivable to become an Eligible Receivable) or limit the rights of the Administrator or any Purchaser Group under this Agreement, (ii) the original invoice date shall continue to be used for purposes of determining whether such Receivable is an Eligible Receivable, a Delinquent Receivable or a Defaulted Receivable and (iii) if a Termination Event has occurred and WESCO or an Affiliate thereof is serving as the Servicer, WESCO or such Affiliate may make such extension or adjustment only upon the prior approval of the Administrator (with the consent of the Majority Purchasers). The Seller shall deliver to the Servicer and the Servicer shall hold for the benefit of the Seller and the Administrator (individually and for the benefit of each Purchaser Group), in accordance with their respective interests, all records and documents (including computer tapes or disks) with respect to each Pool Receivable. Notwithstanding anything to the contrary contained herein, the Administrator may direct the Servicer (whether the Servicer is WESCO or any other Person) to commence or settle any legal action to enforce collection of any Pool Receivable or to foreclose upon or repossess any Related Security;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direction may be given unless either: (A) a Termination Event has occurred or (B) the Administrator believes in good faith that failure to commence, settle or effect such legal action, foreclosure or repossession could adversely affect Receivables constituting a material portion of the Pool Receivables.</w:t>
      </w:r>
    </w:p>
    <w:p>
      <w:pPr>
        <w:spacing w:after="0" w:line="173" w:lineRule="exact"/>
        <w:rPr>
          <w:rFonts w:ascii="Arial" w:cs="Arial" w:eastAsia="Arial" w:hAnsi="Arial"/>
          <w:sz w:val="16"/>
          <w:szCs w:val="16"/>
          <w:color w:val="auto"/>
        </w:rPr>
      </w:pPr>
    </w:p>
    <w:p>
      <w:pPr>
        <w:ind w:right="80" w:firstLine="987"/>
        <w:spacing w:after="0" w:line="296" w:lineRule="auto"/>
        <w:tabs>
          <w:tab w:leader="none" w:pos="1246"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Servicer shall, as soon as practicable following actual receipt of collected funds, turn over to the Seller the collections of any indebtedness that is not a Pool Receivable, less, if WESCO or an Affiliate thereof is not the Servicer, all reasonable and appropriate out-of-pocket costs and expenses of such Servicer of servicing, collecting and administering such collections. The Servicer, if other than WESCO or an Affiliate thereof, shall, as soon as practicable upon demand, deliver to the Seller all records in its possession that evidence or relate to any indebtedness that is not a Pool Receivable, and copies of records in its possession that evidence or relate to any indebtedness that is a Pool Receivable.</w:t>
      </w:r>
    </w:p>
    <w:p>
      <w:pPr>
        <w:spacing w:after="0" w:line="161" w:lineRule="exact"/>
        <w:rPr>
          <w:rFonts w:ascii="Arial" w:cs="Arial" w:eastAsia="Arial" w:hAnsi="Arial"/>
          <w:sz w:val="16"/>
          <w:szCs w:val="16"/>
          <w:color w:val="auto"/>
        </w:rPr>
      </w:pPr>
    </w:p>
    <w:p>
      <w:pPr>
        <w:ind w:right="140" w:firstLine="987"/>
        <w:spacing w:after="0" w:line="263" w:lineRule="auto"/>
        <w:tabs>
          <w:tab w:leader="none" w:pos="123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Servicer’s obligations hereunder shall terminate on the later of: (i) the Facility Termination Date and (ii) the date on which all amounts required to be paid to the Purchaser Agents, each Purchaser, the Administrator and any other Indemnified Party or Affected Person hereunder shall have been paid in full.</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After such termination, if WESCO or an Affiliate thereof was not the Servicer on the date of such termination, the Servicer shall promptly deliver to the Seller all books, records and related materials that the Seller previously provided to the Servicer, or that have been obtained by the Servicer, in connection with this Agreement.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221" w:name="page222"/>
    <w:bookmarkEnd w:id="221"/>
    <w:p>
      <w:pPr>
        <w:ind w:left="4"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4.3. </w:t>
      </w:r>
      <w:r>
        <w:rPr>
          <w:rFonts w:ascii="Arial" w:cs="Arial" w:eastAsia="Arial" w:hAnsi="Arial"/>
          <w:sz w:val="16"/>
          <w:szCs w:val="16"/>
          <w:u w:val="single" w:color="auto"/>
          <w:color w:val="auto"/>
        </w:rPr>
        <w:t>Lock-Box Account Arrangements</w:t>
      </w:r>
      <w:r>
        <w:rPr>
          <w:rFonts w:ascii="Arial" w:cs="Arial" w:eastAsia="Arial" w:hAnsi="Arial"/>
          <w:sz w:val="16"/>
          <w:szCs w:val="16"/>
          <w:color w:val="auto"/>
        </w:rPr>
        <w:t xml:space="preserve">. Prior to the date hereof, the Seller has entered into Lock-Box Agreements with all of the Lock-Box Banks maintaining any Lock-Box Account and delivered original counterparts of each such Lock-Box Agreement to the Administrator and each Purchaser Agent. Upon (i) the occurrence of a Termination Event, (ii) WESCO or Holdings ceasing to have a rating of at least “B-” by Standard &amp; Poor’s on its corporate credit rating or (iii) Holding’s Available Liquidity fails to exceed $100,000,000, the Administrator may (with the consent of any of the Purchasers) or shall (upon the direction of any of the Purchasers) at any time thereafter so long as any event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or</w:t>
      </w:r>
    </w:p>
    <w:p>
      <w:pPr>
        <w:spacing w:after="0" w:line="2" w:lineRule="exact"/>
        <w:rPr>
          <w:sz w:val="20"/>
          <w:szCs w:val="20"/>
          <w:color w:val="auto"/>
        </w:rPr>
      </w:pPr>
    </w:p>
    <w:p>
      <w:pPr>
        <w:ind w:left="4" w:hanging="4"/>
        <w:spacing w:after="0" w:line="284" w:lineRule="auto"/>
        <w:tabs>
          <w:tab w:leader="none" w:pos="319" w:val="left"/>
        </w:tabs>
        <w:numPr>
          <w:ilvl w:val="0"/>
          <w:numId w:val="268"/>
        </w:numPr>
        <w:rPr>
          <w:rFonts w:ascii="Arial" w:cs="Arial" w:eastAsia="Arial" w:hAnsi="Arial"/>
          <w:sz w:val="16"/>
          <w:szCs w:val="16"/>
          <w:u w:val="single" w:color="auto"/>
          <w:color w:val="auto"/>
        </w:rPr>
      </w:pPr>
      <w:r>
        <w:rPr>
          <w:rFonts w:ascii="Arial" w:cs="Arial" w:eastAsia="Arial" w:hAnsi="Arial"/>
          <w:sz w:val="16"/>
          <w:szCs w:val="16"/>
          <w:color w:val="auto"/>
        </w:rPr>
        <w:t>above exists at such time, give notice to each Lock-Box Bank that the Administrator is exercising its rights under the Lock-Box Agreements to do any or all of the following: (a) to have the exclusive ownership and control of the Lock-Box Accounts transferred to the Administrator (for the benefit of the Purchasers) and to exercise exclusive dominion and control over the funds deposited therein, (b) to have the proceeds that are sent to the respective Lock-Box Accounts redirected pursuant to the Administrator’s instructions rather than deposited in the applicable Lock-Box Account, and (c) to take any or all other actions permitted under the applicable Lock-Box Agreement (collectively, the “</w:t>
      </w:r>
      <w:r>
        <w:rPr>
          <w:rFonts w:ascii="Arial" w:cs="Arial" w:eastAsia="Arial" w:hAnsi="Arial"/>
          <w:sz w:val="16"/>
          <w:szCs w:val="16"/>
          <w:u w:val="single" w:color="auto"/>
          <w:color w:val="auto"/>
        </w:rPr>
        <w:t>Lock-Box Rights</w:t>
      </w:r>
      <w:r>
        <w:rPr>
          <w:rFonts w:ascii="Arial" w:cs="Arial" w:eastAsia="Arial" w:hAnsi="Arial"/>
          <w:sz w:val="16"/>
          <w:szCs w:val="16"/>
          <w:color w:val="auto"/>
        </w:rPr>
        <w:t xml:space="preserve">”). The Seller hereby agrees that if the Administrator at any time takes any action set forth in the preceding sentence, the Administrator shall have exclusive control (for the benefit of the Purchasers) of the proceeds (including Collections) of all Pool Receivables and the Seller hereby further agrees to take any other action that the Administrator or any Purchaser Agent may reasonably request to transfer such control. Any proceeds of Pool Receivables received by the Seller or the Servicer thereafter shall be sent immediately to the Administrator. The parties hereto hereby acknowledge that if at any time the Administrator takes control of any Lock-Box Account, the Administrator shall not have any rights to the funds therein in excess of the unpaid amounts due to the Administrator, the Purchaser Groups, any Indemnified Party or any other Person hereunder, and the Administrator shall distribute or cause to be distributed such funds in accordance with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(in each case as if such funds were held by the Servicer thereunder). The Administrator hereby agrees that, if, at any time following its exercise of its Lock-Box Rights, to the extent such Lock-Box Rights are being exercised by the Administrator due solely to the occurrence of the event in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and such event has been cured for a period of not less than 60 consecutive days, unless consented to in writing by the Administrator and each Purchaser Agent, upon notice of such cure to the Administrator and each Purchaser Agent, the Administrator shall reasonably cooperate with the Seller and the Servicer to cease exercising such Lock-Box Rights within a reasonable period of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the Administrator ceases to exercise its Lock-Box Rights in accordance with this sentence, such cessation shall not preclude the Administrator from exercising any or all of its Lock-Box Rights at any time following such date.</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Enforcement Rights</w:t>
      </w:r>
      <w:r>
        <w:rPr>
          <w:rFonts w:ascii="Arial" w:cs="Arial" w:eastAsia="Arial" w:hAnsi="Arial"/>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At any time following the occurrence of a Termination Event:</w:t>
      </w:r>
    </w:p>
    <w:p>
      <w:pPr>
        <w:spacing w:after="0" w:line="117" w:lineRule="exact"/>
        <w:rPr>
          <w:rFonts w:ascii="Arial" w:cs="Arial" w:eastAsia="Arial" w:hAnsi="Arial"/>
          <w:sz w:val="18"/>
          <w:szCs w:val="18"/>
          <w:color w:val="auto"/>
        </w:rPr>
      </w:pPr>
    </w:p>
    <w:p>
      <w:pPr>
        <w:ind w:left="444" w:firstLine="419"/>
        <w:spacing w:after="0" w:line="277" w:lineRule="auto"/>
        <w:tabs>
          <w:tab w:leader="none" w:pos="108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Administrator may (with the consent or at the direction of a Simple Majority of the Purchasers) direct the Obligors that payment of all amounts payable under any Pool Receivable is to be made directly to the Administrator or its designee;</w:t>
      </w:r>
    </w:p>
    <w:p>
      <w:pPr>
        <w:spacing w:after="0" w:line="62" w:lineRule="exact"/>
        <w:rPr>
          <w:rFonts w:ascii="Arial" w:cs="Arial" w:eastAsia="Arial" w:hAnsi="Arial"/>
          <w:sz w:val="18"/>
          <w:szCs w:val="18"/>
          <w:color w:val="auto"/>
        </w:rPr>
      </w:pPr>
    </w:p>
    <w:p>
      <w:pPr>
        <w:ind w:left="444" w:right="140" w:firstLine="419"/>
        <w:spacing w:after="0" w:line="277" w:lineRule="auto"/>
        <w:tabs>
          <w:tab w:leader="none" w:pos="113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Administrator may (with the consent or at the direction of a Simple Majority of the Purchasers) instruct the Seller or the Servicer to give notice of the Purchaser</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222" w:name="page223"/>
    <w:bookmarkEnd w:id="222"/>
    <w:p>
      <w:pPr>
        <w:ind w:left="440"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Groups’ interest in Pool Receivables to each Obligor, which notice shall direct that payments be made directly to the Administrator or its designee (on behalf of such Purchaser Groups), and the Seller or the Servicer, as the case may be, shall give such notice at the expense of the Seller or the Servicer,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Seller or the Servicer, as the case may be, fails to so notify each Obligor, the Administrator (at the Seller’s or the Servicer’s, as the case may be, expense) may so notify the Obligors; and</w:t>
      </w:r>
    </w:p>
    <w:p>
      <w:pPr>
        <w:spacing w:after="0" w:line="63" w:lineRule="exact"/>
        <w:rPr>
          <w:sz w:val="20"/>
          <w:szCs w:val="20"/>
          <w:color w:val="auto"/>
        </w:rPr>
      </w:pPr>
    </w:p>
    <w:p>
      <w:pPr>
        <w:ind w:left="440" w:right="20" w:firstLine="419"/>
        <w:spacing w:after="0" w:line="286" w:lineRule="auto"/>
        <w:tabs>
          <w:tab w:leader="none" w:pos="1178" w:val="left"/>
        </w:tabs>
        <w:numPr>
          <w:ilvl w:val="1"/>
          <w:numId w:val="271"/>
        </w:numPr>
        <w:rPr>
          <w:rFonts w:ascii="Arial" w:cs="Arial" w:eastAsia="Arial" w:hAnsi="Arial"/>
          <w:sz w:val="16"/>
          <w:szCs w:val="16"/>
          <w:color w:val="auto"/>
        </w:rPr>
      </w:pPr>
      <w:r>
        <w:rPr>
          <w:rFonts w:ascii="Arial" w:cs="Arial" w:eastAsia="Arial" w:hAnsi="Arial"/>
          <w:sz w:val="16"/>
          <w:szCs w:val="16"/>
          <w:color w:val="auto"/>
        </w:rPr>
        <w:t>the Administrator may (with the consent or at the direction of a Simple Majority of the Purchasers) request the Servicer to, and upon such request the Servicer shall: (A) assemble all of the records necessary or desirable to collect the Pool Receivables and the Related Security, and transfer or license to a successor Servicer the use of all software necessary or desirable to collect the Pool Receivables and the Related Security, and make the same available to the Administrator or its designee (for the benefit of the Purchasers) at a place selected by the Administrator, and</w:t>
      </w:r>
    </w:p>
    <w:p>
      <w:pPr>
        <w:spacing w:after="0" w:line="1" w:lineRule="exact"/>
        <w:rPr>
          <w:rFonts w:ascii="Arial" w:cs="Arial" w:eastAsia="Arial" w:hAnsi="Arial"/>
          <w:sz w:val="16"/>
          <w:szCs w:val="16"/>
          <w:color w:val="auto"/>
        </w:rPr>
      </w:pPr>
    </w:p>
    <w:p>
      <w:pPr>
        <w:jc w:val="both"/>
        <w:ind w:left="440" w:right="560" w:hanging="4"/>
        <w:spacing w:after="0" w:line="255" w:lineRule="auto"/>
        <w:tabs>
          <w:tab w:leader="none" w:pos="72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segregate all cash, checks and other instruments received by it from time to time constituting Collections in a manner acceptable to the Administrator and, promptly upon receipt, remit all such cash, checks and instruments, duly endorsed or with duly executed instruments of transfer, to the Administrator or its designee.</w:t>
      </w:r>
    </w:p>
    <w:p>
      <w:pPr>
        <w:spacing w:after="0" w:line="189" w:lineRule="exact"/>
        <w:rPr>
          <w:rFonts w:ascii="Arial" w:cs="Arial" w:eastAsia="Arial" w:hAnsi="Arial"/>
          <w:sz w:val="18"/>
          <w:szCs w:val="18"/>
          <w:color w:val="auto"/>
        </w:rPr>
      </w:pPr>
    </w:p>
    <w:p>
      <w:pPr>
        <w:ind w:right="20" w:firstLine="987"/>
        <w:spacing w:after="0" w:line="271" w:lineRule="auto"/>
        <w:tabs>
          <w:tab w:leader="none" w:pos="1246" w:val="left"/>
        </w:tabs>
        <w:numPr>
          <w:ilvl w:val="2"/>
          <w:numId w:val="272"/>
        </w:numPr>
        <w:rPr>
          <w:rFonts w:ascii="Arial" w:cs="Arial" w:eastAsia="Arial" w:hAnsi="Arial"/>
          <w:sz w:val="17"/>
          <w:szCs w:val="17"/>
          <w:color w:val="auto"/>
        </w:rPr>
      </w:pPr>
      <w:r>
        <w:rPr>
          <w:rFonts w:ascii="Arial" w:cs="Arial" w:eastAsia="Arial" w:hAnsi="Arial"/>
          <w:sz w:val="17"/>
          <w:szCs w:val="17"/>
          <w:color w:val="auto"/>
        </w:rPr>
        <w:t>The Seller hereby authorizes the Administrator (on behalf of each Purchaser Group), and irrevocably appoints the Administrator as its attorney-in-fact with full power of substitution and with full authority in the place and stead of the Seller, which appointment is coupled with an interest, to take any and all steps in the name of the Seller and on behalf of the Seller necessary or desirable, in the determination of the Administrator, after the occurrence of a Termination Event, to collect any and all amounts or portions thereof due under any and all Pool Assets, including endorsing the name of the Seller on checks and other instruments representing Collections and enforcing such Pool Assets. Notwithstanding anything 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Responsibilities of the Seller</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3" w:lineRule="auto"/>
        <w:tabs>
          <w:tab w:leader="none" w:pos="1236"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Anything herein to the contrary notwithstanding, the Seller shall: (i) perform all of its obligations, if any, under the Contracts related to the Pool Receivables to the same extent as if interests in such Pool Receivables had not been transferred hereunder, and the exercise by the Administrator, the Purchaser Agents or the Purchasers of their respective rights hereunder shall not relieve the Seller from such obligations, and (ii) pay when due any taxes, including any sales taxes payable in connection with the Pool Receivables and their creation and satisfaction. The Administrator, the Purchaser Agents or any of the Purchasers shall not have any obligation or liability with respect to any Pool Asset, nor shall any of them be obligated to perform any of the obligations of the Seller, Servicer, WESCO or the Originators thereunder.</w:t>
      </w:r>
    </w:p>
    <w:p>
      <w:pPr>
        <w:spacing w:after="0" w:line="177" w:lineRule="exact"/>
        <w:rPr>
          <w:rFonts w:ascii="Arial" w:cs="Arial" w:eastAsia="Arial" w:hAnsi="Arial"/>
          <w:sz w:val="17"/>
          <w:szCs w:val="17"/>
          <w:color w:val="auto"/>
        </w:rPr>
      </w:pPr>
    </w:p>
    <w:p>
      <w:pPr>
        <w:ind w:firstLine="987"/>
        <w:spacing w:after="0" w:line="308" w:lineRule="auto"/>
        <w:tabs>
          <w:tab w:leader="none" w:pos="1246" w:val="left"/>
        </w:tabs>
        <w:numPr>
          <w:ilvl w:val="0"/>
          <w:numId w:val="273"/>
        </w:numPr>
        <w:rPr>
          <w:rFonts w:ascii="Arial" w:cs="Arial" w:eastAsia="Arial" w:hAnsi="Arial"/>
          <w:sz w:val="17"/>
          <w:szCs w:val="17"/>
          <w:color w:val="auto"/>
        </w:rPr>
      </w:pPr>
      <w:r>
        <w:rPr>
          <w:rFonts w:ascii="Arial" w:cs="Arial" w:eastAsia="Arial" w:hAnsi="Arial"/>
          <w:sz w:val="17"/>
          <w:szCs w:val="17"/>
          <w:color w:val="auto"/>
        </w:rPr>
        <w:t>WESCO hereby irrevocably agrees that if at any time it shall cease to be the Servicer hereunder, it shall act (if the then-current Servicer so requests) as the data-processing agent of the Servicer and, in such capacity, WESCO shall conduct the data-processing functions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223" w:name="page224"/>
    <w:bookmarkEnd w:id="223"/>
    <w:p>
      <w:pPr>
        <w:ind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administration of the Receivables and the Collections thereon in substantially the same way that WESCO conducted such data-processing functions while it acted as the Servicer.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Servicing Fee</w:t>
      </w:r>
      <w:r>
        <w:rPr>
          <w:rFonts w:ascii="Arial" w:cs="Arial" w:eastAsia="Arial" w:hAnsi="Arial"/>
          <w:sz w:val="18"/>
          <w:szCs w:val="18"/>
          <w:color w:val="auto"/>
        </w:rPr>
        <w:t>.</w:t>
      </w:r>
    </w:p>
    <w:p>
      <w:pPr>
        <w:spacing w:after="0" w:line="117" w:lineRule="exact"/>
        <w:rPr>
          <w:sz w:val="20"/>
          <w:szCs w:val="20"/>
          <w:color w:val="auto"/>
        </w:rPr>
      </w:pPr>
    </w:p>
    <w:p>
      <w:pPr>
        <w:ind w:right="180" w:firstLine="987"/>
        <w:spacing w:after="0" w:line="296" w:lineRule="auto"/>
        <w:tabs>
          <w:tab w:leader="none" w:pos="1236"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clause (b)</w:t>
      </w:r>
      <w:r>
        <w:rPr>
          <w:rFonts w:ascii="Arial" w:cs="Arial" w:eastAsia="Arial" w:hAnsi="Arial"/>
          <w:sz w:val="16"/>
          <w:szCs w:val="16"/>
          <w:color w:val="auto"/>
        </w:rPr>
        <w:t>, the Seller shall pay to the Servicer a fee (the “</w:t>
      </w:r>
      <w:r>
        <w:rPr>
          <w:rFonts w:ascii="Arial" w:cs="Arial" w:eastAsia="Arial" w:hAnsi="Arial"/>
          <w:sz w:val="16"/>
          <w:szCs w:val="16"/>
          <w:u w:val="single" w:color="auto"/>
          <w:color w:val="auto"/>
        </w:rPr>
        <w:t>Servicing Fee</w:t>
      </w:r>
      <w:r>
        <w:rPr>
          <w:rFonts w:ascii="Arial" w:cs="Arial" w:eastAsia="Arial" w:hAnsi="Arial"/>
          <w:sz w:val="16"/>
          <w:szCs w:val="16"/>
          <w:color w:val="auto"/>
        </w:rPr>
        <w:t xml:space="preserve">”) for the provision of all services relating to the collection and administration of the Pool Receivables and related cash management activities, which services shall be performed by employees of the Servicer. The Servicing Fee shall be equal to 1.0%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of the aggregate Outstanding Balance of the Pool Receivables as of the last day of the prior month. Such fee shall be paid through (x) the Servicer’s retention of amounts representing the Seller’s Share and the Purchaser Group’s Ratable Share of the Servicing Fee, and (y) otherwise, the distributions contemplated by </w:t>
      </w:r>
      <w:r>
        <w:rPr>
          <w:rFonts w:ascii="Arial" w:cs="Arial" w:eastAsia="Arial" w:hAnsi="Arial"/>
          <w:sz w:val="16"/>
          <w:szCs w:val="16"/>
          <w:u w:val="single" w:color="auto"/>
          <w:color w:val="auto"/>
        </w:rPr>
        <w:t>Section 1.4(d)</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right="40" w:firstLine="987"/>
        <w:spacing w:after="0" w:line="286" w:lineRule="auto"/>
        <w:tabs>
          <w:tab w:leader="none" w:pos="1246" w:val="left"/>
        </w:tabs>
        <w:numPr>
          <w:ilvl w:val="0"/>
          <w:numId w:val="274"/>
        </w:numPr>
        <w:rPr>
          <w:rFonts w:ascii="Arial" w:cs="Arial" w:eastAsia="Arial" w:hAnsi="Arial"/>
          <w:sz w:val="17"/>
          <w:szCs w:val="17"/>
          <w:color w:val="auto"/>
        </w:rPr>
      </w:pPr>
      <w:r>
        <w:rPr>
          <w:rFonts w:ascii="Arial" w:cs="Arial" w:eastAsia="Arial" w:hAnsi="Arial"/>
          <w:sz w:val="17"/>
          <w:szCs w:val="17"/>
          <w:color w:val="auto"/>
        </w:rPr>
        <w:t xml:space="preserve">If the Servicer ceases to be WESCO or an Affiliate thereof, the servicing fee shall be the greater of: (i) the amount calculated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and (ii) an alternative amount specified by the successor Servicer not to exceed 110% of the aggregate reasonable costs and expenses incurred by such successor Servicer in connection with the performance of its obligations as Servicer.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Erroneous Payment.</w:t>
      </w:r>
    </w:p>
    <w:p>
      <w:pPr>
        <w:spacing w:after="0" w:line="117" w:lineRule="exact"/>
        <w:rPr>
          <w:sz w:val="20"/>
          <w:szCs w:val="20"/>
          <w:color w:val="auto"/>
        </w:rPr>
      </w:pPr>
    </w:p>
    <w:p>
      <w:pPr>
        <w:ind w:right="40" w:firstLine="987"/>
        <w:spacing w:after="0" w:line="268" w:lineRule="auto"/>
        <w:tabs>
          <w:tab w:leader="none" w:pos="1236" w:val="left"/>
        </w:tabs>
        <w:numPr>
          <w:ilvl w:val="0"/>
          <w:numId w:val="275"/>
        </w:numPr>
        <w:rPr>
          <w:rFonts w:ascii="Arial" w:cs="Arial" w:eastAsia="Arial" w:hAnsi="Arial"/>
          <w:sz w:val="17"/>
          <w:szCs w:val="17"/>
          <w:color w:val="auto"/>
        </w:rPr>
      </w:pPr>
      <w:r>
        <w:rPr>
          <w:rFonts w:ascii="Arial" w:cs="Arial" w:eastAsia="Arial" w:hAnsi="Arial"/>
          <w:sz w:val="17"/>
          <w:szCs w:val="17"/>
          <w:color w:val="auto"/>
        </w:rPr>
        <w:t>Each Purchaser hereby agrees that (i) if the Administrator notifies such Purchaser that the Administrator has determined in its sole discretion that any funds received by such Purchaser from the Administrator or any of its Affiliates were erroneously transmitted to, or otherwise erroneously or mistakenly received by, such Purchaser (whether or not known to such Purchaser (whether as a payment, prepayment or repayment of principal, interest, fees or otherwise); individually and collectively, an “</w:t>
      </w:r>
      <w:r>
        <w:rPr>
          <w:rFonts w:ascii="Arial" w:cs="Arial" w:eastAsia="Arial" w:hAnsi="Arial"/>
          <w:sz w:val="17"/>
          <w:szCs w:val="17"/>
          <w:u w:val="single" w:color="auto"/>
          <w:color w:val="auto"/>
        </w:rPr>
        <w:t>Erroneous Payment</w:t>
      </w:r>
      <w:r>
        <w:rPr>
          <w:rFonts w:ascii="Arial" w:cs="Arial" w:eastAsia="Arial" w:hAnsi="Arial"/>
          <w:sz w:val="17"/>
          <w:szCs w:val="17"/>
          <w:color w:val="auto"/>
        </w:rPr>
        <w:t>”) and demands the return of such Erroneous Payment (or a portion thereof), such Purchaser shall promptly, but in no event later than one Business Day thereafter, return to the Administrator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Purchaser to the date such amount is repaid to the Administrator in same day funds at the greater of the Overnight Bank Funding Rate and a rate determined by the Administrator in accordance with banking industry rules on interbank compensation from time to time in effect and (ii) such Purchaser shall not assert any right or claim to the Erroneous Payment, and hereby waives any claim, counterclaim, defense or right of set-off or recoupment with respect to any demand, claim or counterclaim by the Administrator for the return of any Erroneous Payments received, including without limitation waiver of any defense based on “discharge for value” or any similar doctrine. A notice of the Administrator to any Purchaser under this clause (a) shall be conclusive, absent manifest error.</w:t>
      </w:r>
    </w:p>
    <w:p>
      <w:pPr>
        <w:spacing w:after="0" w:line="186" w:lineRule="exact"/>
        <w:rPr>
          <w:rFonts w:ascii="Arial" w:cs="Arial" w:eastAsia="Arial" w:hAnsi="Arial"/>
          <w:sz w:val="17"/>
          <w:szCs w:val="17"/>
          <w:color w:val="auto"/>
        </w:rPr>
      </w:pPr>
    </w:p>
    <w:p>
      <w:pPr>
        <w:ind w:firstLine="987"/>
        <w:spacing w:after="0" w:line="277" w:lineRule="auto"/>
        <w:tabs>
          <w:tab w:leader="none" w:pos="124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Without limiting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each Purchaser hereby further agrees that if it receives an Erroneous Payment from the Administrator (or any of its Affiliates) (i) that is in an amount different than (other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difference), or on a</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440" w:top="274" w:right="519" w:bottom="1440" w:gutter="0" w:footer="0" w:header="0"/>
        </w:sectPr>
      </w:pPr>
    </w:p>
    <w:bookmarkStart w:id="224" w:name="page225"/>
    <w:bookmarkEnd w:id="224"/>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different date from, that specified in a notice of payment sent by the Administrator (or any of its Affiliates) with respect to such Erroneous Payment (an “</w:t>
      </w:r>
      <w:r>
        <w:rPr>
          <w:rFonts w:ascii="Arial" w:cs="Arial" w:eastAsia="Arial" w:hAnsi="Arial"/>
          <w:sz w:val="17"/>
          <w:szCs w:val="17"/>
          <w:u w:val="single" w:color="auto"/>
          <w:color w:val="auto"/>
        </w:rPr>
        <w:t>Erroneous Payment Notice</w:t>
      </w:r>
      <w:r>
        <w:rPr>
          <w:rFonts w:ascii="Arial" w:cs="Arial" w:eastAsia="Arial" w:hAnsi="Arial"/>
          <w:sz w:val="17"/>
          <w:szCs w:val="17"/>
          <w:color w:val="auto"/>
        </w:rPr>
        <w:t>”), or (ii) that was not preceded or accompanied by an Erroneous Payment Notice, it shall be on notice that, in each such case, an error has been made with respect to such Erroneous Payment. Each Purchaser further agrees that, in each such case, or if it otherwise becomes aware an Erroneous Payment (or portion thereof) may have been sent in error, such Purchaser shall promptly notify the Administrator of such occurrence and, upon demand from the Administrator, it shall promptly, but in no event later than one (1) Business Day thereafter, return to the Administrator the amount of any such Erroneous Payment (or portion thereof) that was received by such Purchaser to the date such amount is repaid to the Administrator in same day funds at the greater of the Overnight Bank Funding Rate and a rate determined by the Administrator in accordance with banking industry rules on interbank compensation from time to time in effect.</w:t>
      </w:r>
    </w:p>
    <w:p>
      <w:pPr>
        <w:spacing w:after="0" w:line="178" w:lineRule="exact"/>
        <w:rPr>
          <w:sz w:val="20"/>
          <w:szCs w:val="20"/>
          <w:color w:val="auto"/>
        </w:rPr>
      </w:pPr>
    </w:p>
    <w:p>
      <w:pPr>
        <w:ind w:firstLine="987"/>
        <w:spacing w:after="0" w:line="255" w:lineRule="auto"/>
        <w:tabs>
          <w:tab w:leader="none" w:pos="123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Seller and each other Purchaser hereby agree that (i) in the event an Erroneous Payment (or portion thereof) is not recovered from any Purchaser that has received such Erroneous Payment (or portion thereof) for any reason, the Administrator shall be subrogated to all the rights of such Purchaser with respect to such amount and (ii) an Erroneous Payment shall not pay, prepay, repay, discharge or otherwise satisfy any obligations owed by the Seller, any Originator or the Servicer, except that in each case, to the extent such Erroneous Payment is, and solely with respect to the amount of such Erroneous Payment that is, comprised of funds received by the Administrator from the Seller, any Originator or the Servicer for the purpose of making such Erroneous Payment.</w:t>
      </w:r>
    </w:p>
    <w:p>
      <w:pPr>
        <w:spacing w:after="0" w:line="192" w:lineRule="exact"/>
        <w:rPr>
          <w:rFonts w:ascii="Arial" w:cs="Arial" w:eastAsia="Arial" w:hAnsi="Arial"/>
          <w:sz w:val="18"/>
          <w:szCs w:val="18"/>
          <w:color w:val="auto"/>
        </w:rPr>
      </w:pPr>
    </w:p>
    <w:p>
      <w:pPr>
        <w:ind w:right="320" w:firstLine="987"/>
        <w:spacing w:after="0" w:line="263" w:lineRule="auto"/>
        <w:tabs>
          <w:tab w:leader="none" w:pos="124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shall survive the resignation or replacement of the Administrator or any transfer of rights or obligations by, or the replacement of, a Purchaser, the termination of the Commitments or the repayment, satisfaction or discharge of all Seller’s obligations (or any portion thereof) under any Transaction Document.</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AGENTS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Appointment and Authorization</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 Each Purchaser and Purchaser Agent hereby irrevocably designates and appoints PNC Bank, National Association as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hereunder and authorizes the Administrator to take such actions and to exercise such powers as are delegated to the Administrator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hereby and to exercise such other powers as are reasonably incidental thereto. The Administrator shall hold, in its name, for the benefit of each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Purchaser, ratably, the Purchased Interest. The Administrator shall not have any duties other than those expressly set forth herein or any fiduciary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relationship with any Purchaser or Purchaser Agent, and no implied obligations or liabilities shall be read into this Agreement, or otherwise exist,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against the Administrator. The Administrator does not assume, nor shall it be deemed to have assumed, any obligation to, or relationship of trust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agency with, the Seller or Servicer. Notwithstanding any provision of this Agreement or any other Transaction Document to the contrary, in no event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the Administrator ever be required to take any action which exposes the Administrator to personal liability or which is contrary to the provision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Transaction Document or Applicable Law.</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00"/>
          </w:cols>
          <w:pgMar w:left="440" w:top="274" w:right="559" w:bottom="1440" w:gutter="0" w:footer="0" w:header="0"/>
        </w:sectPr>
      </w:pPr>
    </w:p>
    <w:bookmarkStart w:id="225" w:name="page226"/>
    <w:bookmarkEnd w:id="225"/>
    <w:p>
      <w:pPr>
        <w:ind w:left="4" w:right="80" w:firstLine="987"/>
        <w:spacing w:after="0" w:line="271" w:lineRule="auto"/>
        <w:tabs>
          <w:tab w:leader="none" w:pos="1250" w:val="left"/>
        </w:tabs>
        <w:numPr>
          <w:ilvl w:val="0"/>
          <w:numId w:val="2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Purchaser hereby irrevocably designates and appoints the respective institution identified as the Purchaser Agent for such Purchaser’s Purchaser Group on the signature pages hereto or in the Assumption Agreement or Transfer Supplement pursuant to which such Purchaser becomes a party hereto, and each authorizes such Purchaser Agent to take such action on its behalf under the provisions of this Agreement and to exercise such powers and perform such duties as are expressly delegated to such Purchaser Agent by the terms of this Agreement, if any, together with such other powers as are reasonably incidental thereto. Notwithstanding any provision to the contrary elsewhere in this Agreement, no Purchaser Agent shall have any duties or responsibilities, except those expressly set forth herein, or any fiduciary relationship with any Purchaser or other Purchaser Agent or the Administrator, and no implied covenants, functions, responsibilities, duties, obligations or liabilities on the part of such Purchaser Agent shall be read into this Agreement or otherwise exist against such Purchaser Agent.</w:t>
      </w:r>
    </w:p>
    <w:p>
      <w:pPr>
        <w:spacing w:after="0" w:line="178" w:lineRule="exact"/>
        <w:rPr>
          <w:rFonts w:ascii="Arial" w:cs="Arial" w:eastAsia="Arial" w:hAnsi="Arial"/>
          <w:sz w:val="17"/>
          <w:szCs w:val="17"/>
          <w:color w:val="auto"/>
        </w:rPr>
      </w:pPr>
    </w:p>
    <w:p>
      <w:pPr>
        <w:ind w:left="4" w:firstLine="987"/>
        <w:spacing w:after="0" w:line="255" w:lineRule="auto"/>
        <w:tabs>
          <w:tab w:leader="none" w:pos="12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Except as otherwise specifically provided in this Agreement, the provisions of this Article V are solely for the benefit of the Purchaser Agents, the Administrator and the Purchasers, and none of the Seller or Servicer shall have any rights as a third-party beneficiary or otherwise under any of the provisions of this Article V, except that this Article V shall not affect any obligations which any Purchaser Agent, the Administrator or any Purchaser may have to the Seller or the Servicer under the other provisions of this Agreement. Furthermore, no Purchaser shall have any rights as a third-party beneficiary or otherwise under any of the provisions hereof in respect of a Purchaser Agent which is not the Purchaser Agent for such Purchaser.</w:t>
      </w:r>
    </w:p>
    <w:p>
      <w:pPr>
        <w:spacing w:after="0" w:line="192" w:lineRule="exact"/>
        <w:rPr>
          <w:rFonts w:ascii="Arial" w:cs="Arial" w:eastAsia="Arial" w:hAnsi="Arial"/>
          <w:sz w:val="18"/>
          <w:szCs w:val="18"/>
          <w:color w:val="auto"/>
        </w:rPr>
      </w:pPr>
    </w:p>
    <w:p>
      <w:pPr>
        <w:ind w:left="4" w:right="20" w:firstLine="987"/>
        <w:spacing w:after="0" w:line="296" w:lineRule="auto"/>
        <w:tabs>
          <w:tab w:leader="none" w:pos="125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In performing its functions and duties hereunder, the Administrator shall act solely as the agent of the Purchasers and the Purchaser Agents and does not assume nor shall be deemed to have assumed any obligation or relationship of trust or agency with or for the Seller or Servicer or any of their successors and assigns. In performing its functions and duties hereunder, each Purchaser Agent shall act solely as the agent of its respective Purchaser and does not assume nor shall be deemed to have assumed any obligation or relationship of trust or agency with or for the Seller, the Servicer, any other Purchaser, any other Purchaser Agent or the Administrator, or any of their respective successors and assigns.</w:t>
      </w:r>
    </w:p>
    <w:p>
      <w:pPr>
        <w:spacing w:after="0" w:line="161"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Administrator may execute any of its duties through agents or attorneys-in-fact and shall be entitled to advice of counsel concerning all matters pertaining to such duties. The Administrator shall not be responsible for the negligence or misconduct of any agents or attorneys-in-fact selected by it with reasonable care.</w:t>
      </w:r>
    </w:p>
    <w:p>
      <w:pPr>
        <w:spacing w:after="0" w:line="184"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None of the Purchaser Agents, the Administrator or any of their directors, officers, agents or employees shall be liable for any action taken or omitted (i) with the consent or at the direction of the Majority Purchasers (or in the case of any Purchaser Agent, the Purchasers within its Purchaser Group that have a majority of the aggregate Commitment of such Purchaser Group) or (ii) in the absence of such Person’s gross negligence or willful misconduct. The Administrator shall not be responsible to any Purchaser, Purchaser Agent or other Person for</w:t>
      </w:r>
    </w:p>
    <w:p>
      <w:pPr>
        <w:spacing w:after="0" w:line="1" w:lineRule="exact"/>
        <w:rPr>
          <w:sz w:val="20"/>
          <w:szCs w:val="20"/>
          <w:color w:val="auto"/>
        </w:rPr>
      </w:pPr>
    </w:p>
    <w:p>
      <w:pPr>
        <w:ind w:left="4" w:right="220" w:hanging="4"/>
        <w:spacing w:after="0" w:line="253" w:lineRule="auto"/>
        <w:tabs>
          <w:tab w:leader="none" w:pos="21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any recitals, representations, warranties or other statements made by the Seller, Servicer, or any of their Affiliates, (ii) the value, validity, effectiveness, genuineness, enforceability or sufficiency of any Transaction Document, (iii) any failure of the Seller, any Originator or any of their Affiliates to perform any obligation or (iv) the satisfaction of any condition specified in </w:t>
      </w:r>
      <w:r>
        <w:rPr>
          <w:rFonts w:ascii="Arial" w:cs="Arial" w:eastAsia="Arial" w:hAnsi="Arial"/>
          <w:sz w:val="18"/>
          <w:szCs w:val="18"/>
          <w:u w:val="single" w:color="auto"/>
          <w:color w:val="auto"/>
        </w:rPr>
        <w:t>Exhibit II</w:t>
      </w:r>
      <w:r>
        <w:rPr>
          <w:rFonts w:ascii="Arial" w:cs="Arial" w:eastAsia="Arial" w:hAnsi="Arial"/>
          <w:sz w:val="18"/>
          <w:szCs w:val="18"/>
          <w:color w:val="auto"/>
        </w:rPr>
        <w:t>. The Administrator shall not have any obligation to any Purchaser</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4"/>
          </w:cols>
          <w:pgMar w:left="436" w:top="274" w:right="479" w:bottom="1440" w:gutter="0" w:footer="0" w:header="0"/>
        </w:sectPr>
      </w:pPr>
    </w:p>
    <w:bookmarkStart w:id="226" w:name="page227"/>
    <w:bookmarkEnd w:id="226"/>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Purchaser Agent to ascertain or inquire about the observance or performance of any agreement contained in any Transaction Document or to inspect the properties, books or records of the Seller, Servicer, Originator or any of their Affiliates.</w:t>
      </w:r>
    </w:p>
    <w:p>
      <w:pPr>
        <w:spacing w:after="0" w:line="170"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Reliance by Agents</w:t>
      </w:r>
      <w:r>
        <w:rPr>
          <w:rFonts w:ascii="Arial" w:cs="Arial" w:eastAsia="Arial" w:hAnsi="Arial"/>
          <w:sz w:val="18"/>
          <w:szCs w:val="18"/>
          <w:color w:val="auto"/>
        </w:rPr>
        <w:t>. Each Purchaser Agent and the Administrator shall in all cases be entitled to rely, and shall be fully protected in relying, upon any document or other writing or conversation believed by it to be genuine and correct and to have been signed, sent or made by the proper Person and upon advice and statements of legal counsel (including counsel to the Seller), independent accountants and other experts selected by the Administrator. Each Purchaser Agent and the Administrator shall in all cases be fully justified in failing or refusing to take any action under any Transaction Document unless it shall first receive such advice or concurrence of the Majority Purchasers (or in the case of any Purchaser Agent, the Purchasers within its Purchaser Group that have a majority of the aggregate Commitment of such Purchaser Group), and assurance of its indemnification, as it deems appropriate.</w:t>
      </w:r>
    </w:p>
    <w:p>
      <w:pPr>
        <w:spacing w:after="0" w:line="195" w:lineRule="exact"/>
        <w:rPr>
          <w:sz w:val="20"/>
          <w:szCs w:val="20"/>
          <w:color w:val="auto"/>
        </w:rPr>
      </w:pPr>
    </w:p>
    <w:p>
      <w:pPr>
        <w:ind w:firstLine="987"/>
        <w:spacing w:after="0" w:line="263" w:lineRule="auto"/>
        <w:tabs>
          <w:tab w:leader="none" w:pos="123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Administrator shall in all cases be fully protected in acting, or in refraining from acting, under this Agreement in accordance with a request of the Majority Purchasers or the Purchaser Agents, and such request and any action taken or failure to act pursuant thereto shall be binding upon all Purchasers, the Administrator and Purchaser Agents.</w:t>
      </w:r>
    </w:p>
    <w:p>
      <w:pPr>
        <w:spacing w:after="0" w:line="183" w:lineRule="exact"/>
        <w:rPr>
          <w:rFonts w:ascii="Arial" w:cs="Arial" w:eastAsia="Arial" w:hAnsi="Arial"/>
          <w:sz w:val="18"/>
          <w:szCs w:val="18"/>
          <w:color w:val="auto"/>
        </w:rPr>
      </w:pPr>
    </w:p>
    <w:p>
      <w:pPr>
        <w:ind w:right="160" w:firstLine="987"/>
        <w:spacing w:after="0" w:line="257" w:lineRule="auto"/>
        <w:tabs>
          <w:tab w:leader="none" w:pos="124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Purchasers within each Purchaser Group with a majority of the Commitment of such Purchaser Group shall be entitled to request or direct the related Purchaser Agent to take action, or refrain from taking action, under this Agreement on behalf of such Purchasers. Such Purchaser Agent shall in all cases be fully protected in acting, or in refraining from acting, under this Agreement in accordance with a request of such Purchasers with such majority, and such request and any action taken or failure to act pursuant thereto shall be binding upon all of such Purchaser Agent’s Purchasers.</w:t>
      </w:r>
    </w:p>
    <w:p>
      <w:pPr>
        <w:spacing w:after="0" w:line="187" w:lineRule="exact"/>
        <w:rPr>
          <w:rFonts w:ascii="Arial" w:cs="Arial" w:eastAsia="Arial" w:hAnsi="Arial"/>
          <w:sz w:val="18"/>
          <w:szCs w:val="18"/>
          <w:color w:val="auto"/>
        </w:rPr>
      </w:pPr>
    </w:p>
    <w:p>
      <w:pPr>
        <w:ind w:right="200" w:firstLine="987"/>
        <w:spacing w:after="0" w:line="293" w:lineRule="auto"/>
        <w:tabs>
          <w:tab w:leader="none" w:pos="1236" w:val="left"/>
        </w:tabs>
        <w:numPr>
          <w:ilvl w:val="0"/>
          <w:numId w:val="279"/>
        </w:numPr>
        <w:rPr>
          <w:rFonts w:ascii="Arial" w:cs="Arial" w:eastAsia="Arial" w:hAnsi="Arial"/>
          <w:sz w:val="16"/>
          <w:szCs w:val="16"/>
          <w:color w:val="auto"/>
        </w:rPr>
      </w:pPr>
      <w:r>
        <w:rPr>
          <w:rFonts w:ascii="Arial" w:cs="Arial" w:eastAsia="Arial" w:hAnsi="Arial"/>
          <w:sz w:val="16"/>
          <w:szCs w:val="16"/>
          <w:color w:val="auto"/>
        </w:rPr>
        <w:t>Unless otherwise advised in writing by a Purchaser Agent or by any Purchaser on whose behalf such Purchaser Agent is purportedly acting, each party to this Agreement may assume that (i) such Purchaser Agent is acting for the benefit of each of the Purchasers in respect of which such Purchaser Agent is identified as being the “Purchaser Agent” in the definition of “Purchaser Agent” hereto, as well as for the benefit of each assignee or other transferee from any such Person, and (ii) each action taken by such Purchaser Agent has been duly authorized and approved by all necessary action on the part of the Purchasers on whose behalf it is purportedly acting. Each Purchaser Agent and its Purchaser(s) shall agree amongst themselves as to the circumstances and procedures for removal, resignation and replacement of such Purchaser Agent.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5.5.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Notice of Termination Events</w:t>
      </w:r>
      <w:r>
        <w:rPr>
          <w:rFonts w:ascii="Arial" w:cs="Arial" w:eastAsia="Arial" w:hAnsi="Arial"/>
          <w:sz w:val="17"/>
          <w:szCs w:val="17"/>
          <w:color w:val="auto"/>
        </w:rPr>
        <w:t>. Neither any Purchaser Agent nor the Administrator shall be deemed to have knowledge or notice of the occurrence of any Termination Event or Unmatured Termination Event unless such Administrator has received notice from any Purchaser, Purchaser Agent, the Servicer or the Seller stating that a Termination Event or Unmatured Termination Event has occurred hereunder and describing such Termination Event or Unmatured Termination Event. In the event that the Administrator receives such a notice, it shall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227" w:name="page228"/>
    <w:bookmarkEnd w:id="227"/>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give notice thereof to each Purchaser Agent whereupon each such Purchaser Agent shall promptly give notice thereof to its Purchasers. In the event that a Purchaser Agent receives such a notice (other than from the Administrator), it shall promptly give notice thereof to the Administrator. The Administrator shall take such action concerning a Termination Event or Unmatured Termination Event as may be directed by the Majority Purchasers unless such action otherwise requires the consent of all Purchasers), but until the Administrator receives such directions, the Administrator may (but shall not be obligated to) take such action, or refrain from taking such action, as the Administrator deems advisable and in the best interests of the Purchasers and Purchaser Agents.</w:t>
      </w:r>
    </w:p>
    <w:p>
      <w:pPr>
        <w:spacing w:after="0" w:line="192"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Non-Reliance on Administrator, Purchaser Agents and Other Purchasers</w:t>
      </w:r>
      <w:r>
        <w:rPr>
          <w:rFonts w:ascii="Arial" w:cs="Arial" w:eastAsia="Arial" w:hAnsi="Arial"/>
          <w:sz w:val="16"/>
          <w:szCs w:val="16"/>
          <w:color w:val="auto"/>
        </w:rPr>
        <w:t>. Each Purchaser expressly acknowledges that none of the Administrator, the Purchaser Agents nor any of their respective officers, directors, employees, agents, attorneys-in-fact or Affiliates has made any representations or warranties to it and that no act by the Administrator, or any Purchaser Agent hereafter taken, including any review of the affairs of the Seller, WESCO, Servicer or any Originator, shall be deemed to constitute any representation or warranty by the Administrator or such Purchaser Agent, as applicable. Each Purchaser represents and warrants to the Administrator and the Purchaser Agents that, independently and without reliance upon the Administrator, Purchaser Agents or any other Purchaser and based on such documents and information as it has deemed appropriate, it has made and will continue to make its own appraisal of and investigation into the business, operations, property, prospects, financial and other conditions and creditworthiness of the Seller, WESCO, Servicer or the Originators, and the Receivables and its own decision to enter into this Agreement and to take, or omit, action under any Transaction Document. Except for items specifically required to be delivered hereunder, the Administrator shall not have any duty or responsibility to provide any Purchaser Agent with any information concerning the Seller, WESCO, Servicer or the Originators or any of their Affiliates that comes into the possession of the Administrator or any of its officers, directors, employees, agents, attorneys-in-fact or Affiliates.</w:t>
      </w:r>
    </w:p>
    <w:p>
      <w:pPr>
        <w:spacing w:after="0" w:line="172"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Administrators and Affiliates</w:t>
      </w:r>
      <w:r>
        <w:rPr>
          <w:rFonts w:ascii="Arial" w:cs="Arial" w:eastAsia="Arial" w:hAnsi="Arial"/>
          <w:sz w:val="16"/>
          <w:szCs w:val="16"/>
          <w:color w:val="auto"/>
        </w:rPr>
        <w:t>. Each of the Purchasers and the Administrator and their Affiliates may extend credit to, accept deposits from and generally engage in any kind of banking, trust, debt, entity or other business with the Seller, WESCO, Servicer or any Originator or any of their Affiliates and PNC Bank, National Association may exercise or refrain from exercising its rights and powers as if it were not the Administrator. With respect to the acquisition of the Eligible Receivables pursuant to this Agreement, each of the Purchaser Agents and the Administrator shall have the same rights and powers under this Agreement as any Purchaser and may exercise the same as though it were not such an agent, and the terms “Purchaser” and “Purchasers” shall include each of the Purchaser Agents and the Administrator in their individual capacities.</w:t>
      </w:r>
    </w:p>
    <w:p>
      <w:pPr>
        <w:spacing w:after="0" w:line="164" w:lineRule="exact"/>
        <w:rPr>
          <w:sz w:val="20"/>
          <w:szCs w:val="20"/>
          <w:color w:val="auto"/>
        </w:rPr>
      </w:pPr>
    </w:p>
    <w:p>
      <w:pPr>
        <w:ind w:right="280" w:firstLine="440"/>
        <w:spacing w:after="0" w:line="275"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u w:val="single" w:color="auto"/>
          <w:color w:val="auto"/>
        </w:rPr>
        <w:t>Indemnification</w:t>
      </w:r>
      <w:r>
        <w:rPr>
          <w:rFonts w:ascii="Arial" w:cs="Arial" w:eastAsia="Arial" w:hAnsi="Arial"/>
          <w:sz w:val="17"/>
          <w:szCs w:val="17"/>
          <w:color w:val="auto"/>
        </w:rPr>
        <w:t>. Each Purchaser Group shall indemnify and hold harmless the Administrator (but solely in its capacity as Administrator) and its officers, directors, employees, representatives and agents (to the extent not reimbursed by the Seller, WESCO or Servicer and without limiting the obligation of the Seller, WESCO or Servicer to do so), ratably in accordance with its Ratable Share from and against any and all liabilities, obligations, losses, damages, penalties, judgments, settlements, costs, expenses and disbursements of any kind whatsoever (including in connection with any investigative or threatened proceeding, whether or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74" w:right="479" w:bottom="1440" w:gutter="0" w:footer="0" w:header="0"/>
        </w:sectPr>
      </w:pPr>
    </w:p>
    <w:bookmarkStart w:id="228" w:name="page229"/>
    <w:bookmarkEnd w:id="228"/>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 the Administrator or such Person shall be designated a party thereto) that may at any time be imposed on, incurred by or asserted against the Administrator or such Person as a result of, or related to, any of the transactions contemplated by the Transaction Documents or the execution, delivery or performance of the Transaction Documents or any other document furnished in connection therewith (but excluding any such liabilities, obligations, losses, damages, penalties, judgments, settlements, costs, expenses or disbursements resulting solely from the gross negligence or willful misconduct of the Administrator or such Person as finally determined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each Purchaser that is a Conduit Purchaser, such indemnity shall be provided solely by the Committed Purchaser in such Conduit Purchaser’s Purchaser Group.</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Successor Administrator</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54" w:lineRule="auto"/>
        <w:tabs>
          <w:tab w:leader="none" w:pos="123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Administrator may, upon at least five (5) days’ notice to the Seller and each Purchaser and Purchaser Agent, resign as Administrator. Except as provided below, such resignation shall not become effective until a successor agent is appointed by the Majority Purchasers and has accepted such appointment. If no successor Administrator shall have been so appointed by the Majority Purchasers, within thirty (30) days after the departing Administrator’s giving of notice of resignation, the departing Administrator may appoint a successor Administrator as successor Administrator. If no successor Administrator shall have been so appointed by the Majority Purchasers within sixty (60) days after the departing Administrator’s giving of notice of resignation, the departing Administrator may petition a court of competent jurisdiction to appoint a successor Administrator.</w:t>
      </w:r>
    </w:p>
    <w:p>
      <w:pPr>
        <w:spacing w:after="0" w:line="194" w:lineRule="exact"/>
        <w:rPr>
          <w:rFonts w:ascii="Arial" w:cs="Arial" w:eastAsia="Arial" w:hAnsi="Arial"/>
          <w:sz w:val="18"/>
          <w:szCs w:val="18"/>
          <w:color w:val="auto"/>
        </w:rPr>
      </w:pPr>
    </w:p>
    <w:p>
      <w:pPr>
        <w:ind w:firstLine="987"/>
        <w:spacing w:after="0" w:line="301" w:lineRule="auto"/>
        <w:tabs>
          <w:tab w:leader="none" w:pos="1246"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Upon such acceptance of its appointment as Administrator hereunder by a successor Administrator, such successor Administrator shall succeed to and become vested with all the rights and duties of the retiring Administrator, and the retiring Administrator shall be discharged from its duties and obligations under the Transaction Documents. After any retiring Administrator’s resignation hereunder, the provisions of </w:t>
      </w:r>
      <w:r>
        <w:rPr>
          <w:rFonts w:ascii="Arial" w:cs="Arial" w:eastAsia="Arial" w:hAnsi="Arial"/>
          <w:sz w:val="16"/>
          <w:szCs w:val="16"/>
          <w:u w:val="single" w:color="auto"/>
          <w:color w:val="auto"/>
        </w:rPr>
        <w:t>Sections 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w:t>
      </w:r>
      <w:r>
        <w:rPr>
          <w:rFonts w:ascii="Arial" w:cs="Arial" w:eastAsia="Arial" w:hAnsi="Arial"/>
          <w:sz w:val="16"/>
          <w:szCs w:val="16"/>
          <w:color w:val="auto"/>
        </w:rPr>
        <w:t xml:space="preserve"> and this Article V shall inure to its benefit as to any actions taken or omitted to be taken by it while it was the Administrator.</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Amendments, Etc</w:t>
      </w:r>
      <w:r>
        <w:rPr>
          <w:rFonts w:ascii="Arial" w:cs="Arial" w:eastAsia="Arial" w:hAnsi="Arial"/>
          <w:sz w:val="16"/>
          <w:szCs w:val="16"/>
          <w:color w:val="auto"/>
        </w:rPr>
        <w:t xml:space="preserve">. No amendment or waiver of any provision of this Agreement or any other Transaction Document, or consent to any departure by the Seller or the Servicer therefrom, shall be effective unless in a writing signed by the Administrator and each of the Majority Purchasers, and, in the case of any amendment, by the other parties thereto; and then such amendment, waiver or consent shall be effective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amendment or waiver shall, without the consent of each affected Purchaser, (A) extend the date of any payment or deposit of Collections by the Seller or the Servicer, (B) reduce the rate or extend the time of payment of Discount, (C) reduce any fees payable to the Administrator, any Purchaser Agent or any Purchaser pursuant to the applicable Purchaser Group Fee Letter, (D) change the amount of Investment of any Purchaser, any Purchaser’s pro rata share of the Purchased Interest or any Committed Purchaser’s Commitment, (E) amend, modify or waive any provision of the definition of “Majority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229" w:name="page230"/>
    <w:bookmarkEnd w:id="229"/>
    <w:p>
      <w:pPr>
        <w:ind w:left="4"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Purchaser”, “Simple Majority” or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(F) consent to or permit the assignment or transfer by the Seller of any of its rights and obligations under this Agreement, (G) change the definition of “Default Ratio”, “Eligible Receivable”, “Loss Reserve”, “Loss Reserve Percentage”, “Dilution Reserve”, “Dilution Reserve Percentage”, “Dilution Volatility Component”, “Minimum Dilution Reserve”, “Minimum Dilution Reserve Percentage”, “Termination Event”, “Yield Reserve”, “Yield Reserve Percentage”, “Total Reserves”, “Adjusted Net Receivables Pool Balance” or “Net Receivables Pool Balance”, (H) amend or modify any defined term (or any defined term used directly or indirectly in such defined term) used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w:t>
      </w:r>
    </w:p>
    <w:p>
      <w:pPr>
        <w:spacing w:after="0" w:line="2" w:lineRule="exact"/>
        <w:rPr>
          <w:sz w:val="20"/>
          <w:szCs w:val="20"/>
          <w:color w:val="auto"/>
        </w:rPr>
      </w:pPr>
    </w:p>
    <w:p>
      <w:pPr>
        <w:ind w:left="4" w:hanging="4"/>
        <w:spacing w:after="0" w:line="268" w:lineRule="auto"/>
        <w:tabs>
          <w:tab w:leader="none" w:pos="299" w:val="left"/>
        </w:tabs>
        <w:numPr>
          <w:ilvl w:val="0"/>
          <w:numId w:val="281"/>
        </w:numPr>
        <w:rPr>
          <w:rFonts w:ascii="Arial" w:cs="Arial" w:eastAsia="Arial" w:hAnsi="Arial"/>
          <w:sz w:val="17"/>
          <w:szCs w:val="17"/>
          <w:u w:val="single" w:color="auto"/>
          <w:color w:val="auto"/>
        </w:rPr>
      </w:pPr>
      <w:r>
        <w:rPr>
          <w:rFonts w:ascii="Arial" w:cs="Arial" w:eastAsia="Arial" w:hAnsi="Arial"/>
          <w:sz w:val="17"/>
          <w:szCs w:val="17"/>
          <w:color w:val="auto"/>
        </w:rPr>
        <w:t xml:space="preserve">above in a manner that would circumvent the intention of the restrictions set forth in such clauses, or (I) otherwise materially and adversely affect the rights of any such Purchaser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 no amendment or waiver of any provision of any Lock-Box Agreement or the Lock-Box Schedule Letter Agreement shall require the consent of any Purchaser (other than the Administrator) and (ii) no amendment to the Sale Agreement joining any Subject Originator to the Sale Agreement as an Originator shall require the consent of any Purchaser (other than the Administrator) so long as either (x) the Joinder Conditions are satisfied or (y) the agreement joining such Subject Originator states that the Receivables of such Originator shall be deemed to be Ineligible Subject Originator Receivables. No failure on the part of the Purchasers or the Administrator to exercise, and no delay in exercising any right hereunder shall operate as a waiver thereof, nor shall any single or partial exercise of any right hereunder preclude any other or further exercise thereof or the exercise of any other right.</w:t>
      </w:r>
    </w:p>
    <w:p>
      <w:pPr>
        <w:spacing w:after="0" w:line="183"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All notices and other communications provided for hereunder shall, unless otherwise stated herein, be in writing (including facsimile or electronic mail communication) and shall be delivered or sent by facsimile, electronic mail or by overnight mail, to the intended party at the mailing or electronic mail address or facsimile number of such party set forth under its name on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hereof (or in any Assignment Agreement or other document or agreement pursuant to which it is or became a party hereto), or at such other address or facsimile number as shall be designated by such party in a written notice to the other parties hereto. All such notices and communications shall be effective (i) if delivered by overnight mail, when received, and (ii) if transmitted by facsimile or electronic mail, when sent, receipt confirmed by telephone or electronic means.</w:t>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Successors and Assigns; Participations; Assignments</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86" w:lineRule="auto"/>
        <w:tabs>
          <w:tab w:leader="none" w:pos="1240" w:val="left"/>
        </w:tabs>
        <w:numPr>
          <w:ilvl w:val="0"/>
          <w:numId w:val="282"/>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be binding upon and inure to the benefit of the parties hereto and their respective successors and assigns. Except as otherwise provided herein, the Seller may not assign or transfer any of its rights or delegate any of its duties hereunder or under any Transaction Document without the prior consent of the Administrator, the Purchaser Agents and the Purchasers.</w:t>
      </w:r>
    </w:p>
    <w:p>
      <w:pPr>
        <w:spacing w:after="0" w:line="165" w:lineRule="exact"/>
        <w:rPr>
          <w:rFonts w:ascii="Arial" w:cs="Arial" w:eastAsia="Arial" w:hAnsi="Arial"/>
          <w:sz w:val="17"/>
          <w:szCs w:val="17"/>
          <w:color w:val="auto"/>
        </w:rPr>
      </w:pPr>
    </w:p>
    <w:p>
      <w:pPr>
        <w:ind w:left="4" w:right="300" w:firstLine="987"/>
        <w:spacing w:after="0" w:line="257" w:lineRule="auto"/>
        <w:tabs>
          <w:tab w:leader="none" w:pos="125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Purchaser may sell to one or more Persons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participating interests in the interests of such Purchaser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no Purchaser shall grant any participation under which the Participant shall have rights to approve any amendment to or waiver of this Agreement or any other Transaction Document. Such Purchaser shall remain solely responsible for performing its obligations hereunder, and the Seller, each Purchaser Agent and the Administrator shall continue to deal solely and directly with such Purchaser in connection with such Purchaser’s rights and obligations</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4"/>
          </w:cols>
          <w:pgMar w:left="436" w:top="274" w:right="479" w:bottom="1440" w:gutter="0" w:footer="0" w:header="0"/>
        </w:sectPr>
      </w:pPr>
    </w:p>
    <w:bookmarkStart w:id="230" w:name="page231"/>
    <w:bookmarkEnd w:id="230"/>
    <w:p>
      <w:pPr>
        <w:ind w:left="4"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hereunder. A Purchaser shall not agree with a Participant to restrict such Purchaser’s right to agree to any amendment hereto, except amendments that require the consent of all Purchasers.</w:t>
      </w:r>
    </w:p>
    <w:p>
      <w:pPr>
        <w:spacing w:after="0" w:line="170" w:lineRule="exact"/>
        <w:rPr>
          <w:sz w:val="20"/>
          <w:szCs w:val="20"/>
          <w:color w:val="auto"/>
        </w:rPr>
      </w:pPr>
    </w:p>
    <w:p>
      <w:pPr>
        <w:ind w:left="4" w:right="180" w:firstLine="987"/>
        <w:spacing w:after="0" w:line="285" w:lineRule="auto"/>
        <w:tabs>
          <w:tab w:leader="none" w:pos="1240" w:val="left"/>
        </w:tabs>
        <w:numPr>
          <w:ilvl w:val="1"/>
          <w:numId w:val="283"/>
        </w:numPr>
        <w:rPr>
          <w:rFonts w:ascii="Arial" w:cs="Arial" w:eastAsia="Arial" w:hAnsi="Arial"/>
          <w:sz w:val="16"/>
          <w:szCs w:val="16"/>
          <w:color w:val="auto"/>
        </w:rPr>
      </w:pPr>
      <w:r>
        <w:rPr>
          <w:rFonts w:ascii="Arial" w:cs="Arial" w:eastAsia="Arial" w:hAnsi="Arial"/>
          <w:sz w:val="16"/>
          <w:szCs w:val="16"/>
          <w:u w:val="single" w:color="auto"/>
          <w:color w:val="auto"/>
        </w:rPr>
        <w:t>Assignments by Certain Committed Purchasers</w:t>
      </w:r>
      <w:r>
        <w:rPr>
          <w:rFonts w:ascii="Arial" w:cs="Arial" w:eastAsia="Arial" w:hAnsi="Arial"/>
          <w:sz w:val="16"/>
          <w:szCs w:val="16"/>
          <w:color w:val="auto"/>
        </w:rPr>
        <w:t>. Any Committed Purchaser may assign to one or more Persons (each a “</w:t>
      </w:r>
      <w:r>
        <w:rPr>
          <w:rFonts w:ascii="Arial" w:cs="Arial" w:eastAsia="Arial" w:hAnsi="Arial"/>
          <w:sz w:val="16"/>
          <w:szCs w:val="16"/>
          <w:u w:val="single" w:color="auto"/>
          <w:color w:val="auto"/>
        </w:rPr>
        <w:t>Purchasing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Committed Purchaser</w:t>
      </w:r>
      <w:r>
        <w:rPr>
          <w:rFonts w:ascii="Arial" w:cs="Arial" w:eastAsia="Arial" w:hAnsi="Arial"/>
          <w:sz w:val="16"/>
          <w:szCs w:val="16"/>
          <w:color w:val="auto"/>
        </w:rPr>
        <w:t xml:space="preserve">”), reasonably acceptable to the related Purchaser Agent in its sole discretion, any portion of its Commitment pursuant to a supplement hereto, substantially in the form of </w:t>
      </w:r>
      <w:r>
        <w:rPr>
          <w:rFonts w:ascii="Arial" w:cs="Arial" w:eastAsia="Arial" w:hAnsi="Arial"/>
          <w:sz w:val="16"/>
          <w:szCs w:val="16"/>
          <w:u w:val="single" w:color="auto"/>
          <w:color w:val="auto"/>
        </w:rPr>
        <w:t>Annex E</w:t>
      </w:r>
      <w:r>
        <w:rPr>
          <w:rFonts w:ascii="Arial" w:cs="Arial" w:eastAsia="Arial" w:hAnsi="Arial"/>
          <w:sz w:val="16"/>
          <w:szCs w:val="16"/>
          <w:color w:val="auto"/>
        </w:rPr>
        <w:t xml:space="preserve"> with any changes as have been approved by the parties thereto (a “</w:t>
      </w:r>
      <w:r>
        <w:rPr>
          <w:rFonts w:ascii="Arial" w:cs="Arial" w:eastAsia="Arial" w:hAnsi="Arial"/>
          <w:sz w:val="16"/>
          <w:szCs w:val="16"/>
          <w:u w:val="single" w:color="auto"/>
          <w:color w:val="auto"/>
        </w:rPr>
        <w:t>Transfer Supplement</w:t>
      </w:r>
      <w:r>
        <w:rPr>
          <w:rFonts w:ascii="Arial" w:cs="Arial" w:eastAsia="Arial" w:hAnsi="Arial"/>
          <w:sz w:val="16"/>
          <w:szCs w:val="16"/>
          <w:color w:val="auto"/>
        </w:rPr>
        <w:t>”), executed by each such Purchasing Committed Purchaser, such selling Committed Purchaser, such related Purchaser Agent. Any such assignment by a Committed Purchaser cannot be for an amount less than the lesser of $30,000,000 and the amount of such Committed Purchaser’s Commitment. Upon</w:t>
      </w:r>
    </w:p>
    <w:p>
      <w:pPr>
        <w:spacing w:after="0" w:line="1" w:lineRule="exact"/>
        <w:rPr>
          <w:rFonts w:ascii="Arial" w:cs="Arial" w:eastAsia="Arial" w:hAnsi="Arial"/>
          <w:sz w:val="16"/>
          <w:szCs w:val="16"/>
          <w:color w:val="auto"/>
        </w:rPr>
      </w:pPr>
    </w:p>
    <w:p>
      <w:pPr>
        <w:ind w:left="4" w:hanging="4"/>
        <w:spacing w:after="0" w:line="287" w:lineRule="auto"/>
        <w:tabs>
          <w:tab w:leader="none" w:pos="219"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execution of the Transfer Supplement, (ii) delivery of an executed copy thereof to the Seller, such related Purchaser Agent and the Administrator and (iii) payment by the Purchasing Committed Purchaser to the selling Committed Purchaser of the agreed purchase price, such selling Committed Purchaser shall be released from its obligations hereunder to the extent of such assignment and such Purchasing Committed Purchaser shall for all purposes be a Committed Purchaser party hereto and shall have all the rights and obligations of a Committed Purchaser hereunder to the same extent as if it were an original party hereto. The amount of the Commitment of the selling Committed Purchaser allocable to such Purchasing Committed Purchaser shall be equal to the amount of the Commitment of the selling Committed Purchaser transferred regardless of the purchase price paid therefor. The Transfer Supplement shall be an amendment hereof only to the extent necessary to reflect the addition of such Purchasing Committed Purchaser as a “Committed Purchaser” and any resulting adjustment of the selling Committed Purchaser’s Commitment.</w:t>
      </w:r>
    </w:p>
    <w:p>
      <w:pPr>
        <w:spacing w:after="0" w:line="169" w:lineRule="exact"/>
        <w:rPr>
          <w:rFonts w:ascii="Arial" w:cs="Arial" w:eastAsia="Arial" w:hAnsi="Arial"/>
          <w:sz w:val="16"/>
          <w:szCs w:val="16"/>
          <w:color w:val="auto"/>
        </w:rPr>
      </w:pPr>
    </w:p>
    <w:p>
      <w:pPr>
        <w:ind w:left="1244" w:hanging="253"/>
        <w:spacing w:after="0"/>
        <w:tabs>
          <w:tab w:leader="none" w:pos="1244" w:val="left"/>
        </w:tabs>
        <w:numPr>
          <w:ilvl w:val="1"/>
          <w:numId w:val="284"/>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987"/>
        <w:spacing w:after="0" w:line="269" w:lineRule="auto"/>
        <w:tabs>
          <w:tab w:leader="none" w:pos="1240" w:val="left"/>
        </w:tabs>
        <w:numPr>
          <w:ilvl w:val="1"/>
          <w:numId w:val="284"/>
        </w:numPr>
        <w:rPr>
          <w:rFonts w:ascii="Arial" w:cs="Arial" w:eastAsia="Arial" w:hAnsi="Arial"/>
          <w:sz w:val="17"/>
          <w:szCs w:val="17"/>
          <w:color w:val="auto"/>
        </w:rPr>
      </w:pPr>
      <w:r>
        <w:rPr>
          <w:rFonts w:ascii="Arial" w:cs="Arial" w:eastAsia="Arial" w:hAnsi="Arial"/>
          <w:sz w:val="17"/>
          <w:szCs w:val="17"/>
          <w:u w:val="single" w:color="auto"/>
          <w:color w:val="auto"/>
        </w:rPr>
        <w:t>Assignment by Conduit Purchasers</w:t>
      </w:r>
      <w:r>
        <w:rPr>
          <w:rFonts w:ascii="Arial" w:cs="Arial" w:eastAsia="Arial" w:hAnsi="Arial"/>
          <w:sz w:val="17"/>
          <w:szCs w:val="17"/>
          <w:color w:val="auto"/>
        </w:rPr>
        <w:t>. Each party hereto agrees and consents (i) to any Conduit Purchaser’s assignment, participation, grant of security interests in or other transfers of any portion of, or any of its beneficial interest in, the Purchased Interest (or portion thereof), including without limitation to any collateral agent in connection with its commercial paper program and (ii) to the complete assignment by any Conduit Purchaser of all of its rights and obligations hereunder to any other Person, and upon such assignment such Conduit Purchaser shall be released from all obligations and duties, if any, hereunder. Any assigning Conduit Purchaser shall deliver to any assignee a Transfer Supplement, duly executed by such Conduit Purchaser, assigning any portion of its interest in the Purchased Interest to its assignee. Such Conduit Purchaser shall promptly (i) notify each of the other parties hereto of such assignment and (ii) take all further action that the assignee reasonably requests in order to evidence the assignee’s right, title and interest in such interest in the Purchased Interest and to enable the assignee to exercise or enforce any rights of such Conduit Purchaser hereunder. Upon the assignment of any portion of its interest in the Purchased Interest, the assignee shall have all of the rights hereunder with respect to such interest.</w:t>
      </w:r>
    </w:p>
    <w:p>
      <w:pPr>
        <w:spacing w:after="0" w:line="185" w:lineRule="exact"/>
        <w:rPr>
          <w:rFonts w:ascii="Arial" w:cs="Arial" w:eastAsia="Arial" w:hAnsi="Arial"/>
          <w:sz w:val="17"/>
          <w:szCs w:val="17"/>
          <w:color w:val="auto"/>
        </w:rPr>
      </w:pPr>
    </w:p>
    <w:p>
      <w:pPr>
        <w:ind w:left="4" w:right="20" w:firstLine="987"/>
        <w:spacing w:after="0" w:line="259" w:lineRule="auto"/>
        <w:tabs>
          <w:tab w:leader="none" w:pos="1220" w:val="left"/>
        </w:tabs>
        <w:numPr>
          <w:ilvl w:val="1"/>
          <w:numId w:val="284"/>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The Administrator shall, acting solely for this purpose as an agent of the Seller, maintain at its address referred to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this Agreement (or such other address of the Administrator notified by the Administrator to the other parties hereto) a copy of each Transfer Supplement delivered to and accepted by it and a register for the recordation of the names and addresses of the Purchasers, the Commitment of each Committed Purchaser and the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4" w:right="459" w:bottom="1440" w:gutter="0" w:footer="0" w:header="0"/>
        </w:sectPr>
      </w:pPr>
    </w:p>
    <w:bookmarkStart w:id="231" w:name="page232"/>
    <w:bookmarkEnd w:id="231"/>
    <w:p>
      <w:pPr>
        <w:ind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aggregate Investment of each Purchaser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binding for all purposes, absent manifest error, and the Seller, the Servicer, the Administrator, the Purchaser Agents and the Purchasers may treat each Person whose name is recorded in the Register as a Purchaser, as a Purchaser under this Agreement for all purposes of this Agreement. The Register shall be available for inspection by the Seller, the Servicer, any Purchaser Agent or any Purchaser at any reasonable time and from time to time upon reasonable prior notice.</w:t>
      </w:r>
    </w:p>
    <w:p>
      <w:pPr>
        <w:spacing w:after="0" w:line="157" w:lineRule="exact"/>
        <w:rPr>
          <w:sz w:val="20"/>
          <w:szCs w:val="20"/>
          <w:color w:val="auto"/>
        </w:rPr>
      </w:pPr>
    </w:p>
    <w:p>
      <w:pPr>
        <w:ind w:right="300" w:firstLine="987"/>
        <w:spacing w:after="0" w:line="263" w:lineRule="auto"/>
        <w:tabs>
          <w:tab w:leader="none" w:pos="1246"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Upon its receipt of a Transfer Supplement executed and delivered by an assigning Purchaser, the Administrator shall, if such Transfer Supplement has been duly completed, (i) accept such Transfer Supplement and (ii) record the information contained therein in the Register.</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u w:val="single" w:color="auto"/>
          <w:color w:val="auto"/>
        </w:rPr>
        <w:t>Costs, Expenses and Taxes</w:t>
      </w:r>
      <w:r>
        <w:rPr>
          <w:rFonts w:ascii="Arial" w:cs="Arial" w:eastAsia="Arial" w:hAnsi="Arial"/>
          <w:sz w:val="17"/>
          <w:szCs w:val="17"/>
          <w:color w:val="auto"/>
        </w:rPr>
        <w:t xml:space="preserve">. In addition to the rights of indemnification granted under </w:t>
      </w:r>
      <w:r>
        <w:rPr>
          <w:rFonts w:ascii="Arial" w:cs="Arial" w:eastAsia="Arial" w:hAnsi="Arial"/>
          <w:sz w:val="17"/>
          <w:szCs w:val="17"/>
          <w:u w:val="single" w:color="auto"/>
          <w:color w:val="auto"/>
        </w:rPr>
        <w:t>Section 3.1</w:t>
      </w:r>
      <w:r>
        <w:rPr>
          <w:rFonts w:ascii="Arial" w:cs="Arial" w:eastAsia="Arial" w:hAnsi="Arial"/>
          <w:sz w:val="17"/>
          <w:szCs w:val="17"/>
          <w:color w:val="auto"/>
        </w:rPr>
        <w:t>, the Seller agrees to pay on demand (which demand shall be accompanied by documentation thereof in reasonable detail) all reasonable costs and expenses in connection with the preparation, execution, delivery and administration (including periodic internal audits by the Administrator of Pool Receivables) of this Agreement, the other Transaction Documents and the other documents and agreements to be delivered hereunder (and all reasonable costs and expenses in connection with any amendment, waiver or modification of any thereof), including: (i) Attorney Costs for the Administrator, each Purchaser Group and their respective Affiliates and agents with respect thereto and with respect to advising the Administrator, each Purchaser Group and their respective Affiliates and agents as to their rights and remedies under this Agreement and the other Transaction Documents, and (ii) all reasonable costs and expenses (including Attorney Costs), if any, of the Administrator, each Purchaser Group and their respective Affiliates and agents in connection with the enforcement of this Agreement and the other Transaction Documents.</w:t>
      </w:r>
    </w:p>
    <w:p>
      <w:pPr>
        <w:spacing w:after="0" w:line="181" w:lineRule="exact"/>
        <w:rPr>
          <w:sz w:val="20"/>
          <w:szCs w:val="20"/>
          <w:color w:val="auto"/>
        </w:rPr>
      </w:pPr>
    </w:p>
    <w:p>
      <w:pPr>
        <w:jc w:val="both"/>
        <w:ind w:right="160" w:firstLine="440"/>
        <w:spacing w:after="0" w:line="286" w:lineRule="auto"/>
        <w:rPr>
          <w:sz w:val="20"/>
          <w:szCs w:val="20"/>
          <w:color w:val="auto"/>
        </w:rPr>
      </w:pPr>
      <w:r>
        <w:rPr>
          <w:rFonts w:ascii="Arial" w:cs="Arial" w:eastAsia="Arial" w:hAnsi="Arial"/>
          <w:sz w:val="17"/>
          <w:szCs w:val="17"/>
          <w:color w:val="auto"/>
        </w:rPr>
        <w:t>In addition, the Seller shall pay on demand any and all stamp and other taxes and fees payable in connection with the execution, delivery, filing and recording of this Agreement or the other documents or agreements to be delivered hereunder, and agrees to save each Indemnified Party harmless from and against any liabilities with respect to or resulting from any delay in paying or omission to pay such taxes and fees.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No Proceedings; Limitation on Payments</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79" w:lineRule="auto"/>
        <w:tabs>
          <w:tab w:leader="none" w:pos="1236" w:val="left"/>
        </w:tabs>
        <w:numPr>
          <w:ilvl w:val="0"/>
          <w:numId w:val="286"/>
        </w:numPr>
        <w:rPr>
          <w:rFonts w:ascii="Arial" w:cs="Arial" w:eastAsia="Arial" w:hAnsi="Arial"/>
          <w:sz w:val="17"/>
          <w:szCs w:val="17"/>
          <w:color w:val="auto"/>
        </w:rPr>
      </w:pPr>
      <w:r>
        <w:rPr>
          <w:rFonts w:ascii="Arial" w:cs="Arial" w:eastAsia="Arial" w:hAnsi="Arial"/>
          <w:sz w:val="17"/>
          <w:szCs w:val="17"/>
          <w:color w:val="auto"/>
        </w:rPr>
        <w:t>Each of the Seller, WESCO, the Servicer, the Administrator, the Purchaser Agents, the Purchasers, each assignee of the Purchased Interest or any interest therein, and each Person that enters into a commitment to purchase the Purchased Interest or interests therein, hereby covenants and agrees that it will not institute against, or join any other Person in instituting against, any Conduit Purchaser any Insolvency Proceeding, for one year and one day after the latest maturing Note issued by such Conduit Purchaser is paid in full.</w:t>
      </w:r>
    </w:p>
    <w:p>
      <w:pPr>
        <w:spacing w:after="0" w:line="171" w:lineRule="exact"/>
        <w:rPr>
          <w:rFonts w:ascii="Arial" w:cs="Arial" w:eastAsia="Arial" w:hAnsi="Arial"/>
          <w:sz w:val="17"/>
          <w:szCs w:val="17"/>
          <w:color w:val="auto"/>
        </w:rPr>
      </w:pPr>
    </w:p>
    <w:p>
      <w:pPr>
        <w:ind w:right="200" w:firstLine="987"/>
        <w:spacing w:after="0" w:line="263" w:lineRule="auto"/>
        <w:tabs>
          <w:tab w:leader="none" w:pos="1246" w:val="left"/>
        </w:tabs>
        <w:numPr>
          <w:ilvl w:val="0"/>
          <w:numId w:val="286"/>
        </w:numPr>
        <w:rPr>
          <w:rFonts w:ascii="Arial" w:cs="Arial" w:eastAsia="Arial" w:hAnsi="Arial"/>
          <w:sz w:val="18"/>
          <w:szCs w:val="18"/>
          <w:color w:val="auto"/>
        </w:rPr>
      </w:pPr>
      <w:r>
        <w:rPr>
          <w:rFonts w:ascii="Arial" w:cs="Arial" w:eastAsia="Arial" w:hAnsi="Arial"/>
          <w:sz w:val="18"/>
          <w:szCs w:val="18"/>
          <w:color w:val="auto"/>
        </w:rPr>
        <w:t>Each of WESCO, the Servicer, the Purchaser Agents, the Purchasers, each assignee of the Purchased Interest or any interest therein, and each Person that enters into a commitment to purchase the Purchased Interest or interests therein, hereby covenants and agrees that it will not institute against, or join any other Person in instituting against, the Seller any</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440" w:top="274" w:right="519" w:bottom="1440" w:gutter="0" w:footer="0" w:header="0"/>
        </w:sectPr>
      </w:pPr>
    </w:p>
    <w:bookmarkStart w:id="232" w:name="page233"/>
    <w:bookmarkEnd w:id="232"/>
    <w:p>
      <w:pPr>
        <w:ind w:left="4"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Insolvency Proceeding until one year and one day after the Final Payout Date; </w:t>
      </w:r>
      <w:r>
        <w:rPr>
          <w:rFonts w:ascii="Arial" w:cs="Arial" w:eastAsia="Arial" w:hAnsi="Arial"/>
          <w:sz w:val="18"/>
          <w:szCs w:val="18"/>
          <w:u w:val="single" w:color="auto"/>
          <w:color w:val="auto"/>
        </w:rPr>
        <w:t>provided</w:t>
      </w:r>
      <w:r>
        <w:rPr>
          <w:rFonts w:ascii="Arial" w:cs="Arial" w:eastAsia="Arial" w:hAnsi="Arial"/>
          <w:sz w:val="18"/>
          <w:szCs w:val="18"/>
          <w:color w:val="auto"/>
        </w:rPr>
        <w:t>, that the Administrator may take any such action in its sole discretion following the occurrence of a Termination Event.</w:t>
      </w:r>
    </w:p>
    <w:p>
      <w:pPr>
        <w:spacing w:after="0" w:line="170" w:lineRule="exact"/>
        <w:rPr>
          <w:sz w:val="20"/>
          <w:szCs w:val="20"/>
          <w:color w:val="auto"/>
        </w:rPr>
      </w:pPr>
    </w:p>
    <w:p>
      <w:pPr>
        <w:ind w:left="4" w:firstLine="987"/>
        <w:spacing w:after="0" w:line="287" w:lineRule="auto"/>
        <w:tabs>
          <w:tab w:leader="none" w:pos="1240" w:val="left"/>
        </w:tabs>
        <w:numPr>
          <w:ilvl w:val="1"/>
          <w:numId w:val="287"/>
        </w:numPr>
        <w:rPr>
          <w:rFonts w:ascii="Arial" w:cs="Arial" w:eastAsia="Arial" w:hAnsi="Arial"/>
          <w:sz w:val="16"/>
          <w:szCs w:val="16"/>
          <w:color w:val="auto"/>
        </w:rPr>
      </w:pPr>
      <w:r>
        <w:rPr>
          <w:rFonts w:ascii="Arial" w:cs="Arial" w:eastAsia="Arial" w:hAnsi="Arial"/>
          <w:sz w:val="16"/>
          <w:szCs w:val="16"/>
          <w:color w:val="auto"/>
        </w:rPr>
        <w:t>Notwithstanding any provisions contained in this Agreement to the contrary, a Conduit Purchaser shall not, and shall be under no obligation to, pay any amount, if any, payable by it pursuant to this Agreement or any other Transaction Document unless (i) such Conduit Purchaser has received funds which may be used to make such payment and which funds are not required to repay such Conduit Purchaser’s Notes when due and</w:t>
      </w:r>
    </w:p>
    <w:p>
      <w:pPr>
        <w:spacing w:after="0" w:line="2" w:lineRule="exact"/>
        <w:rPr>
          <w:rFonts w:ascii="Arial" w:cs="Arial" w:eastAsia="Arial" w:hAnsi="Arial"/>
          <w:sz w:val="16"/>
          <w:szCs w:val="16"/>
          <w:color w:val="auto"/>
        </w:rPr>
      </w:pPr>
    </w:p>
    <w:p>
      <w:pPr>
        <w:jc w:val="both"/>
        <w:ind w:left="4" w:right="360" w:hanging="4"/>
        <w:spacing w:after="0" w:line="281" w:lineRule="auto"/>
        <w:tabs>
          <w:tab w:leader="none" w:pos="269"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after giving effect to such payment, either (x) such Conduit Purchaser could issue Notes to refinance all of its outstanding Notes (assuming such outstanding Notes matured at such time) in accordance with the program documents governing such Conduit Purchaser’s securitization program or</w:t>
      </w:r>
    </w:p>
    <w:p>
      <w:pPr>
        <w:spacing w:after="0" w:line="1" w:lineRule="exact"/>
        <w:rPr>
          <w:rFonts w:ascii="Arial" w:cs="Arial" w:eastAsia="Arial" w:hAnsi="Arial"/>
          <w:sz w:val="16"/>
          <w:szCs w:val="16"/>
          <w:color w:val="auto"/>
        </w:rPr>
      </w:pPr>
    </w:p>
    <w:p>
      <w:pPr>
        <w:jc w:val="both"/>
        <w:ind w:left="4" w:right="160" w:hanging="4"/>
        <w:spacing w:after="0" w:line="253" w:lineRule="auto"/>
        <w:tabs>
          <w:tab w:leader="none" w:pos="259"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all of such Conduit Purchaser’s Notes are paid in full. Any amount which any Conduit Purchaser does not pay pursuant to the operation of the preceding sentence shall not constitute a claim (as defined in Section 101 of the Bankruptcy Code) against or company obligation of such Conduit Purchaser for any such insufficiency unless and until such Conduit Purchaser satisfies the provisions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The provision of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shall survive any termination of this Agreement.</w:t>
      </w:r>
    </w:p>
    <w:p>
      <w:pPr>
        <w:spacing w:after="0" w:line="19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GOVERNING LAW AND JURISDICTION</w:t>
      </w:r>
      <w:r>
        <w:rPr>
          <w:rFonts w:ascii="Arial" w:cs="Arial" w:eastAsia="Arial" w:hAnsi="Arial"/>
          <w:sz w:val="18"/>
          <w:szCs w:val="18"/>
          <w:color w:val="auto"/>
        </w:rPr>
        <w:t>.</w:t>
      </w:r>
    </w:p>
    <w:p>
      <w:pPr>
        <w:spacing w:after="0" w:line="117" w:lineRule="exact"/>
        <w:rPr>
          <w:sz w:val="20"/>
          <w:szCs w:val="20"/>
          <w:color w:val="auto"/>
        </w:rPr>
      </w:pPr>
    </w:p>
    <w:p>
      <w:pPr>
        <w:ind w:left="4" w:right="160" w:firstLine="987"/>
        <w:spacing w:after="0" w:line="263" w:lineRule="auto"/>
        <w:tabs>
          <w:tab w:leader="none" w:pos="12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THIS AGREEMENT SHALL BE DEEMED TO BE A CONTRACT MADE UNDER AND GOVERNED BY THE LAWS OF THE STATE OF NEW YORK (INCLUDING FOR SUCH PURPOSE SECTIONS 5-1401 AND 5-1402 OF THE GENERAL OBLIGATIONS LAW OF THE STATE OF NEW YORK).</w:t>
      </w:r>
    </w:p>
    <w:p>
      <w:pPr>
        <w:spacing w:after="0" w:line="183" w:lineRule="exact"/>
        <w:rPr>
          <w:rFonts w:ascii="Arial" w:cs="Arial" w:eastAsia="Arial" w:hAnsi="Arial"/>
          <w:sz w:val="18"/>
          <w:szCs w:val="18"/>
          <w:color w:val="auto"/>
        </w:rPr>
      </w:pPr>
    </w:p>
    <w:p>
      <w:pPr>
        <w:ind w:left="4" w:right="40" w:firstLine="987"/>
        <w:spacing w:after="0" w:line="253" w:lineRule="auto"/>
        <w:tabs>
          <w:tab w:leader="none" w:pos="125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ANY LEGAL ACTION OR PROCEEDING WITH RESPECT TO THIS AGREEMENT MAY BE BROUGHT IN THE COURTS OF THE STATE OF NEW YORK OR OF THE UNITED STATES FOR THE SOUTHERN DISTRICT OF NEW YORK; AND, BY EXECUTION AND DELIVERY OF THIS AGREEMENT, EACH OF THE PARTIES HERETO CONSENTS, FOR ITSELF AND IN RESPECT OF ITS PROPERTY, TO THE NON-EXCLUSIVE JURISDICTION OF THOSE COURTS. EACH OF THE PARTIES HERETO IRREVOCABLY WAIVES, TO THE MAXIMUM EXTENT PERMITTED BY LAW, ANY OBJECTION, INCLUDING ANY OBJECTION TO THE LAYING OF VENUE OR BASED ON THE GROUNDS OF FORUM NON CONVENIENS, THAT IT MAY NOW OR HEREAFTER HAVE TO THE BRINGING OF ANY ACTION OR PROCEEDING IN SUCH JURISDICTION IN RESPECT OF THIS AGREEMENT OR ANY DOCUMENT RELATED HERETO. EACH OF THE PARTIES HERETO WAIVES PERSONAL SERVICE OF ANY SUMMONS, COMPLAINT OR OTHER PROCESS, WHICH SERVICE MAY BE MADE BY ANY OTHER MEANS PERMITTED BY NEW YORK LAW.</w:t>
      </w:r>
    </w:p>
    <w:p>
      <w:pPr>
        <w:spacing w:after="0" w:line="196"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each of which, when so executed, shall be deemed to be an original, and all of which, when taken together, shall constitute one and the same agreement.</w:t>
      </w:r>
    </w:p>
    <w:p>
      <w:pPr>
        <w:spacing w:after="0" w:line="170"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Survival of Termination</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Sections 1.7</w:t>
      </w:r>
      <w:r>
        <w:rPr>
          <w:rFonts w:ascii="Arial" w:cs="Arial" w:eastAsia="Arial" w:hAnsi="Arial"/>
          <w:sz w:val="18"/>
          <w:szCs w:val="18"/>
          <w:color w:val="auto"/>
        </w:rPr>
        <w:t xml:space="preserve">,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w:t>
      </w:r>
      <w:r>
        <w:rPr>
          <w:rFonts w:ascii="Arial" w:cs="Arial" w:eastAsia="Arial" w:hAnsi="Arial"/>
          <w:sz w:val="18"/>
          <w:szCs w:val="18"/>
          <w:u w:val="single" w:color="auto"/>
          <w:color w:val="auto"/>
        </w:rPr>
        <w:t>3.1</w:t>
      </w:r>
      <w:r>
        <w:rPr>
          <w:rFonts w:ascii="Arial" w:cs="Arial" w:eastAsia="Arial" w:hAnsi="Arial"/>
          <w:sz w:val="18"/>
          <w:szCs w:val="18"/>
          <w:color w:val="auto"/>
        </w:rPr>
        <w:t xml:space="preserve">,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w:t>
      </w:r>
      <w:r>
        <w:rPr>
          <w:rFonts w:ascii="Arial" w:cs="Arial" w:eastAsia="Arial" w:hAnsi="Arial"/>
          <w:sz w:val="18"/>
          <w:szCs w:val="18"/>
          <w:u w:val="single" w:color="auto"/>
          <w:color w:val="auto"/>
        </w:rPr>
        <w:t>6.4</w:t>
      </w:r>
      <w:r>
        <w:rPr>
          <w:rFonts w:ascii="Arial" w:cs="Arial" w:eastAsia="Arial" w:hAnsi="Arial"/>
          <w:sz w:val="18"/>
          <w:szCs w:val="18"/>
          <w:color w:val="auto"/>
        </w:rPr>
        <w:t xml:space="preserve">, </w:t>
      </w:r>
      <w:r>
        <w:rPr>
          <w:rFonts w:ascii="Arial" w:cs="Arial" w:eastAsia="Arial" w:hAnsi="Arial"/>
          <w:sz w:val="18"/>
          <w:szCs w:val="18"/>
          <w:u w:val="single" w:color="auto"/>
          <w:color w:val="auto"/>
        </w:rPr>
        <w:t>6.5</w:t>
      </w:r>
      <w:r>
        <w:rPr>
          <w:rFonts w:ascii="Arial" w:cs="Arial" w:eastAsia="Arial" w:hAnsi="Arial"/>
          <w:sz w:val="18"/>
          <w:szCs w:val="18"/>
          <w:color w:val="auto"/>
        </w:rPr>
        <w:t xml:space="preserve">, </w:t>
      </w:r>
      <w:r>
        <w:rPr>
          <w:rFonts w:ascii="Arial" w:cs="Arial" w:eastAsia="Arial" w:hAnsi="Arial"/>
          <w:sz w:val="18"/>
          <w:szCs w:val="18"/>
          <w:u w:val="single" w:color="auto"/>
          <w:color w:val="auto"/>
        </w:rPr>
        <w:t>6.6</w:t>
      </w:r>
      <w:r>
        <w:rPr>
          <w:rFonts w:ascii="Arial" w:cs="Arial" w:eastAsia="Arial" w:hAnsi="Arial"/>
          <w:sz w:val="18"/>
          <w:szCs w:val="18"/>
          <w:color w:val="auto"/>
        </w:rPr>
        <w:t xml:space="preserve">, </w:t>
      </w:r>
      <w:r>
        <w:rPr>
          <w:rFonts w:ascii="Arial" w:cs="Arial" w:eastAsia="Arial" w:hAnsi="Arial"/>
          <w:sz w:val="18"/>
          <w:szCs w:val="18"/>
          <w:u w:val="single" w:color="auto"/>
          <w:color w:val="auto"/>
        </w:rPr>
        <w:t>6.9</w:t>
      </w:r>
      <w:r>
        <w:rPr>
          <w:rFonts w:ascii="Arial" w:cs="Arial" w:eastAsia="Arial" w:hAnsi="Arial"/>
          <w:sz w:val="18"/>
          <w:szCs w:val="18"/>
          <w:color w:val="auto"/>
        </w:rPr>
        <w:t xml:space="preserve">,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6.14</w:t>
      </w:r>
      <w:r>
        <w:rPr>
          <w:rFonts w:ascii="Arial" w:cs="Arial" w:eastAsia="Arial" w:hAnsi="Arial"/>
          <w:sz w:val="18"/>
          <w:szCs w:val="18"/>
          <w:color w:val="auto"/>
        </w:rPr>
        <w:t xml:space="preserve"> shall survive any termination of this Agreement.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4" w:right="459" w:bottom="1440" w:gutter="0" w:footer="0" w:header="0"/>
        </w:sectPr>
      </w:pPr>
    </w:p>
    <w:bookmarkStart w:id="233" w:name="page234"/>
    <w:bookmarkEnd w:id="233"/>
    <w:p>
      <w:pPr>
        <w:ind w:right="20"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6.9.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WAIVES THEIR RESPECTIVE RIGHTS TO A TRIAL BY JURY OF ANY CLAIM OR CAUSE OF ACTION BASED UPON OR ARISING OUT OF OR RELATED TO THIS AGREEMENT OR THE TRANSACTIONS CONTEMPLATED HEREBY IN ANY ACTION, PROCEEDING OR OTHER LITIGATION OF ANY TYPE BROUGHT BY ANY OF THE PARTIES AGAINST ANY OTHER PARTY OR PARTIES, WHETHER WITH RESPECT TO CONTRACT CLAIMS, TORT CLAIMS OR OTHERWISE. EACH OF THE PARTIES HERETO AGREES THAT ANY SUCH CLAIM OR CAUSE OF ACTION SHALL BE TRIED BY A COURT TRIAL WITHOUT A JURY. WITHOUT LIMITING THE FOREGOING, EACH OF THE PARTIES HERETO FURTHER AGREES THAT ITS RESPECTIVE RIGHT TO A TRIAL BY JURY IS WAIVED BY OPERATION OF THIS SECTION AS TO ANY ACTION, COUNTERCLAIM OR OTHER PROCEEDING THAT SEEKS, IN WHOLE OR IN PART, TO CHALLENGE THE VALIDITY OR ENFORCEABILITY OF THIS AGREEMENT OR ANY PROVISION HEREOF. THIS WAIVER SHALL APPLY TO ANY SUBSEQUENT AMENDMENTS, RENEWALS, SUPPLEMENTS OR MODIFICATIONS TO THIS AGREEMENT.</w:t>
      </w:r>
    </w:p>
    <w:p>
      <w:pPr>
        <w:spacing w:after="0" w:line="194"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Sharing of Recoveries</w:t>
      </w:r>
      <w:r>
        <w:rPr>
          <w:rFonts w:ascii="Arial" w:cs="Arial" w:eastAsia="Arial" w:hAnsi="Arial"/>
          <w:sz w:val="17"/>
          <w:szCs w:val="17"/>
          <w:color w:val="auto"/>
        </w:rPr>
        <w:t>. Each Purchaser agrees that if it receives any recovery, through set-off, judicial action or otherwise, on any amount payable or recoverable hereunder in a greater proportion than should have been received hereunder or otherwise inconsistent with the provisions hereof, then the recipient of such recovery shall purchase for cash an interest in amounts owing to the other Purchasers (as return of Investment or otherwise), without representation or warranty except for the representation and warranty that such interest is being sold by each such other Purchaser free and clear of any Adverse Claim created or granted by such other Purchaser, in the amount necessary to create proportional participation by the Purchaser in such recovery. If all or any portion of such amount is thereafter recovered from the recipient, such purchase shall be rescinded and the purchase price restored to the extent of such recovery, but without interest.</w:t>
      </w:r>
    </w:p>
    <w:p>
      <w:pPr>
        <w:spacing w:after="0" w:line="177" w:lineRule="exact"/>
        <w:rPr>
          <w:sz w:val="20"/>
          <w:szCs w:val="20"/>
          <w:color w:val="auto"/>
        </w:rPr>
      </w:pPr>
    </w:p>
    <w:p>
      <w:pPr>
        <w:jc w:val="both"/>
        <w:ind w:right="320" w:firstLine="440"/>
        <w:spacing w:after="0" w:line="259"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Right of Setoff</w:t>
      </w:r>
      <w:r>
        <w:rPr>
          <w:rFonts w:ascii="Arial" w:cs="Arial" w:eastAsia="Arial" w:hAnsi="Arial"/>
          <w:sz w:val="18"/>
          <w:szCs w:val="18"/>
          <w:color w:val="auto"/>
        </w:rPr>
        <w:t>. During a Termination Event, each Purchaser is hereby authorized (in addition to any other rights it may have) to setoff, appropriate and apply (without presentment, demand, protest or other notice which are hereby expressly waived) any deposits and any other indebtedness held or owing by such Purchaser (including by any branches or agencies of such Purchaser) to, or for the account of, the Seller against amounts owing by the Seller hereunder (even if contingent or unmatured).</w:t>
      </w:r>
    </w:p>
    <w:p>
      <w:pPr>
        <w:spacing w:after="0" w:line="187"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other Transaction Documents embody the entire agreement and understanding between the parties hereto, and supersede all prior or contemporaneous agreements and understandings of such Persons, verbal or written, relating to the subject matter hereof and thereof.</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Headings</w:t>
      </w:r>
      <w:r>
        <w:rPr>
          <w:rFonts w:ascii="Arial" w:cs="Arial" w:eastAsia="Arial" w:hAnsi="Arial"/>
          <w:sz w:val="18"/>
          <w:szCs w:val="18"/>
          <w:color w:val="auto"/>
        </w:rPr>
        <w:t>. The captions and headings of this Agreement and any Exhibit, Schedule or Annex hereto are for convenience of reference only and shall not affect the interpretation hereof or thereof.</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Purchaser Groups’ Liabilities</w:t>
      </w:r>
      <w:r>
        <w:rPr>
          <w:rFonts w:ascii="Arial" w:cs="Arial" w:eastAsia="Arial" w:hAnsi="Arial"/>
          <w:sz w:val="18"/>
          <w:szCs w:val="18"/>
          <w:color w:val="auto"/>
        </w:rPr>
        <w:t>. The obligations of each Purchaser Agent and each Purchaser under the Transaction Documents are solely the corporate obligations of such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234" w:name="page235"/>
    <w:bookmarkEnd w:id="234"/>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 Except with respect to any claim arising out of the willful misconduct or gross negligence of the Administrator, any Purchaser Agent or any Purchaser, no claim may be made by the Seller or the Servicer or any other Person against the Administrator, any Purchaser Agent or any Purchaser or their respective Affiliates, directors, officers, employees, attorneys or agents for any special, indirect, consequential or punitive damages in respect of any claim for breach of contract or any other theory of liability arising out of or related to the transactions contemplated by this Agreement or any other Transaction Document, or any act, omission or event occurring in connection therewith; and each of Seller and Servicer hereby waives, releases, and agrees not to sue upon any claim for any such damages, whether or not accrued and whether or not known or suspected to exist in its favor.</w:t>
      </w:r>
    </w:p>
    <w:p>
      <w:pPr>
        <w:spacing w:after="0" w:line="164"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Section 6.15. </w:t>
      </w:r>
      <w:r>
        <w:rPr>
          <w:rFonts w:ascii="Arial" w:cs="Arial" w:eastAsia="Arial" w:hAnsi="Arial"/>
          <w:sz w:val="16"/>
          <w:szCs w:val="16"/>
          <w:u w:val="single" w:color="auto"/>
          <w:color w:val="auto"/>
        </w:rPr>
        <w:t>Pledge to a Federal Reserve Bank</w:t>
      </w:r>
      <w:r>
        <w:rPr>
          <w:rFonts w:ascii="Arial" w:cs="Arial" w:eastAsia="Arial" w:hAnsi="Arial"/>
          <w:sz w:val="16"/>
          <w:szCs w:val="16"/>
          <w:color w:val="auto"/>
        </w:rPr>
        <w:t>. Notwithstanding anything to the contrary set forth herein, (i) each Committed Purchaser may at any time pledge or grant a security interest in all or any portion of its interest in, to and under its undivided percentage ownership interest with regard to the Purchased Interest or under this Agreement to secure its obligations to a Federal Reserve Bank, or (ii) in the event that any Conduit Purchaser assigns any interest in, to and under its undivided percentage ownership interest with regard to the Purchased Interest to any Program Support Provider pursuant to a Program Support Agreement, such Program Support Provider may at any time pledge or grant a security interest in all or any portion of its interest in, to and under such undivided percentage ownership interest with regard to the Purchased Interest or under this Agreement to secure the obligations of such Program Support Provider to a Federal Reserve Bank, in each case without notice to or the consent of the Seller.</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8" w:lineRule="auto"/>
        <w:tabs>
          <w:tab w:leader="none" w:pos="1236" w:val="left"/>
        </w:tabs>
        <w:numPr>
          <w:ilvl w:val="0"/>
          <w:numId w:val="291"/>
        </w:numPr>
        <w:rPr>
          <w:rFonts w:ascii="Arial" w:cs="Arial" w:eastAsia="Arial" w:hAnsi="Arial"/>
          <w:sz w:val="17"/>
          <w:szCs w:val="17"/>
          <w:color w:val="auto"/>
        </w:rPr>
      </w:pPr>
      <w:r>
        <w:rPr>
          <w:rFonts w:ascii="Arial" w:cs="Arial" w:eastAsia="Arial" w:hAnsi="Arial"/>
          <w:sz w:val="17"/>
          <w:szCs w:val="17"/>
          <w:color w:val="auto"/>
        </w:rPr>
        <w:t xml:space="preserve">Each of the Seller and the Servicer covenants and agrees to hold in confidence, and not disclose to any Person, the terms of this Agreement or any Purchaser Group Fee Letter (including any fees payable in connection with this Agreement, any Purchaser Group Fee Letter or any other Transaction Document or the identity of the Administrator or any Purchaser or Purchaser Agent), except as the Administrator and each Purchaser Agent may have consented to in writing prior to any proposed disclosure;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it may disclose such information (i) to its Advisors and Representatives, (ii) to the extent such information has become available to the public other than as a result of a disclosure by or through the Seller, the Servicer or their Advisors and Representatives or (iii) to the extent it should be (A) required by Applicable Law, or in connection with any legal or regulatory proceeding or (B) requested by any Governmental Authority to disclose such information;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above, the Seller and the Servicer will use reasonable efforts to maintain confidentiality and will (unless otherwise prohibited by Applicable Law) notify the Administrator and the affected Purchaser or Purchaser Agent of its intention to make any such disclosure prior to making such disclosure. Each of the Seller and the Servicer agrees to be responsible for any breach of this Section by its Representatives and Advisors and agrees that its Representatives and Advisors will be advised by it of the confidential nature of such information and shall agree to comply with this Section. Notwithstanding the foregoing, it is expressly agreed that each of the Seller, the Servicer and their respective Affiliates may publish a press release or otherwise publicly announce the existence and principal amount of the Commitments under this Agreement and the transactions contemplated 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Administrator shall be provided a reasonable opportunity to review such press release or other public announcement prior to its release and provide comment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440" w:top="274" w:right="499" w:bottom="1440" w:gutter="0" w:footer="0" w:header="0"/>
        </w:sectPr>
      </w:pPr>
    </w:p>
    <w:bookmarkStart w:id="235" w:name="page236"/>
    <w:bookmarkEnd w:id="235"/>
    <w:p>
      <w:pPr>
        <w:ind w:right="1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such press release shall name or otherwise identify the Administrator, any Purchaser, any Purchaser Agent or any of their respective Affiliates without such Person’s prior written consent (such consent not to be unreasonably withheld, conditioned or delayed).</w:t>
      </w:r>
    </w:p>
    <w:p>
      <w:pPr>
        <w:spacing w:after="0" w:line="124" w:lineRule="exact"/>
        <w:rPr>
          <w:sz w:val="20"/>
          <w:szCs w:val="20"/>
          <w:color w:val="auto"/>
        </w:rPr>
      </w:pPr>
    </w:p>
    <w:p>
      <w:pPr>
        <w:jc w:val="both"/>
        <w:ind w:right="140" w:firstLine="987"/>
        <w:spacing w:after="0" w:line="301" w:lineRule="auto"/>
        <w:tabs>
          <w:tab w:leader="none" w:pos="1246" w:val="left"/>
        </w:tabs>
        <w:numPr>
          <w:ilvl w:val="0"/>
          <w:numId w:val="292"/>
        </w:numPr>
        <w:rPr>
          <w:rFonts w:ascii="Arial" w:cs="Arial" w:eastAsia="Arial" w:hAnsi="Arial"/>
          <w:sz w:val="16"/>
          <w:szCs w:val="16"/>
          <w:color w:val="auto"/>
        </w:rPr>
      </w:pPr>
      <w:r>
        <w:rPr>
          <w:rFonts w:ascii="Arial" w:cs="Arial" w:eastAsia="Arial" w:hAnsi="Arial"/>
          <w:sz w:val="16"/>
          <w:szCs w:val="16"/>
          <w:color w:val="auto"/>
        </w:rPr>
        <w:t>As used in this Section, (i) “</w:t>
      </w:r>
      <w:r>
        <w:rPr>
          <w:rFonts w:ascii="Arial" w:cs="Arial" w:eastAsia="Arial" w:hAnsi="Arial"/>
          <w:sz w:val="16"/>
          <w:szCs w:val="16"/>
          <w:u w:val="single" w:color="auto"/>
          <w:color w:val="auto"/>
        </w:rPr>
        <w:t>Advisors</w:t>
      </w:r>
      <w:r>
        <w:rPr>
          <w:rFonts w:ascii="Arial" w:cs="Arial" w:eastAsia="Arial" w:hAnsi="Arial"/>
          <w:sz w:val="16"/>
          <w:szCs w:val="16"/>
          <w:color w:val="auto"/>
        </w:rPr>
        <w:t>” means, with respect to any Person, such Person’s accountants, attorneys and other confidential advisors and (ii) “</w:t>
      </w:r>
      <w:r>
        <w:rPr>
          <w:rFonts w:ascii="Arial" w:cs="Arial" w:eastAsia="Arial" w:hAnsi="Arial"/>
          <w:sz w:val="16"/>
          <w:szCs w:val="16"/>
          <w:u w:val="single" w:color="auto"/>
          <w:color w:val="auto"/>
        </w:rPr>
        <w:t>Representatives</w:t>
      </w:r>
      <w:r>
        <w:rPr>
          <w:rFonts w:ascii="Arial" w:cs="Arial" w:eastAsia="Arial" w:hAnsi="Arial"/>
          <w:sz w:val="16"/>
          <w:szCs w:val="16"/>
          <w:color w:val="auto"/>
        </w:rPr>
        <w:t xml:space="preserve">” means, with respect to any Person, such Person’s Affiliates, Subsidiaries, directors, managers, officers, employees, members, investors, financing sources, insurers, professional advisors, representatives and agents;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Person shall not be deemed to Representatives of a Person unless (and solely to the extent that) confidential information is furnished to such Person.</w:t>
      </w:r>
    </w:p>
    <w:p>
      <w:pPr>
        <w:spacing w:after="0" w:line="157" w:lineRule="exact"/>
        <w:rPr>
          <w:rFonts w:ascii="Arial" w:cs="Arial" w:eastAsia="Arial" w:hAnsi="Arial"/>
          <w:sz w:val="16"/>
          <w:szCs w:val="16"/>
          <w:color w:val="auto"/>
        </w:rPr>
      </w:pPr>
    </w:p>
    <w:p>
      <w:pPr>
        <w:ind w:right="180" w:firstLine="987"/>
        <w:spacing w:after="0" w:line="301" w:lineRule="auto"/>
        <w:tabs>
          <w:tab w:leader="none" w:pos="1236" w:val="left"/>
        </w:tabs>
        <w:numPr>
          <w:ilvl w:val="0"/>
          <w:numId w:val="292"/>
        </w:numPr>
        <w:rPr>
          <w:rFonts w:ascii="Arial" w:cs="Arial" w:eastAsia="Arial" w:hAnsi="Arial"/>
          <w:sz w:val="16"/>
          <w:szCs w:val="16"/>
          <w:color w:val="auto"/>
        </w:rPr>
      </w:pPr>
      <w:r>
        <w:rPr>
          <w:rFonts w:ascii="Arial" w:cs="Arial" w:eastAsia="Arial" w:hAnsi="Arial"/>
          <w:sz w:val="16"/>
          <w:szCs w:val="16"/>
          <w:color w:val="auto"/>
        </w:rPr>
        <w:t>Notwithstanding the foregoing, to the extent not inconsistent with applicable securities laws, each party hereto (and each of its employees, representatives or other agents) may disclose to any and all Persons, without limitation of any kind, the tax treatment and tax structure (as defined in Section 1.6011-4 of the Treasury Regulations) of the transactions contemplated by the Transaction Documents and all materials of any kind (including opinions or other tax analyses) that are provided to such Person relating to such tax treatment and tax structure.</w:t>
      </w:r>
    </w:p>
    <w:p>
      <w:pPr>
        <w:spacing w:after="0" w:line="157"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u w:val="single" w:color="auto"/>
          <w:color w:val="auto"/>
        </w:rPr>
        <w:t>Mutual Negotiations</w:t>
      </w:r>
      <w:r>
        <w:rPr>
          <w:rFonts w:ascii="Arial" w:cs="Arial" w:eastAsia="Arial" w:hAnsi="Arial"/>
          <w:sz w:val="18"/>
          <w:szCs w:val="18"/>
          <w:color w:val="auto"/>
        </w:rPr>
        <w:t>. This Agreement and the other Transaction Documents are the product of mutual negotiations by the parties thereto and their counsel, and no party shall be deemed the draftsperson of this Agreement or any other Transaction Document or any provision hereof or thereof or to have provided the same. Accordingly, in the event of any inconsistency or ambiguity of any provision of this Agreement or any other Transaction Document, such inconsistency or ambiguity shall not be interpreted against any party because of such party’s involvement in the drafting thereof.</w:t>
      </w:r>
    </w:p>
    <w:p>
      <w:pPr>
        <w:spacing w:after="0" w:line="18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6.18. </w:t>
      </w:r>
      <w:r>
        <w:rPr>
          <w:rFonts w:ascii="Arial" w:cs="Arial" w:eastAsia="Arial" w:hAnsi="Arial"/>
          <w:sz w:val="18"/>
          <w:szCs w:val="18"/>
          <w:u w:val="single" w:color="auto"/>
          <w:color w:val="auto"/>
        </w:rPr>
        <w:t>Credit Agreement</w:t>
      </w:r>
      <w:r>
        <w:rPr>
          <w:rFonts w:ascii="Arial" w:cs="Arial" w:eastAsia="Arial" w:hAnsi="Arial"/>
          <w:sz w:val="18"/>
          <w:szCs w:val="18"/>
          <w:color w:val="auto"/>
        </w:rPr>
        <w:t>. Notwithstanding anything to the contrary set forth herein, each reference to any definition, section or provision in the Credit Agreement shall be a reference thereto without giving effect to any amendments, supplements or other modifications thereto entered into at any time that PNC Bank, National Association is not a party to the Credit Agreement.</w:t>
      </w:r>
    </w:p>
    <w:p>
      <w:pPr>
        <w:spacing w:after="0" w:line="184"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 xml:space="preserve">Section 6.19. </w:t>
      </w:r>
      <w:r>
        <w:rPr>
          <w:rFonts w:ascii="Arial" w:cs="Arial" w:eastAsia="Arial" w:hAnsi="Arial"/>
          <w:sz w:val="17"/>
          <w:szCs w:val="17"/>
          <w:u w:val="single" w:color="auto"/>
          <w:color w:val="auto"/>
        </w:rPr>
        <w:t>USA Patriot Act</w:t>
      </w:r>
      <w:r>
        <w:rPr>
          <w:rFonts w:ascii="Arial" w:cs="Arial" w:eastAsia="Arial" w:hAnsi="Arial"/>
          <w:sz w:val="17"/>
          <w:szCs w:val="17"/>
          <w:color w:val="auto"/>
        </w:rPr>
        <w:t>. Each of the Administrator and each of the other Affected Persons hereby notifies the Seller and the Servicer that pursuant to the requirements of the USA PATRIOT Act, Title III of Pub. L. 107-56 (signed into law October 26,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the Administrator and the other Affected Persons may be required to obtain, verify and record information that identifies the Seller, the Originators and the Servicer, which information includes the name, address, tax identification number and other information regarding the Seller, the Originators and the Servicer that will allow the Administrator and the other Affected Persons to identify the Seller, the Originators and the Servicer in accordance with the PATRIOT Act. This notice is given in accordance with the requirements of the PATRIOT Act. Each of the Seller and the Servicer agrees to provide the Administrator and each other Affected Persons, from time to time, with all documentation and other information required by bank regulatory authorities under “know your customer” and anti-money laundering rules and regulations, including, without limitation, the PATRIOT Act and the Beneficial Ownership Regulation.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74" w:right="479" w:bottom="1440" w:gutter="0" w:footer="0" w:header="0"/>
        </w:sectPr>
      </w:pPr>
    </w:p>
    <w:bookmarkStart w:id="236" w:name="page237"/>
    <w:bookmarkEnd w:id="236"/>
    <w:p>
      <w:pPr>
        <w:ind w:right="18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6.20. </w:t>
      </w:r>
      <w:r>
        <w:rPr>
          <w:rFonts w:ascii="Arial" w:cs="Arial" w:eastAsia="Arial" w:hAnsi="Arial"/>
          <w:sz w:val="16"/>
          <w:szCs w:val="16"/>
          <w:u w:val="single" w:color="auto"/>
          <w:color w:val="auto"/>
        </w:rPr>
        <w:t>Acknowledgement and Consent to Bail-In of Affected Financial Institutions</w:t>
      </w:r>
      <w:r>
        <w:rPr>
          <w:rFonts w:ascii="Arial" w:cs="Arial" w:eastAsia="Arial" w:hAnsi="Arial"/>
          <w:sz w:val="16"/>
          <w:szCs w:val="16"/>
          <w:color w:val="auto"/>
        </w:rPr>
        <w:t>. Notwithstanding anything to the contrary in any Transaction Documents or in any other agreement, arrangement or understanding among any such parties, each party hereto acknowledges that any liability of any Affected Financial Institution arising under any Transaction Document, to the extent such liability is unsecured, may be subject to the Write-Down and Conversion Powers of the applicable Resolution Authority and agrees and consents to, and acknowledges and agrees to be bound by:</w:t>
      </w:r>
    </w:p>
    <w:p>
      <w:pPr>
        <w:spacing w:after="0" w:line="157" w:lineRule="exact"/>
        <w:rPr>
          <w:sz w:val="20"/>
          <w:szCs w:val="20"/>
          <w:color w:val="auto"/>
        </w:rPr>
      </w:pPr>
    </w:p>
    <w:p>
      <w:pPr>
        <w:ind w:right="540" w:firstLine="987"/>
        <w:spacing w:after="0" w:line="277" w:lineRule="auto"/>
        <w:tabs>
          <w:tab w:leader="none" w:pos="123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980" w:right="80" w:firstLine="408"/>
        <w:spacing w:after="0" w:line="259" w:lineRule="auto"/>
        <w:tabs>
          <w:tab w:leader="none" w:pos="1646"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Transaction Document; or</w:t>
      </w:r>
    </w:p>
    <w:p>
      <w:pPr>
        <w:spacing w:after="0" w:line="78" w:lineRule="exact"/>
        <w:rPr>
          <w:rFonts w:ascii="Arial" w:cs="Arial" w:eastAsia="Arial" w:hAnsi="Arial"/>
          <w:sz w:val="18"/>
          <w:szCs w:val="18"/>
          <w:color w:val="auto"/>
        </w:rPr>
      </w:pPr>
    </w:p>
    <w:p>
      <w:pPr>
        <w:ind w:left="980" w:right="400" w:firstLine="408"/>
        <w:spacing w:after="0" w:line="277" w:lineRule="auto"/>
        <w:tabs>
          <w:tab w:leader="none" w:pos="1696"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6.21. </w:t>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 To the extent that the Transaction Documents provide support, through a guarantee or otherwise, for any swap contract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Transaction Documents and any Supported QFC may in fact be stated to be governed by the laws of the State of New York and/or of the United States or any other state of the United States):</w:t>
      </w:r>
    </w:p>
    <w:p>
      <w:pPr>
        <w:spacing w:after="0" w:line="69" w:lineRule="exact"/>
        <w:rPr>
          <w:sz w:val="20"/>
          <w:szCs w:val="20"/>
          <w:color w:val="auto"/>
        </w:rPr>
      </w:pPr>
    </w:p>
    <w:p>
      <w:pPr>
        <w:jc w:val="both"/>
        <w:ind w:right="40" w:firstLine="987"/>
        <w:spacing w:after="0" w:line="275" w:lineRule="auto"/>
        <w:tabs>
          <w:tab w:leader="none" w:pos="1236" w:val="left"/>
        </w:tabs>
        <w:numPr>
          <w:ilvl w:val="0"/>
          <w:numId w:val="294"/>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237" w:name="page238"/>
    <w:bookmarkEnd w:id="237"/>
    <w:p>
      <w:pPr>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in property) were governed by the laws of the United States or a state of the United States. In the event a Covered Party or a BHC Act Affiliate of a Covered Party becomes subject to a proceeding under a U.S. Special Resolution Regime, Default Rights under the Transaction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Transaction Documents were governed by the laws of the United States or a state of the United States. Without limitation of the foregoing, it is understood and agreed that rights and remedies of the parties with respect to a defaulting Purchaser or Purchaser Agent shall in no event affect the rights of any Covered Party with respect to a Supported QFC or any QFC Credit Support.</w:t>
      </w:r>
    </w:p>
    <w:p>
      <w:pPr>
        <w:spacing w:after="0" w:line="17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(b) As used in this </w:t>
      </w:r>
      <w:r>
        <w:rPr>
          <w:rFonts w:ascii="Arial" w:cs="Arial" w:eastAsia="Arial" w:hAnsi="Arial"/>
          <w:sz w:val="18"/>
          <w:szCs w:val="18"/>
          <w:u w:val="single" w:color="auto"/>
          <w:color w:val="auto"/>
        </w:rPr>
        <w:t>Section 6.21</w:t>
      </w:r>
      <w:r>
        <w:rPr>
          <w:rFonts w:ascii="Arial" w:cs="Arial" w:eastAsia="Arial" w:hAnsi="Arial"/>
          <w:sz w:val="18"/>
          <w:szCs w:val="18"/>
          <w:color w:val="auto"/>
        </w:rPr>
        <w:t>, the following terms have the following meanings: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 of such</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jc w:val="center"/>
        <w:ind w:right="3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w:t>
      </w:r>
    </w:p>
    <w:p>
      <w:pPr>
        <w:spacing w:after="0" w:line="23" w:lineRule="exact"/>
        <w:rPr>
          <w:sz w:val="20"/>
          <w:szCs w:val="20"/>
          <w:color w:val="auto"/>
        </w:rPr>
      </w:pPr>
    </w:p>
    <w:p>
      <w:pPr>
        <w:ind w:left="4" w:right="20" w:hanging="4"/>
        <w:spacing w:after="0" w:line="260" w:lineRule="auto"/>
        <w:tabs>
          <w:tab w:leader="none" w:pos="13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252.82(b); (ii) a “covered bank” as that term is defined in, and interpreted in accordance with, 12 C.F.R. § 47.3(b); or (iii) a “covered FSI” as that term is defined in, and interpreted in accordance with, 12 C.F.R. § 382.2(b).</w:t>
      </w:r>
    </w:p>
    <w:p>
      <w:pPr>
        <w:spacing w:after="0" w:line="185"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(D).</w:t>
      </w:r>
    </w:p>
    <w:p>
      <w:pPr>
        <w:spacing w:after="0" w:line="2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4"/>
          </w:cols>
          <w:pgMar w:left="436" w:top="274" w:right="479" w:bottom="1440" w:gutter="0" w:footer="0" w:header="0"/>
        </w:sectPr>
      </w:pPr>
    </w:p>
    <w:bookmarkStart w:id="238" w:name="page239"/>
    <w:bookmarkEnd w:id="238"/>
    <w:p>
      <w:pPr>
        <w:ind w:right="26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parties have caused this Agreement to be executed by their respective officers thereunto duly authorized,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first above written.</w:t>
      </w:r>
    </w:p>
    <w:p>
      <w:pPr>
        <w:spacing w:after="0" w:line="193"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WESCO RECEIVABLES CORP.,</w:t>
            </w:r>
          </w:p>
        </w:tc>
      </w:tr>
      <w:tr>
        <w:trPr>
          <w:trHeight w:val="230"/>
        </w:trPr>
        <w:tc>
          <w:tcPr>
            <w:tcW w:w="620" w:type="dxa"/>
            <w:vAlign w:val="bottom"/>
          </w:tcPr>
          <w:p>
            <w:pPr>
              <w:spacing w:after="0"/>
              <w:rPr>
                <w:sz w:val="20"/>
                <w:szCs w:val="20"/>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as Seller</w:t>
            </w:r>
          </w:p>
        </w:tc>
      </w:tr>
      <w:tr>
        <w:trPr>
          <w:trHeight w:val="432"/>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By:</w:t>
            </w:r>
          </w:p>
        </w:tc>
      </w:tr>
      <w:tr>
        <w:trPr>
          <w:trHeight w:val="223"/>
        </w:trPr>
        <w:tc>
          <w:tcPr>
            <w:tcW w:w="620" w:type="dxa"/>
            <w:vAlign w:val="bottom"/>
          </w:tcPr>
          <w:p>
            <w:pPr>
              <w:spacing w:after="0"/>
              <w:rPr>
                <w:sz w:val="19"/>
                <w:szCs w:val="19"/>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Name:</w:t>
            </w:r>
          </w:p>
        </w:tc>
        <w:tc>
          <w:tcPr>
            <w:tcW w:w="38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25"/>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WESCO DISTRIBUTION, INC.,</w:t>
            </w:r>
          </w:p>
        </w:tc>
      </w:tr>
      <w:tr>
        <w:trPr>
          <w:trHeight w:val="230"/>
        </w:trPr>
        <w:tc>
          <w:tcPr>
            <w:tcW w:w="620" w:type="dxa"/>
            <w:vAlign w:val="bottom"/>
          </w:tcPr>
          <w:p>
            <w:pPr>
              <w:spacing w:after="0"/>
              <w:rPr>
                <w:sz w:val="20"/>
                <w:szCs w:val="20"/>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as Servicer</w:t>
            </w:r>
          </w:p>
        </w:tc>
      </w:tr>
      <w:tr>
        <w:trPr>
          <w:trHeight w:val="432"/>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By:</w:t>
            </w:r>
          </w:p>
        </w:tc>
      </w:tr>
      <w:tr>
        <w:trPr>
          <w:trHeight w:val="223"/>
        </w:trPr>
        <w:tc>
          <w:tcPr>
            <w:tcW w:w="620" w:type="dxa"/>
            <w:vAlign w:val="bottom"/>
          </w:tcPr>
          <w:p>
            <w:pPr>
              <w:spacing w:after="0"/>
              <w:rPr>
                <w:sz w:val="19"/>
                <w:szCs w:val="19"/>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Name:</w:t>
            </w:r>
          </w:p>
        </w:tc>
        <w:tc>
          <w:tcPr>
            <w:tcW w:w="38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357"/>
        </w:trPr>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Fifth Amended and Restated</w:t>
            </w:r>
          </w:p>
        </w:tc>
      </w:tr>
      <w:tr>
        <w:trPr>
          <w:trHeight w:val="244"/>
        </w:trPr>
        <w:tc>
          <w:tcPr>
            <w:tcW w:w="620" w:type="dxa"/>
            <w:vAlign w:val="bottom"/>
          </w:tcPr>
          <w:p>
            <w:pPr>
              <w:spacing w:after="0"/>
              <w:rPr>
                <w:sz w:val="20"/>
                <w:szCs w:val="20"/>
                <w:color w:val="auto"/>
              </w:rPr>
            </w:pPr>
            <w:r>
              <w:rPr>
                <w:rFonts w:ascii="Arial" w:cs="Arial" w:eastAsia="Arial" w:hAnsi="Arial"/>
                <w:sz w:val="18"/>
                <w:szCs w:val="18"/>
                <w:color w:val="auto"/>
              </w:rPr>
              <w:t>S-1</w:t>
            </w:r>
          </w:p>
        </w:tc>
        <w:tc>
          <w:tcPr>
            <w:tcW w:w="960" w:type="dxa"/>
            <w:vAlign w:val="bottom"/>
          </w:tcPr>
          <w:p>
            <w:pPr>
              <w:spacing w:after="0"/>
              <w:rPr>
                <w:sz w:val="21"/>
                <w:szCs w:val="21"/>
                <w:color w:val="auto"/>
              </w:rPr>
            </w:pPr>
          </w:p>
        </w:tc>
        <w:tc>
          <w:tcPr>
            <w:tcW w:w="38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Receivables Purchase Agreement</w:t>
            </w:r>
          </w:p>
        </w:tc>
      </w:tr>
    </w:tbl>
    <w:p>
      <w:pPr>
        <w:sectPr>
          <w:pgSz w:w="11900" w:h="16838" w:orient="portrait"/>
          <w:cols w:equalWidth="0" w:num="1">
            <w:col w:w="11020"/>
          </w:cols>
          <w:pgMar w:left="440" w:top="270" w:right="439" w:bottom="1440" w:gutter="0" w:footer="0" w:header="0"/>
        </w:sectPr>
      </w:pPr>
    </w:p>
    <w:bookmarkStart w:id="239" w:name="page240"/>
    <w:bookmarkEnd w:id="2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62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PNC BANK, NATIONAL ASSOCIATION,</w:t>
            </w:r>
          </w:p>
        </w:tc>
      </w:tr>
      <w:tr>
        <w:trPr>
          <w:trHeight w:val="230"/>
        </w:trPr>
        <w:tc>
          <w:tcPr>
            <w:tcW w:w="620" w:type="dxa"/>
            <w:vAlign w:val="bottom"/>
          </w:tcPr>
          <w:p>
            <w:pPr>
              <w:spacing w:after="0"/>
              <w:rPr>
                <w:sz w:val="20"/>
                <w:szCs w:val="20"/>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as a Committed Purchaser</w:t>
            </w:r>
          </w:p>
        </w:tc>
      </w:tr>
      <w:tr>
        <w:trPr>
          <w:trHeight w:val="432"/>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By:</w:t>
            </w: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4"/>
              </w:rPr>
              <w:t>Name:</w:t>
            </w:r>
          </w:p>
        </w:tc>
        <w:tc>
          <w:tcPr>
            <w:tcW w:w="3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PNC BANK, NATIONAL ASSOCIATION,</w:t>
            </w:r>
          </w:p>
        </w:tc>
      </w:tr>
      <w:tr>
        <w:trPr>
          <w:trHeight w:val="230"/>
        </w:trPr>
        <w:tc>
          <w:tcPr>
            <w:tcW w:w="620" w:type="dxa"/>
            <w:vAlign w:val="bottom"/>
          </w:tcPr>
          <w:p>
            <w:pPr>
              <w:spacing w:after="0"/>
              <w:rPr>
                <w:sz w:val="20"/>
                <w:szCs w:val="20"/>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w w:val="98"/>
              </w:rPr>
              <w:t>as Purchaser Agent for PNC Bank, National Association</w:t>
            </w:r>
          </w:p>
        </w:tc>
      </w:tr>
      <w:tr>
        <w:trPr>
          <w:trHeight w:val="432"/>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By:</w:t>
            </w:r>
          </w:p>
        </w:tc>
      </w:tr>
      <w:tr>
        <w:trPr>
          <w:trHeight w:val="210"/>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4"/>
              </w:rPr>
              <w:t>Name:</w:t>
            </w:r>
          </w:p>
        </w:tc>
        <w:tc>
          <w:tcPr>
            <w:tcW w:w="3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PNC BANK, NATIONAL ASSOCIATION,</w:t>
            </w:r>
          </w:p>
        </w:tc>
      </w:tr>
      <w:tr>
        <w:trPr>
          <w:trHeight w:val="230"/>
        </w:trPr>
        <w:tc>
          <w:tcPr>
            <w:tcW w:w="620" w:type="dxa"/>
            <w:vAlign w:val="bottom"/>
          </w:tcPr>
          <w:p>
            <w:pPr>
              <w:spacing w:after="0"/>
              <w:rPr>
                <w:sz w:val="20"/>
                <w:szCs w:val="20"/>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as Administrator</w:t>
            </w:r>
          </w:p>
        </w:tc>
      </w:tr>
      <w:tr>
        <w:trPr>
          <w:trHeight w:val="432"/>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By:</w:t>
            </w:r>
          </w:p>
        </w:tc>
      </w:tr>
      <w:tr>
        <w:trPr>
          <w:trHeight w:val="210"/>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4"/>
              </w:rPr>
              <w:t>Name:</w:t>
            </w:r>
          </w:p>
        </w:tc>
        <w:tc>
          <w:tcPr>
            <w:tcW w:w="3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44"/>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Fifth Amended and Restated</w:t>
            </w:r>
          </w:p>
        </w:tc>
      </w:tr>
      <w:tr>
        <w:trPr>
          <w:trHeight w:val="244"/>
        </w:trPr>
        <w:tc>
          <w:tcPr>
            <w:tcW w:w="620" w:type="dxa"/>
            <w:vAlign w:val="bottom"/>
          </w:tcPr>
          <w:p>
            <w:pPr>
              <w:spacing w:after="0"/>
              <w:rPr>
                <w:sz w:val="20"/>
                <w:szCs w:val="20"/>
                <w:color w:val="auto"/>
              </w:rPr>
            </w:pPr>
            <w:r>
              <w:rPr>
                <w:rFonts w:ascii="Arial" w:cs="Arial" w:eastAsia="Arial" w:hAnsi="Arial"/>
                <w:sz w:val="18"/>
                <w:szCs w:val="18"/>
                <w:color w:val="auto"/>
              </w:rPr>
              <w:t>S-2</w:t>
            </w:r>
          </w:p>
        </w:tc>
        <w:tc>
          <w:tcPr>
            <w:tcW w:w="900" w:type="dxa"/>
            <w:vAlign w:val="bottom"/>
          </w:tcPr>
          <w:p>
            <w:pPr>
              <w:spacing w:after="0"/>
              <w:rPr>
                <w:sz w:val="21"/>
                <w:szCs w:val="21"/>
                <w:color w:val="auto"/>
              </w:rPr>
            </w:pPr>
          </w:p>
        </w:tc>
        <w:tc>
          <w:tcPr>
            <w:tcW w:w="3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Receivables Purchase Agreement</w:t>
            </w:r>
          </w:p>
        </w:tc>
      </w:tr>
    </w:tbl>
    <w:p>
      <w:pPr>
        <w:sectPr>
          <w:pgSz w:w="11900" w:h="16838" w:orient="portrait"/>
          <w:cols w:equalWidth="0" w:num="1">
            <w:col w:w="10020"/>
          </w:cols>
          <w:pgMar w:left="1440" w:top="274" w:right="439" w:bottom="1440" w:gutter="0" w:footer="0" w:header="0"/>
        </w:sectPr>
      </w:pPr>
    </w:p>
    <w:bookmarkStart w:id="240" w:name="page241"/>
    <w:bookmarkEnd w:id="2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62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w w:val="96"/>
              </w:rPr>
              <w:t>WELLS FARGO BANK, NATIONAL ASSOCIATION, as a</w:t>
            </w:r>
          </w:p>
        </w:tc>
      </w:tr>
      <w:tr>
        <w:trPr>
          <w:trHeight w:val="230"/>
        </w:trPr>
        <w:tc>
          <w:tcPr>
            <w:tcW w:w="620" w:type="dxa"/>
            <w:vAlign w:val="bottom"/>
          </w:tcPr>
          <w:p>
            <w:pPr>
              <w:spacing w:after="0"/>
              <w:rPr>
                <w:sz w:val="20"/>
                <w:szCs w:val="20"/>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Committed Purchaser</w:t>
            </w:r>
          </w:p>
        </w:tc>
      </w:tr>
      <w:tr>
        <w:trPr>
          <w:trHeight w:val="432"/>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By:</w:t>
            </w: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4"/>
              </w:rPr>
              <w:t>Name:</w:t>
            </w:r>
          </w:p>
        </w:tc>
        <w:tc>
          <w:tcPr>
            <w:tcW w:w="3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w w:val="99"/>
              </w:rPr>
              <w:t>WELLS FARGO BANK, NATIONAL ASSOCIATION, as</w:t>
            </w:r>
          </w:p>
        </w:tc>
      </w:tr>
      <w:tr>
        <w:trPr>
          <w:trHeight w:val="230"/>
        </w:trPr>
        <w:tc>
          <w:tcPr>
            <w:tcW w:w="620" w:type="dxa"/>
            <w:vAlign w:val="bottom"/>
          </w:tcPr>
          <w:p>
            <w:pPr>
              <w:spacing w:after="0"/>
              <w:rPr>
                <w:sz w:val="20"/>
                <w:szCs w:val="20"/>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w w:val="91"/>
              </w:rPr>
              <w:t>Purchaser Agent for Wells Fargo Bank, National Association</w:t>
            </w:r>
          </w:p>
        </w:tc>
      </w:tr>
      <w:tr>
        <w:trPr>
          <w:trHeight w:val="432"/>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By:</w:t>
            </w: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4"/>
              </w:rPr>
              <w:t>Name:</w:t>
            </w:r>
          </w:p>
        </w:tc>
        <w:tc>
          <w:tcPr>
            <w:tcW w:w="3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44"/>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Fifth Amended and Restated</w:t>
            </w:r>
          </w:p>
        </w:tc>
      </w:tr>
      <w:tr>
        <w:trPr>
          <w:trHeight w:val="244"/>
        </w:trPr>
        <w:tc>
          <w:tcPr>
            <w:tcW w:w="620" w:type="dxa"/>
            <w:vAlign w:val="bottom"/>
          </w:tcPr>
          <w:p>
            <w:pPr>
              <w:spacing w:after="0"/>
              <w:rPr>
                <w:sz w:val="20"/>
                <w:szCs w:val="20"/>
                <w:color w:val="auto"/>
              </w:rPr>
            </w:pPr>
            <w:r>
              <w:rPr>
                <w:rFonts w:ascii="Arial" w:cs="Arial" w:eastAsia="Arial" w:hAnsi="Arial"/>
                <w:sz w:val="18"/>
                <w:szCs w:val="18"/>
                <w:color w:val="auto"/>
              </w:rPr>
              <w:t>S-3</w:t>
            </w:r>
          </w:p>
        </w:tc>
        <w:tc>
          <w:tcPr>
            <w:tcW w:w="900" w:type="dxa"/>
            <w:vAlign w:val="bottom"/>
          </w:tcPr>
          <w:p>
            <w:pPr>
              <w:spacing w:after="0"/>
              <w:rPr>
                <w:sz w:val="21"/>
                <w:szCs w:val="21"/>
                <w:color w:val="auto"/>
              </w:rPr>
            </w:pPr>
          </w:p>
        </w:tc>
        <w:tc>
          <w:tcPr>
            <w:tcW w:w="3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Receivables Purchase Agreement</w:t>
            </w:r>
          </w:p>
        </w:tc>
      </w:tr>
    </w:tbl>
    <w:p>
      <w:pPr>
        <w:sectPr>
          <w:pgSz w:w="11900" w:h="16838" w:orient="portrait"/>
          <w:cols w:equalWidth="0" w:num="1">
            <w:col w:w="10020"/>
          </w:cols>
          <w:pgMar w:left="1440" w:top="274" w:right="439" w:bottom="1440" w:gutter="0" w:footer="0" w:header="0"/>
        </w:sectPr>
      </w:pPr>
    </w:p>
    <w:bookmarkStart w:id="241" w:name="page242"/>
    <w:bookmarkEnd w:id="2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62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FIFTH THIRD BANK, NATIONAL ASSOCIATION, as a</w:t>
            </w:r>
          </w:p>
        </w:tc>
      </w:tr>
      <w:tr>
        <w:trPr>
          <w:trHeight w:val="230"/>
        </w:trPr>
        <w:tc>
          <w:tcPr>
            <w:tcW w:w="620" w:type="dxa"/>
            <w:vAlign w:val="bottom"/>
          </w:tcPr>
          <w:p>
            <w:pPr>
              <w:spacing w:after="0"/>
              <w:rPr>
                <w:sz w:val="20"/>
                <w:szCs w:val="20"/>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Committed Purchaser</w:t>
            </w:r>
          </w:p>
        </w:tc>
      </w:tr>
      <w:tr>
        <w:trPr>
          <w:trHeight w:val="432"/>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By:</w:t>
            </w: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4"/>
              </w:rPr>
              <w:t>Name:</w:t>
            </w:r>
          </w:p>
        </w:tc>
        <w:tc>
          <w:tcPr>
            <w:tcW w:w="3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FIFTH THIRD BANK, NATIONAL ASSOCIATION,</w:t>
            </w:r>
          </w:p>
        </w:tc>
      </w:tr>
      <w:tr>
        <w:trPr>
          <w:trHeight w:val="216"/>
        </w:trPr>
        <w:tc>
          <w:tcPr>
            <w:tcW w:w="620" w:type="dxa"/>
            <w:vAlign w:val="bottom"/>
          </w:tcPr>
          <w:p>
            <w:pPr>
              <w:spacing w:after="0"/>
              <w:rPr>
                <w:sz w:val="18"/>
                <w:szCs w:val="18"/>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as Purchaser Agent for Fifth Third Bank, National</w:t>
            </w:r>
          </w:p>
        </w:tc>
      </w:tr>
      <w:tr>
        <w:trPr>
          <w:trHeight w:val="230"/>
        </w:trPr>
        <w:tc>
          <w:tcPr>
            <w:tcW w:w="620" w:type="dxa"/>
            <w:vAlign w:val="bottom"/>
          </w:tcPr>
          <w:p>
            <w:pPr>
              <w:spacing w:after="0"/>
              <w:rPr>
                <w:sz w:val="20"/>
                <w:szCs w:val="20"/>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Association</w:t>
            </w:r>
          </w:p>
        </w:tc>
      </w:tr>
      <w:tr>
        <w:trPr>
          <w:trHeight w:val="432"/>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By:</w:t>
            </w: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4"/>
              </w:rPr>
              <w:t>Name:</w:t>
            </w:r>
          </w:p>
        </w:tc>
        <w:tc>
          <w:tcPr>
            <w:tcW w:w="3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44"/>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Fifth Amended and Restated</w:t>
            </w:r>
          </w:p>
        </w:tc>
      </w:tr>
      <w:tr>
        <w:trPr>
          <w:trHeight w:val="244"/>
        </w:trPr>
        <w:tc>
          <w:tcPr>
            <w:tcW w:w="620" w:type="dxa"/>
            <w:vAlign w:val="bottom"/>
          </w:tcPr>
          <w:p>
            <w:pPr>
              <w:spacing w:after="0"/>
              <w:rPr>
                <w:sz w:val="20"/>
                <w:szCs w:val="20"/>
                <w:color w:val="auto"/>
              </w:rPr>
            </w:pPr>
            <w:r>
              <w:rPr>
                <w:rFonts w:ascii="Arial" w:cs="Arial" w:eastAsia="Arial" w:hAnsi="Arial"/>
                <w:sz w:val="18"/>
                <w:szCs w:val="18"/>
                <w:color w:val="auto"/>
              </w:rPr>
              <w:t>S-4</w:t>
            </w:r>
          </w:p>
        </w:tc>
        <w:tc>
          <w:tcPr>
            <w:tcW w:w="900" w:type="dxa"/>
            <w:vAlign w:val="bottom"/>
          </w:tcPr>
          <w:p>
            <w:pPr>
              <w:spacing w:after="0"/>
              <w:rPr>
                <w:sz w:val="21"/>
                <w:szCs w:val="21"/>
                <w:color w:val="auto"/>
              </w:rPr>
            </w:pPr>
          </w:p>
        </w:tc>
        <w:tc>
          <w:tcPr>
            <w:tcW w:w="3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Receivables Purchase Agreement</w:t>
            </w:r>
          </w:p>
        </w:tc>
      </w:tr>
    </w:tbl>
    <w:p>
      <w:pPr>
        <w:sectPr>
          <w:pgSz w:w="11900" w:h="16838" w:orient="portrait"/>
          <w:cols w:equalWidth="0" w:num="1">
            <w:col w:w="10020"/>
          </w:cols>
          <w:pgMar w:left="1440" w:top="274" w:right="439" w:bottom="1440" w:gutter="0" w:footer="0" w:header="0"/>
        </w:sectPr>
      </w:pPr>
    </w:p>
    <w:bookmarkStart w:id="242" w:name="page243"/>
    <w:bookmarkEnd w:id="24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LIBERTY STREET FUNDING LLC, as a Conduit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Purchaser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599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22860</wp:posOffset>
            </wp:positionV>
            <wp:extent cx="24599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-121920</wp:posOffset>
            </wp:positionV>
            <wp:extent cx="24599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8"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w w:val="93"/>
              </w:rPr>
              <w:t>THE BANK OF NOVA SCOTIA, as a Committed Purchaser</w:t>
            </w:r>
          </w:p>
        </w:tc>
      </w:tr>
      <w:tr>
        <w:trPr>
          <w:trHeight w:val="432"/>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By:</w:t>
            </w:r>
          </w:p>
        </w:tc>
      </w:tr>
      <w:tr>
        <w:trPr>
          <w:trHeight w:val="210"/>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4"/>
              </w:rPr>
              <w:t>Name:</w:t>
            </w:r>
          </w:p>
        </w:tc>
        <w:tc>
          <w:tcPr>
            <w:tcW w:w="3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w w:val="99"/>
              </w:rPr>
              <w:t>THE BANK OF NOVA SCOTIA, as Purchaser Agent for</w:t>
            </w:r>
          </w:p>
        </w:tc>
      </w:tr>
      <w:tr>
        <w:trPr>
          <w:trHeight w:val="230"/>
        </w:trPr>
        <w:tc>
          <w:tcPr>
            <w:tcW w:w="620" w:type="dxa"/>
            <w:vAlign w:val="bottom"/>
          </w:tcPr>
          <w:p>
            <w:pPr>
              <w:spacing w:after="0"/>
              <w:rPr>
                <w:sz w:val="20"/>
                <w:szCs w:val="20"/>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w w:val="96"/>
              </w:rPr>
              <w:t>The Bank of Nova Scotia and Liberty Street Funding LLC</w:t>
            </w:r>
          </w:p>
        </w:tc>
      </w:tr>
      <w:tr>
        <w:trPr>
          <w:trHeight w:val="432"/>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By:</w:t>
            </w: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4"/>
              </w:rPr>
              <w:t>Name:</w:t>
            </w:r>
          </w:p>
        </w:tc>
        <w:tc>
          <w:tcPr>
            <w:tcW w:w="3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44"/>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Fifth Amended and Restated</w:t>
            </w:r>
          </w:p>
        </w:tc>
      </w:tr>
      <w:tr>
        <w:trPr>
          <w:trHeight w:val="244"/>
        </w:trPr>
        <w:tc>
          <w:tcPr>
            <w:tcW w:w="620" w:type="dxa"/>
            <w:vAlign w:val="bottom"/>
          </w:tcPr>
          <w:p>
            <w:pPr>
              <w:spacing w:after="0"/>
              <w:rPr>
                <w:sz w:val="20"/>
                <w:szCs w:val="20"/>
                <w:color w:val="auto"/>
              </w:rPr>
            </w:pPr>
            <w:r>
              <w:rPr>
                <w:rFonts w:ascii="Arial" w:cs="Arial" w:eastAsia="Arial" w:hAnsi="Arial"/>
                <w:sz w:val="18"/>
                <w:szCs w:val="18"/>
                <w:color w:val="auto"/>
              </w:rPr>
              <w:t>S-5</w:t>
            </w:r>
          </w:p>
        </w:tc>
        <w:tc>
          <w:tcPr>
            <w:tcW w:w="900" w:type="dxa"/>
            <w:vAlign w:val="bottom"/>
          </w:tcPr>
          <w:p>
            <w:pPr>
              <w:spacing w:after="0"/>
              <w:rPr>
                <w:sz w:val="21"/>
                <w:szCs w:val="21"/>
                <w:color w:val="auto"/>
              </w:rPr>
            </w:pPr>
          </w:p>
        </w:tc>
        <w:tc>
          <w:tcPr>
            <w:tcW w:w="3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Receivables Purchase Agreement</w:t>
            </w:r>
          </w:p>
        </w:tc>
      </w:tr>
    </w:tbl>
    <w:p>
      <w:pPr>
        <w:sectPr>
          <w:pgSz w:w="11900" w:h="16838" w:orient="portrait"/>
          <w:cols w:equalWidth="0" w:num="1">
            <w:col w:w="10020"/>
          </w:cols>
          <w:pgMar w:left="1440" w:top="274" w:right="439" w:bottom="1440" w:gutter="0" w:footer="0" w:header="0"/>
        </w:sectPr>
      </w:pPr>
    </w:p>
    <w:bookmarkStart w:id="243" w:name="page244"/>
    <w:bookmarkEnd w:id="2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62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w w:val="99"/>
              </w:rPr>
              <w:t>COMPUTERSHARE TRUST COMPANY OF CANADA,</w:t>
            </w:r>
          </w:p>
        </w:tc>
      </w:tr>
      <w:tr>
        <w:trPr>
          <w:trHeight w:val="216"/>
        </w:trPr>
        <w:tc>
          <w:tcPr>
            <w:tcW w:w="620" w:type="dxa"/>
            <w:vAlign w:val="bottom"/>
          </w:tcPr>
          <w:p>
            <w:pPr>
              <w:spacing w:after="0"/>
              <w:rPr>
                <w:sz w:val="18"/>
                <w:szCs w:val="18"/>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w w:val="97"/>
              </w:rPr>
              <w:t>in its capacity as trustee of RELIANT TRUST, by its U.S.</w:t>
            </w:r>
          </w:p>
        </w:tc>
      </w:tr>
      <w:tr>
        <w:trPr>
          <w:trHeight w:val="216"/>
        </w:trPr>
        <w:tc>
          <w:tcPr>
            <w:tcW w:w="620" w:type="dxa"/>
            <w:vAlign w:val="bottom"/>
          </w:tcPr>
          <w:p>
            <w:pPr>
              <w:spacing w:after="0"/>
              <w:rPr>
                <w:sz w:val="18"/>
                <w:szCs w:val="18"/>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Financial Services Agent, THE TORONTO-DOMINION</w:t>
            </w:r>
          </w:p>
        </w:tc>
      </w:tr>
      <w:tr>
        <w:trPr>
          <w:trHeight w:val="216"/>
        </w:trPr>
        <w:tc>
          <w:tcPr>
            <w:tcW w:w="620" w:type="dxa"/>
            <w:vAlign w:val="bottom"/>
          </w:tcPr>
          <w:p>
            <w:pPr>
              <w:spacing w:after="0"/>
              <w:rPr>
                <w:sz w:val="18"/>
                <w:szCs w:val="18"/>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BANK, as a Conduit</w:t>
            </w:r>
          </w:p>
        </w:tc>
      </w:tr>
      <w:tr>
        <w:trPr>
          <w:trHeight w:val="230"/>
        </w:trPr>
        <w:tc>
          <w:tcPr>
            <w:tcW w:w="620" w:type="dxa"/>
            <w:vAlign w:val="bottom"/>
          </w:tcPr>
          <w:p>
            <w:pPr>
              <w:spacing w:after="0"/>
              <w:rPr>
                <w:sz w:val="20"/>
                <w:szCs w:val="20"/>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Purchaser</w:t>
            </w:r>
          </w:p>
        </w:tc>
      </w:tr>
      <w:tr>
        <w:trPr>
          <w:trHeight w:val="432"/>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By:</w:t>
            </w:r>
          </w:p>
        </w:tc>
      </w:tr>
      <w:tr>
        <w:trPr>
          <w:trHeight w:val="210"/>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4"/>
              </w:rPr>
              <w:t>Name:</w:t>
            </w:r>
          </w:p>
        </w:tc>
        <w:tc>
          <w:tcPr>
            <w:tcW w:w="3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THE TORONTO-DOMINION BANK,</w:t>
            </w:r>
          </w:p>
        </w:tc>
      </w:tr>
      <w:tr>
        <w:trPr>
          <w:trHeight w:val="230"/>
        </w:trPr>
        <w:tc>
          <w:tcPr>
            <w:tcW w:w="620" w:type="dxa"/>
            <w:vAlign w:val="bottom"/>
          </w:tcPr>
          <w:p>
            <w:pPr>
              <w:spacing w:after="0"/>
              <w:rPr>
                <w:sz w:val="20"/>
                <w:szCs w:val="20"/>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as a Committed Purchaser</w:t>
            </w:r>
          </w:p>
        </w:tc>
      </w:tr>
      <w:tr>
        <w:trPr>
          <w:trHeight w:val="432"/>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By:</w:t>
            </w:r>
          </w:p>
        </w:tc>
      </w:tr>
      <w:tr>
        <w:trPr>
          <w:trHeight w:val="210"/>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4"/>
              </w:rPr>
              <w:t>Name:</w:t>
            </w:r>
          </w:p>
        </w:tc>
        <w:tc>
          <w:tcPr>
            <w:tcW w:w="3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THE TORONTO-DOMINION BANK,</w:t>
            </w:r>
          </w:p>
        </w:tc>
      </w:tr>
      <w:tr>
        <w:trPr>
          <w:trHeight w:val="216"/>
        </w:trPr>
        <w:tc>
          <w:tcPr>
            <w:tcW w:w="620" w:type="dxa"/>
            <w:vAlign w:val="bottom"/>
          </w:tcPr>
          <w:p>
            <w:pPr>
              <w:spacing w:after="0"/>
              <w:rPr>
                <w:sz w:val="18"/>
                <w:szCs w:val="18"/>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w w:val="97"/>
              </w:rPr>
              <w:t>as Purchaser Agent for The Toronto-Dominion Bank and</w:t>
            </w:r>
          </w:p>
        </w:tc>
      </w:tr>
      <w:tr>
        <w:trPr>
          <w:trHeight w:val="230"/>
        </w:trPr>
        <w:tc>
          <w:tcPr>
            <w:tcW w:w="620" w:type="dxa"/>
            <w:vAlign w:val="bottom"/>
          </w:tcPr>
          <w:p>
            <w:pPr>
              <w:spacing w:after="0"/>
              <w:rPr>
                <w:sz w:val="20"/>
                <w:szCs w:val="20"/>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Reliant Trust</w:t>
            </w:r>
          </w:p>
        </w:tc>
      </w:tr>
      <w:tr>
        <w:trPr>
          <w:trHeight w:val="432"/>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By:</w:t>
            </w: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4"/>
              </w:rPr>
              <w:t>Name:</w:t>
            </w:r>
          </w:p>
        </w:tc>
        <w:tc>
          <w:tcPr>
            <w:tcW w:w="3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44"/>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Fifth Amended and Restated</w:t>
            </w:r>
          </w:p>
        </w:tc>
      </w:tr>
      <w:tr>
        <w:trPr>
          <w:trHeight w:val="244"/>
        </w:trPr>
        <w:tc>
          <w:tcPr>
            <w:tcW w:w="620" w:type="dxa"/>
            <w:vAlign w:val="bottom"/>
          </w:tcPr>
          <w:p>
            <w:pPr>
              <w:spacing w:after="0"/>
              <w:rPr>
                <w:sz w:val="20"/>
                <w:szCs w:val="20"/>
                <w:color w:val="auto"/>
              </w:rPr>
            </w:pPr>
            <w:r>
              <w:rPr>
                <w:rFonts w:ascii="Arial" w:cs="Arial" w:eastAsia="Arial" w:hAnsi="Arial"/>
                <w:sz w:val="18"/>
                <w:szCs w:val="18"/>
                <w:color w:val="auto"/>
              </w:rPr>
              <w:t>S-6</w:t>
            </w:r>
          </w:p>
        </w:tc>
        <w:tc>
          <w:tcPr>
            <w:tcW w:w="900" w:type="dxa"/>
            <w:vAlign w:val="bottom"/>
          </w:tcPr>
          <w:p>
            <w:pPr>
              <w:spacing w:after="0"/>
              <w:rPr>
                <w:sz w:val="21"/>
                <w:szCs w:val="21"/>
                <w:color w:val="auto"/>
              </w:rPr>
            </w:pPr>
          </w:p>
        </w:tc>
        <w:tc>
          <w:tcPr>
            <w:tcW w:w="3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Receivables Purchase Agreement</w:t>
            </w:r>
          </w:p>
        </w:tc>
      </w:tr>
    </w:tbl>
    <w:p>
      <w:pPr>
        <w:sectPr>
          <w:pgSz w:w="11900" w:h="16838" w:orient="portrait"/>
          <w:cols w:equalWidth="0" w:num="1">
            <w:col w:w="10020"/>
          </w:cols>
          <w:pgMar w:left="1440" w:top="274" w:right="439" w:bottom="1440" w:gutter="0" w:footer="0" w:header="0"/>
        </w:sectPr>
      </w:pPr>
    </w:p>
    <w:bookmarkStart w:id="244" w:name="page245"/>
    <w:bookmarkEnd w:id="2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62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BANK OF AMERICA, NATIONAL ASSOCATION, as a</w:t>
            </w:r>
          </w:p>
        </w:tc>
      </w:tr>
      <w:tr>
        <w:trPr>
          <w:trHeight w:val="230"/>
        </w:trPr>
        <w:tc>
          <w:tcPr>
            <w:tcW w:w="620" w:type="dxa"/>
            <w:vAlign w:val="bottom"/>
          </w:tcPr>
          <w:p>
            <w:pPr>
              <w:spacing w:after="0"/>
              <w:rPr>
                <w:sz w:val="20"/>
                <w:szCs w:val="20"/>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Committed Purchaser</w:t>
            </w:r>
          </w:p>
        </w:tc>
      </w:tr>
      <w:tr>
        <w:trPr>
          <w:trHeight w:val="432"/>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By:</w:t>
            </w: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4"/>
              </w:rPr>
              <w:t>Name:</w:t>
            </w:r>
          </w:p>
        </w:tc>
        <w:tc>
          <w:tcPr>
            <w:tcW w:w="3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BANK OF AMERICA, NATIONAL ASSOCATION, as a</w:t>
            </w:r>
          </w:p>
        </w:tc>
      </w:tr>
      <w:tr>
        <w:trPr>
          <w:trHeight w:val="230"/>
        </w:trPr>
        <w:tc>
          <w:tcPr>
            <w:tcW w:w="620" w:type="dxa"/>
            <w:vAlign w:val="bottom"/>
          </w:tcPr>
          <w:p>
            <w:pPr>
              <w:spacing w:after="0"/>
              <w:rPr>
                <w:sz w:val="20"/>
                <w:szCs w:val="20"/>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Purchaser Agent for Bank of America, N.A.</w:t>
            </w:r>
          </w:p>
        </w:tc>
      </w:tr>
      <w:tr>
        <w:trPr>
          <w:trHeight w:val="432"/>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By:</w:t>
            </w: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4"/>
              </w:rPr>
              <w:t>Name:</w:t>
            </w:r>
          </w:p>
        </w:tc>
        <w:tc>
          <w:tcPr>
            <w:tcW w:w="3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44"/>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Fifth Amended and Restated</w:t>
            </w:r>
          </w:p>
        </w:tc>
      </w:tr>
      <w:tr>
        <w:trPr>
          <w:trHeight w:val="244"/>
        </w:trPr>
        <w:tc>
          <w:tcPr>
            <w:tcW w:w="620" w:type="dxa"/>
            <w:vAlign w:val="bottom"/>
          </w:tcPr>
          <w:p>
            <w:pPr>
              <w:spacing w:after="0"/>
              <w:rPr>
                <w:sz w:val="20"/>
                <w:szCs w:val="20"/>
                <w:color w:val="auto"/>
              </w:rPr>
            </w:pPr>
            <w:r>
              <w:rPr>
                <w:rFonts w:ascii="Arial" w:cs="Arial" w:eastAsia="Arial" w:hAnsi="Arial"/>
                <w:sz w:val="18"/>
                <w:szCs w:val="18"/>
                <w:color w:val="auto"/>
              </w:rPr>
              <w:t>S-7</w:t>
            </w:r>
          </w:p>
        </w:tc>
        <w:tc>
          <w:tcPr>
            <w:tcW w:w="900" w:type="dxa"/>
            <w:vAlign w:val="bottom"/>
          </w:tcPr>
          <w:p>
            <w:pPr>
              <w:spacing w:after="0"/>
              <w:rPr>
                <w:sz w:val="21"/>
                <w:szCs w:val="21"/>
                <w:color w:val="auto"/>
              </w:rPr>
            </w:pPr>
          </w:p>
        </w:tc>
        <w:tc>
          <w:tcPr>
            <w:tcW w:w="3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Receivables Purchase Agreement</w:t>
            </w:r>
          </w:p>
        </w:tc>
      </w:tr>
    </w:tbl>
    <w:p>
      <w:pPr>
        <w:sectPr>
          <w:pgSz w:w="11900" w:h="16838" w:orient="portrait"/>
          <w:cols w:equalWidth="0" w:num="1">
            <w:col w:w="10020"/>
          </w:cols>
          <w:pgMar w:left="1440" w:top="274" w:right="439" w:bottom="1440" w:gutter="0" w:footer="0" w:header="0"/>
        </w:sectPr>
      </w:pPr>
    </w:p>
    <w:bookmarkStart w:id="245" w:name="page246"/>
    <w:bookmarkEnd w:id="2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62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CANADIAN IMPERIAL BANK OF COMMERCE,</w:t>
            </w:r>
          </w:p>
        </w:tc>
      </w:tr>
      <w:tr>
        <w:trPr>
          <w:trHeight w:val="230"/>
        </w:trPr>
        <w:tc>
          <w:tcPr>
            <w:tcW w:w="620" w:type="dxa"/>
            <w:vAlign w:val="bottom"/>
          </w:tcPr>
          <w:p>
            <w:pPr>
              <w:spacing w:after="0"/>
              <w:rPr>
                <w:sz w:val="20"/>
                <w:szCs w:val="20"/>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as a Committed Purchaser</w:t>
            </w:r>
          </w:p>
        </w:tc>
      </w:tr>
      <w:tr>
        <w:trPr>
          <w:trHeight w:val="432"/>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By:</w:t>
            </w: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4"/>
              </w:rPr>
              <w:t>Name:</w:t>
            </w:r>
          </w:p>
        </w:tc>
        <w:tc>
          <w:tcPr>
            <w:tcW w:w="3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CANADIAN IMPERIAL BANK OF COMMERCE,</w:t>
            </w:r>
          </w:p>
        </w:tc>
      </w:tr>
      <w:tr>
        <w:trPr>
          <w:trHeight w:val="216"/>
        </w:trPr>
        <w:tc>
          <w:tcPr>
            <w:tcW w:w="620" w:type="dxa"/>
            <w:vAlign w:val="bottom"/>
          </w:tcPr>
          <w:p>
            <w:pPr>
              <w:spacing w:after="0"/>
              <w:rPr>
                <w:sz w:val="18"/>
                <w:szCs w:val="18"/>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as a Purchaser Agent for Canadian Imperial Bank of</w:t>
            </w:r>
          </w:p>
        </w:tc>
      </w:tr>
      <w:tr>
        <w:trPr>
          <w:trHeight w:val="230"/>
        </w:trPr>
        <w:tc>
          <w:tcPr>
            <w:tcW w:w="620" w:type="dxa"/>
            <w:vAlign w:val="bottom"/>
          </w:tcPr>
          <w:p>
            <w:pPr>
              <w:spacing w:after="0"/>
              <w:rPr>
                <w:sz w:val="20"/>
                <w:szCs w:val="20"/>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Commerce and Macro Trust</w:t>
            </w:r>
          </w:p>
        </w:tc>
      </w:tr>
      <w:tr>
        <w:trPr>
          <w:trHeight w:val="432"/>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By:</w:t>
            </w: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4"/>
              </w:rPr>
              <w:t>Name:</w:t>
            </w:r>
          </w:p>
        </w:tc>
        <w:tc>
          <w:tcPr>
            <w:tcW w:w="3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w w:val="99"/>
              </w:rPr>
              <w:t>COMPUTERSHARE TRUST COMPANY OF CANADA,</w:t>
            </w:r>
          </w:p>
        </w:tc>
      </w:tr>
      <w:tr>
        <w:trPr>
          <w:trHeight w:val="216"/>
        </w:trPr>
        <w:tc>
          <w:tcPr>
            <w:tcW w:w="620" w:type="dxa"/>
            <w:vAlign w:val="bottom"/>
          </w:tcPr>
          <w:p>
            <w:pPr>
              <w:spacing w:after="0"/>
              <w:rPr>
                <w:sz w:val="18"/>
                <w:szCs w:val="18"/>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in its capacity as trustee of MACRO TRUST, by its</w:t>
            </w:r>
          </w:p>
        </w:tc>
      </w:tr>
      <w:tr>
        <w:trPr>
          <w:trHeight w:val="216"/>
        </w:trPr>
        <w:tc>
          <w:tcPr>
            <w:tcW w:w="620" w:type="dxa"/>
            <w:vAlign w:val="bottom"/>
          </w:tcPr>
          <w:p>
            <w:pPr>
              <w:spacing w:after="0"/>
              <w:rPr>
                <w:sz w:val="18"/>
                <w:szCs w:val="18"/>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w w:val="99"/>
              </w:rPr>
              <w:t>Financial Services Agent, CANADIAN IMPERIAL BANK</w:t>
            </w:r>
          </w:p>
        </w:tc>
      </w:tr>
      <w:tr>
        <w:trPr>
          <w:trHeight w:val="230"/>
        </w:trPr>
        <w:tc>
          <w:tcPr>
            <w:tcW w:w="620" w:type="dxa"/>
            <w:vAlign w:val="bottom"/>
          </w:tcPr>
          <w:p>
            <w:pPr>
              <w:spacing w:after="0"/>
              <w:rPr>
                <w:sz w:val="20"/>
                <w:szCs w:val="20"/>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OF COMMERCE, as a Committed Purchaser</w:t>
            </w:r>
          </w:p>
        </w:tc>
      </w:tr>
      <w:tr>
        <w:trPr>
          <w:trHeight w:val="432"/>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By:</w:t>
            </w: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4"/>
              </w:rPr>
              <w:t>Name:</w:t>
            </w:r>
          </w:p>
        </w:tc>
        <w:tc>
          <w:tcPr>
            <w:tcW w:w="3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44"/>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Fifth Amended and Restated</w:t>
            </w:r>
          </w:p>
        </w:tc>
      </w:tr>
      <w:tr>
        <w:trPr>
          <w:trHeight w:val="244"/>
        </w:trPr>
        <w:tc>
          <w:tcPr>
            <w:tcW w:w="620" w:type="dxa"/>
            <w:vAlign w:val="bottom"/>
          </w:tcPr>
          <w:p>
            <w:pPr>
              <w:spacing w:after="0"/>
              <w:rPr>
                <w:sz w:val="20"/>
                <w:szCs w:val="20"/>
                <w:color w:val="auto"/>
              </w:rPr>
            </w:pPr>
            <w:r>
              <w:rPr>
                <w:rFonts w:ascii="Arial" w:cs="Arial" w:eastAsia="Arial" w:hAnsi="Arial"/>
                <w:sz w:val="18"/>
                <w:szCs w:val="18"/>
                <w:color w:val="auto"/>
              </w:rPr>
              <w:t>S-8</w:t>
            </w:r>
          </w:p>
        </w:tc>
        <w:tc>
          <w:tcPr>
            <w:tcW w:w="900" w:type="dxa"/>
            <w:vAlign w:val="bottom"/>
          </w:tcPr>
          <w:p>
            <w:pPr>
              <w:spacing w:after="0"/>
              <w:rPr>
                <w:sz w:val="21"/>
                <w:szCs w:val="21"/>
                <w:color w:val="auto"/>
              </w:rPr>
            </w:pPr>
          </w:p>
        </w:tc>
        <w:tc>
          <w:tcPr>
            <w:tcW w:w="3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Receivables Purchase Agreement</w:t>
            </w:r>
          </w:p>
        </w:tc>
      </w:tr>
    </w:tbl>
    <w:p>
      <w:pPr>
        <w:sectPr>
          <w:pgSz w:w="11900" w:h="16838" w:orient="portrait"/>
          <w:cols w:equalWidth="0" w:num="1">
            <w:col w:w="10020"/>
          </w:cols>
          <w:pgMar w:left="1440" w:top="274" w:right="439" w:bottom="1440" w:gutter="0" w:footer="0" w:header="0"/>
        </w:sectPr>
      </w:pPr>
    </w:p>
    <w:bookmarkStart w:id="246" w:name="page247"/>
    <w:bookmarkEnd w:id="2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62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HSBC BANK USA, NATIONAL ASSOCIATION, as a</w:t>
            </w:r>
          </w:p>
        </w:tc>
      </w:tr>
      <w:tr>
        <w:trPr>
          <w:trHeight w:val="230"/>
        </w:trPr>
        <w:tc>
          <w:tcPr>
            <w:tcW w:w="620" w:type="dxa"/>
            <w:vAlign w:val="bottom"/>
          </w:tcPr>
          <w:p>
            <w:pPr>
              <w:spacing w:after="0"/>
              <w:rPr>
                <w:sz w:val="20"/>
                <w:szCs w:val="20"/>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Committed Purchaser</w:t>
            </w:r>
          </w:p>
        </w:tc>
      </w:tr>
      <w:tr>
        <w:trPr>
          <w:trHeight w:val="432"/>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By:</w:t>
            </w: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4"/>
              </w:rPr>
              <w:t>Name:</w:t>
            </w:r>
          </w:p>
        </w:tc>
        <w:tc>
          <w:tcPr>
            <w:tcW w:w="3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w w:val="99"/>
              </w:rPr>
              <w:t>HSBC SECURITIES USA INC., as Purchaser Agent for</w:t>
            </w:r>
          </w:p>
        </w:tc>
      </w:tr>
      <w:tr>
        <w:trPr>
          <w:trHeight w:val="230"/>
        </w:trPr>
        <w:tc>
          <w:tcPr>
            <w:tcW w:w="620" w:type="dxa"/>
            <w:vAlign w:val="bottom"/>
          </w:tcPr>
          <w:p>
            <w:pPr>
              <w:spacing w:after="0"/>
              <w:rPr>
                <w:sz w:val="20"/>
                <w:szCs w:val="20"/>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HSBC Bank USA, National Association</w:t>
            </w:r>
          </w:p>
        </w:tc>
      </w:tr>
      <w:tr>
        <w:trPr>
          <w:trHeight w:val="432"/>
        </w:trPr>
        <w:tc>
          <w:tcPr>
            <w:tcW w:w="620" w:type="dxa"/>
            <w:vAlign w:val="bottom"/>
          </w:tcPr>
          <w:p>
            <w:pPr>
              <w:spacing w:after="0"/>
              <w:rPr>
                <w:sz w:val="24"/>
                <w:szCs w:val="24"/>
                <w:color w:val="auto"/>
              </w:rPr>
            </w:pPr>
          </w:p>
        </w:tc>
        <w:tc>
          <w:tcPr>
            <w:tcW w:w="4800" w:type="dxa"/>
            <w:vAlign w:val="bottom"/>
            <w:gridSpan w:val="3"/>
          </w:tcPr>
          <w:p>
            <w:pPr>
              <w:ind w:left="380"/>
              <w:spacing w:after="0"/>
              <w:rPr>
                <w:sz w:val="20"/>
                <w:szCs w:val="20"/>
                <w:color w:val="auto"/>
              </w:rPr>
            </w:pPr>
            <w:r>
              <w:rPr>
                <w:rFonts w:ascii="Arial" w:cs="Arial" w:eastAsia="Arial" w:hAnsi="Arial"/>
                <w:sz w:val="18"/>
                <w:szCs w:val="18"/>
                <w:color w:val="auto"/>
              </w:rPr>
              <w:t>By:</w:t>
            </w: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4"/>
              </w:rPr>
              <w:t>Name:</w:t>
            </w:r>
          </w:p>
        </w:tc>
        <w:tc>
          <w:tcPr>
            <w:tcW w:w="3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44"/>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Fifth Amended and Restated</w:t>
            </w:r>
          </w:p>
        </w:tc>
      </w:tr>
      <w:tr>
        <w:trPr>
          <w:trHeight w:val="244"/>
        </w:trPr>
        <w:tc>
          <w:tcPr>
            <w:tcW w:w="620" w:type="dxa"/>
            <w:vAlign w:val="bottom"/>
          </w:tcPr>
          <w:p>
            <w:pPr>
              <w:spacing w:after="0"/>
              <w:rPr>
                <w:sz w:val="20"/>
                <w:szCs w:val="20"/>
                <w:color w:val="auto"/>
              </w:rPr>
            </w:pPr>
            <w:r>
              <w:rPr>
                <w:rFonts w:ascii="Arial" w:cs="Arial" w:eastAsia="Arial" w:hAnsi="Arial"/>
                <w:sz w:val="18"/>
                <w:szCs w:val="18"/>
                <w:color w:val="auto"/>
              </w:rPr>
              <w:t>S-9</w:t>
            </w:r>
          </w:p>
        </w:tc>
        <w:tc>
          <w:tcPr>
            <w:tcW w:w="900" w:type="dxa"/>
            <w:vAlign w:val="bottom"/>
          </w:tcPr>
          <w:p>
            <w:pPr>
              <w:spacing w:after="0"/>
              <w:rPr>
                <w:sz w:val="21"/>
                <w:szCs w:val="21"/>
                <w:color w:val="auto"/>
              </w:rPr>
            </w:pPr>
          </w:p>
        </w:tc>
        <w:tc>
          <w:tcPr>
            <w:tcW w:w="3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Receivables Purchase Agreement</w:t>
            </w:r>
          </w:p>
        </w:tc>
      </w:tr>
    </w:tbl>
    <w:p>
      <w:pPr>
        <w:sectPr>
          <w:pgSz w:w="11900" w:h="16838" w:orient="portrait"/>
          <w:cols w:equalWidth="0" w:num="1">
            <w:col w:w="10020"/>
          </w:cols>
          <w:pgMar w:left="1440" w:top="274" w:right="43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right="260" w:firstLine="440"/>
        <w:spacing w:after="0" w:line="286" w:lineRule="auto"/>
        <w:rPr>
          <w:sz w:val="20"/>
          <w:szCs w:val="20"/>
          <w:color w:val="auto"/>
        </w:rPr>
      </w:pPr>
      <w:r>
        <w:rPr>
          <w:rFonts w:ascii="Arial" w:cs="Arial" w:eastAsia="Arial" w:hAnsi="Arial"/>
          <w:sz w:val="17"/>
          <w:szCs w:val="17"/>
          <w:color w:val="auto"/>
        </w:rPr>
        <w:t>As used in this Agreement (including its Exhibits, Schedules and Annexes), the following terms shall have the following meanings (such meanings to be equally applicable to both the singular and plural forms of the terms defined). Unless otherwise indicated, all Section, Annex, Exhibit and Schedule references in this Exhibit are to Sections of and Annexes, Exhibits and Schedules to this Agreement.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Dilution Ratio</w:t>
      </w:r>
      <w:r>
        <w:rPr>
          <w:rFonts w:ascii="Arial" w:cs="Arial" w:eastAsia="Arial" w:hAnsi="Arial"/>
          <w:sz w:val="18"/>
          <w:szCs w:val="18"/>
          <w:color w:val="auto"/>
        </w:rPr>
        <w:t>” means, at any time, the twelve-month rolling average of the Dilution Ratio.</w:t>
      </w:r>
    </w:p>
    <w:p>
      <w:pPr>
        <w:spacing w:after="0" w:line="22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Net Receivables Pool Balance</w:t>
      </w:r>
      <w:r>
        <w:rPr>
          <w:rFonts w:ascii="Arial" w:cs="Arial" w:eastAsia="Arial" w:hAnsi="Arial"/>
          <w:sz w:val="18"/>
          <w:szCs w:val="18"/>
          <w:color w:val="auto"/>
        </w:rPr>
        <w:t xml:space="preserve">” means, at any time: (a) the Net Receivables Pool Balance,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sum of (i) the aggregate Outstanding Balance of all Affiliate Receivables then in the Receivables Pool, (ii) the Specifically Reserved Amount and (iii) the aggregate amount for each Obligor of the lesser of (x) the Contra Amount, if any, with respect to such Obligor at such time and (y) the aggregate Outstanding Balance of all Pool Receivables, the Obligor of which is such Obligor.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Adverse Claim</w:t>
      </w:r>
      <w:r>
        <w:rPr>
          <w:rFonts w:ascii="Arial" w:cs="Arial" w:eastAsia="Arial" w:hAnsi="Arial"/>
          <w:sz w:val="18"/>
          <w:szCs w:val="18"/>
          <w:color w:val="auto"/>
        </w:rPr>
        <w:t xml:space="preserve">” means a lien, security interest or other charge or encumbrance, or any other type of preferential arrangement; </w:t>
      </w:r>
      <w:r>
        <w:rPr>
          <w:rFonts w:ascii="Arial" w:cs="Arial" w:eastAsia="Arial" w:hAnsi="Arial"/>
          <w:sz w:val="18"/>
          <w:szCs w:val="18"/>
          <w:u w:val="single" w:color="auto"/>
          <w:color w:val="auto"/>
        </w:rPr>
        <w:t>it being understood</w:t>
      </w:r>
      <w:r>
        <w:rPr>
          <w:rFonts w:ascii="Arial" w:cs="Arial" w:eastAsia="Arial" w:hAnsi="Arial"/>
          <w:sz w:val="18"/>
          <w:szCs w:val="18"/>
          <w:color w:val="auto"/>
        </w:rPr>
        <w:t xml:space="preserve"> that any thereof in favor of the Administrator (for the benefit of the Purchasers ) shall not constitute an Adverse Claim.</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Person that, directly or indirectly, is in control of, is controlled by or is under common control with such Person, except that, in the case of each Conduit Purchaser, Affiliate shall mean the holder of its capital stock. For purposes of this definition, control of a Person shall mean the power, direct or indirect: (x) to vote 25% or more of the securities having ordinary voting power for the election of directors of such Person, or (y) to direct or cause the direction of the management and policies of such Person, in either case whether by ownership of securities, contract, proxy or otherwise.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Receivable</w:t>
      </w:r>
      <w:r>
        <w:rPr>
          <w:rFonts w:ascii="Arial" w:cs="Arial" w:eastAsia="Arial" w:hAnsi="Arial"/>
          <w:sz w:val="18"/>
          <w:szCs w:val="18"/>
          <w:color w:val="auto"/>
        </w:rPr>
        <w:t>” means any Receivable, the Obligor of which is an Affiliate of WESCO or any Originator.</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Discount</w:t>
      </w:r>
      <w:r>
        <w:rPr>
          <w:rFonts w:ascii="Arial" w:cs="Arial" w:eastAsia="Arial" w:hAnsi="Arial"/>
          <w:sz w:val="18"/>
          <w:szCs w:val="18"/>
          <w:color w:val="auto"/>
        </w:rPr>
        <w:t>” at any time, means the sum of the aggregate for each Purchaser of the accrued and unpaid Discount with respect to each such Purchaser’s Investment at such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Investment</w:t>
      </w:r>
      <w:r>
        <w:rPr>
          <w:rFonts w:ascii="Arial" w:cs="Arial" w:eastAsia="Arial" w:hAnsi="Arial"/>
          <w:sz w:val="18"/>
          <w:szCs w:val="18"/>
          <w:color w:val="auto"/>
        </w:rPr>
        <w:t>” means, at any time, the aggregate of the Investments of each Purchaser at such time.</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000"/>
          </w:cols>
          <w:pgMar w:left="440" w:top="274" w:right="459" w:bottom="1440" w:gutter="0" w:footer="0" w:header="0"/>
        </w:sectPr>
      </w:pPr>
    </w:p>
    <w:bookmarkStart w:id="248" w:name="page249"/>
    <w:bookmarkEnd w:id="2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Amendment Date” means August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23495</wp:posOffset>
            </wp:positionV>
            <wp:extent cx="193738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05"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Anti-Corruption Laws</w:t>
      </w:r>
      <w:r>
        <w:rPr>
          <w:rFonts w:ascii="Arial" w:cs="Arial" w:eastAsia="Arial" w:hAnsi="Arial"/>
          <w:sz w:val="16"/>
          <w:szCs w:val="16"/>
          <w:color w:val="auto"/>
        </w:rPr>
        <w:t>” means the United States Foreign Corrupt Practices Act of 1977, as amended, the UK Bribery Act 2010, and any other similar anti-corruption Laws or regulations administered or enforced in any jurisdiction in which WESCO or any of its Subsidiaries conduct business.</w:t>
      </w:r>
    </w:p>
    <w:p>
      <w:pPr>
        <w:spacing w:after="0" w:line="12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Anti-Terrorism Law</w:t>
      </w:r>
      <w:r>
        <w:rPr>
          <w:rFonts w:ascii="Arial" w:cs="Arial" w:eastAsia="Arial" w:hAnsi="Arial"/>
          <w:sz w:val="18"/>
          <w:szCs w:val="18"/>
          <w:color w:val="auto"/>
        </w:rPr>
        <w:t xml:space="preserve">” means any Law in force or hereinafter enacted related to terrorism, money laundering, or economic sanctions, including the Bank Secrecy Act, 31 U.S.C. § 5311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USA PATRIOT Act, the International Emergency Economic Powers Act, 50 U.S.C. 1701,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Trading with the Enemy Act, 50 U.S.C. App. 1, </w:t>
      </w:r>
      <w:r>
        <w:rPr>
          <w:rFonts w:ascii="Arial" w:cs="Arial" w:eastAsia="Arial" w:hAnsi="Arial"/>
          <w:sz w:val="18"/>
          <w:szCs w:val="18"/>
          <w:i w:val="1"/>
          <w:iCs w:val="1"/>
          <w:color w:val="auto"/>
        </w:rPr>
        <w:t>et seq.</w:t>
      </w:r>
      <w:r>
        <w:rPr>
          <w:rFonts w:ascii="Arial" w:cs="Arial" w:eastAsia="Arial" w:hAnsi="Arial"/>
          <w:sz w:val="18"/>
          <w:szCs w:val="18"/>
          <w:color w:val="auto"/>
        </w:rPr>
        <w:t>, 18 U.S.C. § 2332d, and 18 U.S.C. § 2339B.</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with respect to any Person, all provisions of Law applicable to such Person or any of its property.</w:t>
      </w:r>
    </w:p>
    <w:p>
      <w:pPr>
        <w:spacing w:after="0" w:line="225"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 System</w:t>
      </w:r>
      <w:r>
        <w:rPr>
          <w:rFonts w:ascii="Arial" w:cs="Arial" w:eastAsia="Arial" w:hAnsi="Arial"/>
          <w:sz w:val="16"/>
          <w:szCs w:val="16"/>
          <w:color w:val="auto"/>
        </w:rPr>
        <w:t>” means (i) the Oracle, AS 400 Mainframe, SxE or Eclipse accounts receivable systems which are used by the on-system originators, (ii) the accounts receivables systems which are used by the off-system originators, or (iii) any system or systems which replace any of the foregoing.</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Assumption Agreement</w:t>
      </w:r>
      <w:r>
        <w:rPr>
          <w:rFonts w:ascii="Arial" w:cs="Arial" w:eastAsia="Arial" w:hAnsi="Arial"/>
          <w:sz w:val="18"/>
          <w:szCs w:val="18"/>
          <w:color w:val="auto"/>
        </w:rPr>
        <w:t>” means an agreement substantially in the form set forth in Annex D to this Agreement.</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Attorney Costs</w:t>
      </w:r>
      <w:r>
        <w:rPr>
          <w:rFonts w:ascii="Arial" w:cs="Arial" w:eastAsia="Arial" w:hAnsi="Arial"/>
          <w:sz w:val="18"/>
          <w:szCs w:val="18"/>
          <w:color w:val="auto"/>
        </w:rPr>
        <w:t>” means and includes all reasonable fees and disbursements of any law firm or other external counsel, the reasonable allocated cost of internal legal services and all reasonable disbursements of internal counsel.</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Liquidity</w:t>
      </w:r>
      <w:r>
        <w:rPr>
          <w:rFonts w:ascii="Arial" w:cs="Arial" w:eastAsia="Arial" w:hAnsi="Arial"/>
          <w:sz w:val="18"/>
          <w:szCs w:val="18"/>
          <w:color w:val="auto"/>
        </w:rPr>
        <w:t>” means, on any date of determination, the sum of (i) the Maximum Incremental Purchase, (ii) the amount of borrowing availability under the Credit Agreement and (iii) cash balances and liquid investments held by WESCO and its Affiliates.</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jc w:val="center"/>
        <w:ind w:right="38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the United States Bankruptcy Reform Act of 1978 (11 U.S.C. § 101, et seq.), as amended from time to time. I-2</w:t>
      </w:r>
    </w:p>
    <w:p>
      <w:pPr>
        <w:sectPr>
          <w:pgSz w:w="11900" w:h="16838" w:orient="portrait"/>
          <w:cols w:equalWidth="0" w:num="1">
            <w:col w:w="11000"/>
          </w:cols>
          <w:pgMar w:left="440" w:top="274" w:right="459" w:bottom="1440" w:gutter="0" w:footer="0" w:header="0"/>
        </w:sectPr>
      </w:pPr>
    </w:p>
    <w:bookmarkStart w:id="249" w:name="page250"/>
    <w:bookmarkEnd w:id="249"/>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Base Rate</w:t>
      </w:r>
      <w:r>
        <w:rPr>
          <w:rFonts w:ascii="Arial" w:cs="Arial" w:eastAsia="Arial" w:hAnsi="Arial"/>
          <w:sz w:val="18"/>
          <w:szCs w:val="18"/>
          <w:color w:val="auto"/>
        </w:rPr>
        <w:t>” means, any Purchaser, for any day (a) a fluctuating interest rate per annum as shall be in effect from time to time, which rate shall be at all times equal to the higher of:</w:t>
      </w:r>
    </w:p>
    <w:p>
      <w:pPr>
        <w:spacing w:after="0" w:line="62" w:lineRule="exact"/>
        <w:rPr>
          <w:sz w:val="20"/>
          <w:szCs w:val="20"/>
          <w:color w:val="auto"/>
        </w:rPr>
      </w:pPr>
    </w:p>
    <w:p>
      <w:pPr>
        <w:ind w:left="440" w:right="120" w:firstLine="419"/>
        <w:spacing w:after="0" w:line="263" w:lineRule="auto"/>
        <w:tabs>
          <w:tab w:leader="none" w:pos="1078"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rate of interest in effect for such day as publicly announced from time to time by such Purchaser’s Purchaser Agent as its “prime rate”, “base rate” or similarly designate rate and which is used as a general reference point for pricing some loans, which may be priced at, above or below such announced rate,</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0.50% per annum above the latest Overnight Bank Funding Rate, and</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 xml:space="preserve">Daily Simple SOFR,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1.00%, so long as Daily Simple SOFR is offered, ascertainable and not unlawful; or</w:t>
      </w:r>
    </w:p>
    <w:p>
      <w:pPr>
        <w:spacing w:after="0" w:line="225" w:lineRule="exact"/>
        <w:rPr>
          <w:rFonts w:ascii="Arial" w:cs="Arial" w:eastAsia="Arial" w:hAnsi="Arial"/>
          <w:sz w:val="18"/>
          <w:szCs w:val="18"/>
          <w:color w:val="auto"/>
        </w:rPr>
      </w:pPr>
    </w:p>
    <w:p>
      <w:pPr>
        <w:ind w:right="200" w:firstLine="436"/>
        <w:spacing w:after="0" w:line="277" w:lineRule="auto"/>
        <w:tabs>
          <w:tab w:leader="none" w:pos="69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such other rate set forth as the “Base Rate” for such Purchaser in its Purchaser Group Fee Letter, or any other document pursuant to which is became a party hereto.</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Option</w:t>
      </w:r>
      <w:r>
        <w:rPr>
          <w:rFonts w:ascii="Arial" w:cs="Arial" w:eastAsia="Arial" w:hAnsi="Arial"/>
          <w:sz w:val="18"/>
          <w:szCs w:val="18"/>
          <w:color w:val="auto"/>
        </w:rPr>
        <w:t xml:space="preserve">” means the option of the Seller to have Investments accrue Yield at the rate and under the terms specified in </w:t>
      </w:r>
      <w:r>
        <w:rPr>
          <w:rFonts w:ascii="Arial" w:cs="Arial" w:eastAsia="Arial" w:hAnsi="Arial"/>
          <w:sz w:val="18"/>
          <w:szCs w:val="18"/>
          <w:u w:val="single" w:color="auto"/>
          <w:color w:val="auto"/>
        </w:rPr>
        <w:t>Section 1.12(a)(i)</w:t>
      </w:r>
      <w:r>
        <w:rPr>
          <w:rFonts w:ascii="Arial" w:cs="Arial" w:eastAsia="Arial" w:hAnsi="Arial"/>
          <w:sz w:val="18"/>
          <w:szCs w:val="18"/>
          <w:color w:val="auto"/>
        </w:rPr>
        <w:t xml:space="preserve"> </w:t>
      </w:r>
      <w:r>
        <w:rPr>
          <w:rFonts w:ascii="Arial" w:cs="Arial" w:eastAsia="Arial" w:hAnsi="Arial"/>
          <w:sz w:val="18"/>
          <w:szCs w:val="18"/>
          <w:u w:val="single" w:color="auto"/>
          <w:color w:val="auto"/>
        </w:rPr>
        <w:t>(B)(3)</w:t>
      </w:r>
      <w:r>
        <w:rPr>
          <w:rFonts w:ascii="Arial" w:cs="Arial" w:eastAsia="Arial" w:hAnsi="Arial"/>
          <w:sz w:val="18"/>
          <w:szCs w:val="18"/>
          <w:color w:val="auto"/>
        </w:rPr>
        <w:t>.</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means, for the Seller, each of the following: (a) each individual, if any, who, directly or indirectly, owns 25% or more of the Seller’s capital stock; and (b) a single individual with significant responsibility to control, manage, or direct the Seller.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employee benefit pension plan as defined in Section 3(2) of ERISA in respect of which the Seller, any Originator, WESCO or any ERISA Affiliate is, or at any time during the immediately preceding six years was, an “employer” as defined in Section 3(5) of ERISA.</w:t>
      </w:r>
    </w:p>
    <w:p>
      <w:pPr>
        <w:spacing w:after="0" w:line="12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(other than a Saturday or Sunday) on which banks are not authorized or required to close in New York City, New York or Pittsburgh, Pennsylvania;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any direct or indirect calculation or determination of, or when used in connection with SOFR Rate Investment</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w:t>
      </w:r>
      <w:r>
        <w:rPr>
          <w:rFonts w:ascii="Arial" w:cs="Arial" w:eastAsia="Arial" w:hAnsi="Arial"/>
          <w:sz w:val="18"/>
          <w:szCs w:val="18"/>
          <w:color w:val="auto"/>
        </w:rPr>
        <w:t xml:space="preserve"> Daily Resetting SOFR </w:t>
      </w:r>
      <w:r>
        <w:rPr>
          <w:rFonts w:ascii="Arial" w:cs="Arial" w:eastAsia="Arial" w:hAnsi="Arial"/>
          <w:sz w:val="18"/>
          <w:szCs w:val="18"/>
          <w:color w:val="FF0000"/>
          <w:strike w:val="1"/>
        </w:rPr>
        <w:t>or Daily Simple SOFR</w:t>
      </w:r>
      <w:r>
        <w:rPr>
          <w:rFonts w:ascii="Arial" w:cs="Arial" w:eastAsia="Arial" w:hAnsi="Arial"/>
          <w:sz w:val="18"/>
          <w:szCs w:val="18"/>
          <w:color w:val="auto"/>
        </w:rPr>
        <w:t xml:space="preserve"> Investment, the term “Business Day” means any such day Term SOFR or SOFR is published by the Federal Reserve Bank of New York (or a successor administrator of the secured overnight financing rate) on the website of the Federal Reserve Bank of New York, or any successor website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-273685</wp:posOffset>
            </wp:positionV>
            <wp:extent cx="946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68"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Certification of Beneficial Owner(s)</w:t>
      </w:r>
      <w:r>
        <w:rPr>
          <w:rFonts w:ascii="Arial" w:cs="Arial" w:eastAsia="Arial" w:hAnsi="Arial"/>
          <w:sz w:val="18"/>
          <w:szCs w:val="18"/>
          <w:color w:val="auto"/>
        </w:rPr>
        <w:t>” means, for the Seller,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spacing w:after="0" w:line="187"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(i) Holdings ceases to own, directly or indirectly, 100% of the capital stock of WESCO or (ii) WESCO ceases to own, directly or indirectly (including through one or more of its Subsidiaries), (a) 100% of the capital stock of the Seller free and clear of all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1000"/>
          </w:cols>
          <w:pgMar w:left="440" w:top="274" w:right="459" w:bottom="1440" w:gutter="0" w:footer="0" w:header="0"/>
        </w:sectPr>
      </w:pPr>
    </w:p>
    <w:bookmarkStart w:id="250" w:name="page251"/>
    <w:bookmarkEnd w:id="25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Adverse Claims or (b) a majority of the capital stock of any Originator, in the case of each of (i) and (ii)(b) above, free and clear of all Adverse Claims other than the pledges or grants of security interest by WESCO or one or more of its Subsidiaries to (x) Barclays Bank PLC or any other Person that assumes its obligations under the Intercreditor Agreement, as agent for itself and various lenders pursuant to one or more pledge agreements and security agreements as required under the Credit Agreement as such pledge agreements or security agreements may be amended, restated, supplemented or otherwise modified from time to time and (y) such other lenders to WESCO and its Subsidiaries so long as such lenders enter into an intercreditor agreement in form and substance reasonably satisfactory to the to the Administrator (it being agreed that the Intercreditor Agreement is a form reasonably satisfactory to the Administrator).</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CIBC</w:t>
      </w:r>
      <w:r>
        <w:rPr>
          <w:rFonts w:ascii="Arial" w:cs="Arial" w:eastAsia="Arial" w:hAnsi="Arial"/>
          <w:sz w:val="18"/>
          <w:szCs w:val="18"/>
          <w:color w:val="auto"/>
        </w:rPr>
        <w:t>” means Canadian Imperial Bank of Commerce</w:t>
      </w:r>
      <w:r>
        <w:rPr>
          <w:rFonts w:ascii="Arial" w:cs="Arial" w:eastAsia="Arial" w:hAnsi="Arial"/>
          <w:sz w:val="18"/>
          <w:szCs w:val="18"/>
          <w:color w:val="FF0000"/>
          <w:strike w:val="1"/>
        </w:rPr>
        <w:t>, New York Branch</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June 22, 2020.</w:t>
      </w:r>
    </w:p>
    <w:p>
      <w:pPr>
        <w:spacing w:after="0" w:line="22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Collections</w:t>
      </w:r>
      <w:r>
        <w:rPr>
          <w:rFonts w:ascii="Arial" w:cs="Arial" w:eastAsia="Arial" w:hAnsi="Arial"/>
          <w:sz w:val="18"/>
          <w:szCs w:val="18"/>
          <w:color w:val="auto"/>
        </w:rPr>
        <w:t xml:space="preserve">” means, with respect to any Pool Receivable: (a) all funds that are received by any Originator, WESCO, the Seller or the Servicer in payment of any amounts owed in respect of such Receivable (including purchase price, finance charges, interest and all other charges), or applied to amounts owed in respect of such Receivable (including insurance payments and net proceeds of the sale or other disposition of repossessed goods or other collateral or property of the related Obligor or any other Person directly or indirectly liable for the payment of such Pool Receivable and available to be applied thereon), (b) all amounts deemed to have been received pursuant to </w:t>
      </w:r>
      <w:r>
        <w:rPr>
          <w:rFonts w:ascii="Arial" w:cs="Arial" w:eastAsia="Arial" w:hAnsi="Arial"/>
          <w:sz w:val="18"/>
          <w:szCs w:val="18"/>
          <w:u w:val="single" w:color="auto"/>
          <w:color w:val="auto"/>
        </w:rPr>
        <w:t>Section 1.4(e)</w:t>
      </w:r>
      <w:r>
        <w:rPr>
          <w:rFonts w:ascii="Arial" w:cs="Arial" w:eastAsia="Arial" w:hAnsi="Arial"/>
          <w:sz w:val="18"/>
          <w:szCs w:val="18"/>
          <w:color w:val="auto"/>
        </w:rPr>
        <w:t xml:space="preserve"> of this Agreement and (c) all other proceeds of such Pool Receivable.</w:t>
      </w:r>
    </w:p>
    <w:p>
      <w:pPr>
        <w:spacing w:after="0" w:line="192"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with respect to each Committed Purchaser, the maximum amount which such Purchaser is obligated to pay hereunder on account of any Purchase, as set forth below its name on </w:t>
      </w:r>
      <w:r>
        <w:rPr>
          <w:rFonts w:ascii="Arial" w:cs="Arial" w:eastAsia="Arial" w:hAnsi="Arial"/>
          <w:sz w:val="17"/>
          <w:szCs w:val="17"/>
          <w:u w:val="single" w:color="auto"/>
          <w:color w:val="auto"/>
        </w:rPr>
        <w:t>Schedule VI</w:t>
      </w:r>
      <w:r>
        <w:rPr>
          <w:rFonts w:ascii="Arial" w:cs="Arial" w:eastAsia="Arial" w:hAnsi="Arial"/>
          <w:sz w:val="17"/>
          <w:szCs w:val="17"/>
          <w:color w:val="auto"/>
        </w:rPr>
        <w:t xml:space="preserve"> hereto to this Agreement or in the Assumption Agreement or any similar document pursuant to which it became a Purchaser, as such amount may be modified in connection with any subsequent assignment pursuant to </w:t>
      </w:r>
      <w:r>
        <w:rPr>
          <w:rFonts w:ascii="Arial" w:cs="Arial" w:eastAsia="Arial" w:hAnsi="Arial"/>
          <w:sz w:val="17"/>
          <w:szCs w:val="17"/>
          <w:u w:val="single" w:color="auto"/>
          <w:color w:val="auto"/>
        </w:rPr>
        <w:t>Section 6.3(c)</w:t>
      </w:r>
      <w:r>
        <w:rPr>
          <w:rFonts w:ascii="Arial" w:cs="Arial" w:eastAsia="Arial" w:hAnsi="Arial"/>
          <w:sz w:val="17"/>
          <w:szCs w:val="17"/>
          <w:color w:val="auto"/>
        </w:rPr>
        <w:t xml:space="preserve"> or in connection with a change in the Purchase Limit pursuant to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1.11</w:t>
      </w:r>
      <w:r>
        <w:rPr>
          <w:rFonts w:ascii="Arial" w:cs="Arial" w:eastAsia="Arial" w:hAnsi="Arial"/>
          <w:sz w:val="17"/>
          <w:szCs w:val="17"/>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 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1.11(c)</w:t>
      </w:r>
      <w:r>
        <w:rPr>
          <w:rFonts w:ascii="Arial" w:cs="Arial" w:eastAsia="Arial" w:hAnsi="Arial"/>
          <w:sz w:val="18"/>
          <w:szCs w:val="18"/>
          <w:color w:val="auto"/>
        </w:rPr>
        <w:t>.</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Letter</w:t>
      </w:r>
      <w:r>
        <w:rPr>
          <w:rFonts w:ascii="Arial" w:cs="Arial" w:eastAsia="Arial" w:hAnsi="Arial"/>
          <w:sz w:val="18"/>
          <w:szCs w:val="18"/>
          <w:color w:val="auto"/>
        </w:rPr>
        <w:t>” means that certain Securitization Facility Amendment Commitment Letter, dated as of May 18, 2020, among WESCO, PNC, Wells, Fifth Third, Scotia, TD and CIBC, as amended or supplemented from time to time.</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Percentage</w:t>
      </w:r>
      <w:r>
        <w:rPr>
          <w:rFonts w:ascii="Arial" w:cs="Arial" w:eastAsia="Arial" w:hAnsi="Arial"/>
          <w:sz w:val="18"/>
          <w:szCs w:val="18"/>
          <w:color w:val="auto"/>
        </w:rPr>
        <w:t>” means, at any time, for each Committed Purchaser in a Purchaser Group, such Committed Purchaser’s Commitment divided by the total of all Commitments of all Committed Purchasers in such Purchaser Group.</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Purchaser</w:t>
      </w:r>
      <w:r>
        <w:rPr>
          <w:rFonts w:ascii="Arial" w:cs="Arial" w:eastAsia="Arial" w:hAnsi="Arial"/>
          <w:sz w:val="18"/>
          <w:szCs w:val="18"/>
          <w:color w:val="auto"/>
        </w:rPr>
        <w:t>” means each Person listed as such on the signature pages of this Agreement or in any Assumption Agreement or Transfer Supplement.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Note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the Sale Agreement.</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Concentration Percentage</w:t>
      </w:r>
      <w:r>
        <w:rPr>
          <w:rFonts w:ascii="Arial" w:cs="Arial" w:eastAsia="Arial" w:hAnsi="Arial"/>
          <w:sz w:val="18"/>
          <w:szCs w:val="18"/>
          <w:color w:val="auto"/>
        </w:rPr>
        <w:t xml:space="preserve">” means Normal Concentration Percentage;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Administrator may, if each of the Purchasers has so consented, approve higher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I-4</w:t>
      </w:r>
    </w:p>
    <w:p>
      <w:pPr>
        <w:sectPr>
          <w:pgSz w:w="11900" w:h="16838" w:orient="portrait"/>
          <w:cols w:equalWidth="0" w:num="1">
            <w:col w:w="10960"/>
          </w:cols>
          <w:pgMar w:left="440" w:top="274" w:right="499" w:bottom="1440" w:gutter="0" w:footer="0" w:header="0"/>
        </w:sectPr>
      </w:pPr>
    </w:p>
    <w:bookmarkStart w:id="251" w:name="page252"/>
    <w:bookmarkEnd w:id="251"/>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Concentration Percentages for selected Obligors (which approved percentage shall become the “Concentration Percentage” applicable to such Obligor).</w:t>
      </w:r>
    </w:p>
    <w:p>
      <w:pPr>
        <w:spacing w:after="0" w:line="248" w:lineRule="exact"/>
        <w:rPr>
          <w:sz w:val="20"/>
          <w:szCs w:val="20"/>
          <w:color w:val="auto"/>
        </w:rPr>
      </w:pPr>
    </w:p>
    <w:p>
      <w:pPr>
        <w:ind w:left="4" w:right="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Concentration Reserve</w:t>
      </w:r>
      <w:r>
        <w:rPr>
          <w:rFonts w:ascii="Arial" w:cs="Arial" w:eastAsia="Arial" w:hAnsi="Arial"/>
          <w:sz w:val="17"/>
          <w:szCs w:val="17"/>
          <w:color w:val="auto"/>
        </w:rPr>
        <w:t xml:space="preserve">” means, at any time of determination, an amount equal to: (a) the Aggregate Investment on such date,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(b)(i) the Concentration Reserve Percentage at such time, </w:t>
      </w:r>
      <w:r>
        <w:rPr>
          <w:rFonts w:ascii="Arial" w:cs="Arial" w:eastAsia="Arial" w:hAnsi="Arial"/>
          <w:sz w:val="17"/>
          <w:szCs w:val="17"/>
          <w:u w:val="single" w:color="auto"/>
          <w:color w:val="auto"/>
        </w:rPr>
        <w:t>divided by</w:t>
      </w:r>
      <w:r>
        <w:rPr>
          <w:rFonts w:ascii="Arial" w:cs="Arial" w:eastAsia="Arial" w:hAnsi="Arial"/>
          <w:sz w:val="17"/>
          <w:szCs w:val="17"/>
          <w:color w:val="auto"/>
        </w:rPr>
        <w:t xml:space="preserve"> (ii) 100%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Concentration Reserve Percentage at such time.</w:t>
      </w:r>
    </w:p>
    <w:p>
      <w:pPr>
        <w:spacing w:after="0" w:line="146"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Concentration Reserve Percentage</w:t>
      </w:r>
      <w:r>
        <w:rPr>
          <w:rFonts w:ascii="Arial" w:cs="Arial" w:eastAsia="Arial" w:hAnsi="Arial"/>
          <w:sz w:val="18"/>
          <w:szCs w:val="18"/>
          <w:color w:val="auto"/>
        </w:rPr>
        <w:t>” means, at any time of determination, the largest of: (a) the sum of the four (4) largest Obligor Percentages of the Group D Obligors, (b) the sum of the two (2) largest Obligor Percentages of the Group C Obligors, (c) the largest Obligor Percentage of the Group B Obligors and (d) the largest Obligor Percentage of the Group A Obligors.</w:t>
      </w:r>
    </w:p>
    <w:p>
      <w:pPr>
        <w:spacing w:after="0" w:line="184" w:lineRule="exact"/>
        <w:rPr>
          <w:sz w:val="20"/>
          <w:szCs w:val="20"/>
          <w:color w:val="auto"/>
        </w:rPr>
      </w:pPr>
    </w:p>
    <w:p>
      <w:pPr>
        <w:jc w:val="both"/>
        <w:ind w:left="4" w:right="3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Conduit Purchasers</w:t>
      </w:r>
      <w:r>
        <w:rPr>
          <w:rFonts w:ascii="Arial" w:cs="Arial" w:eastAsia="Arial" w:hAnsi="Arial"/>
          <w:sz w:val="18"/>
          <w:szCs w:val="18"/>
          <w:color w:val="auto"/>
        </w:rPr>
        <w:t>” means each commercial paper conduit or other entity that is a party to this Agreement, as a purchaser, or that becomes a party to this Agreement, as a purchaser pursuant to an Assumption Agreement. Any reference to the “related” Conduit Purchaser of any Committed Purchaser (or words to similar effect) shall be deemed to be a reference to the Conduit Purchaser (if any) in such Committed Purchaser’s Purchaser Group.</w:t>
      </w:r>
    </w:p>
    <w:p>
      <w:pPr>
        <w:spacing w:after="0" w:line="187" w:lineRule="exact"/>
        <w:rPr>
          <w:sz w:val="20"/>
          <w:szCs w:val="20"/>
          <w:color w:val="auto"/>
        </w:rPr>
      </w:pPr>
    </w:p>
    <w:p>
      <w:pPr>
        <w:ind w:left="4" w:right="6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Conforming Changes</w:t>
      </w:r>
      <w:r>
        <w:rPr>
          <w:rFonts w:ascii="Arial" w:cs="Arial" w:eastAsia="Arial" w:hAnsi="Arial"/>
          <w:sz w:val="16"/>
          <w:szCs w:val="16"/>
          <w:color w:val="auto"/>
        </w:rPr>
        <w:t>” means, with respect to any SOFR Rate, Daily Resetting SOFR or Daily Simple SOFR or any Benchmark Replacement in relation thereto, any technical, administrative or operational changes (including changes to the definition of “Base Rate,” the definition of “Business Day,” the definition of “Yield Period,” timing and frequency of determining rates and making payments of discount, timing of investment requests or prepayment, conversion or continuation notices, the applicability and length of lookback periods, the applicability of termination fees, and other technical, administrative or operational matters) that the Administrator decides may be appropriate to reflect the adoption and implementation of any SOFR Rate, Daily Resetting SOFR or Daily Simple SOFR or such Benchmark Replacement and to permit the administration thereof by the Administrator in a manner substantially consistent with market practice (or, if the Administrator decides that adoption of any portion of such market practice is not administratively feasible or if the Administrator determines that no market practice for the administration of any SOFR Rate, Daily Resetting SOFR or Daily Simple SOFR or the Benchmark Replacement exists, in such other manner of administration as the Administrator decides is reasonably necessary in connection with the administration of this Agreement and the other Transaction Documents).</w:t>
      </w:r>
    </w:p>
    <w:p>
      <w:pPr>
        <w:spacing w:after="0" w:line="168" w:lineRule="exact"/>
        <w:rPr>
          <w:sz w:val="20"/>
          <w:szCs w:val="20"/>
          <w:color w:val="auto"/>
        </w:rPr>
      </w:pPr>
    </w:p>
    <w:p>
      <w:pPr>
        <w:ind w:left="4" w:right="4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with respect to any Receivable, any and all contracts, instruments, agreements, leases, invoices, notes or other writings pursuant to which such Receivable arises or that evidence such Receivable or under which an Obligor becomes or is obligated to make payment in respect of such Receivable.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 Amount</w:t>
      </w:r>
      <w:r>
        <w:rPr>
          <w:rFonts w:ascii="Arial" w:cs="Arial" w:eastAsia="Arial" w:hAnsi="Arial"/>
          <w:sz w:val="17"/>
          <w:szCs w:val="17"/>
          <w:color w:val="auto"/>
        </w:rPr>
        <w:t xml:space="preserve">” means, at any time of determination and with respect to any Obligor, the Contra Proxy Amount; </w:t>
      </w:r>
      <w:r>
        <w:rPr>
          <w:rFonts w:ascii="Arial" w:cs="Arial" w:eastAsia="Arial" w:hAnsi="Arial"/>
          <w:sz w:val="17"/>
          <w:szCs w:val="17"/>
          <w:u w:val="single" w:color="auto"/>
          <w:color w:val="auto"/>
        </w:rPr>
        <w:t>provided</w:t>
      </w:r>
      <w:r>
        <w:rPr>
          <w:rFonts w:ascii="Arial" w:cs="Arial" w:eastAsia="Arial" w:hAnsi="Arial"/>
          <w:sz w:val="17"/>
          <w:szCs w:val="17"/>
          <w:color w:val="auto"/>
        </w:rPr>
        <w:t>, that on fifteen</w:t>
      </w:r>
    </w:p>
    <w:p>
      <w:pPr>
        <w:spacing w:after="0" w:line="35" w:lineRule="exact"/>
        <w:rPr>
          <w:sz w:val="20"/>
          <w:szCs w:val="20"/>
          <w:color w:val="auto"/>
        </w:rPr>
      </w:pPr>
    </w:p>
    <w:p>
      <w:pPr>
        <w:jc w:val="both"/>
        <w:ind w:left="4" w:right="80" w:hanging="4"/>
        <w:spacing w:after="0" w:line="253" w:lineRule="auto"/>
        <w:tabs>
          <w:tab w:leader="none" w:pos="34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Business Days’ notice to the Servicer, the “Contra Amount” with respect to any Obligor shall be the actual aggregate amounts of indebtedness and other obligations owed to such Obligor and its Affiliates by any Originator or any of its Affiliates, including, without limitation, any such indebtedness or obligations arising in connection with the sale of goods or rendering of services by such Obligor or its Affiliates to any Originator or any of its Affiliates.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I-5</w:t>
      </w:r>
    </w:p>
    <w:p>
      <w:pPr>
        <w:sectPr>
          <w:pgSz w:w="11900" w:h="16838" w:orient="portrait"/>
          <w:cols w:equalWidth="0" w:num="1">
            <w:col w:w="10984"/>
          </w:cols>
          <w:pgMar w:left="436" w:top="274" w:right="479" w:bottom="1440" w:gutter="0" w:footer="0" w:header="0"/>
        </w:sectPr>
      </w:pPr>
    </w:p>
    <w:bookmarkStart w:id="252" w:name="page253"/>
    <w:bookmarkEnd w:id="252"/>
    <w:p>
      <w:pPr>
        <w:ind w:right="6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Contra Proxy Amount</w:t>
      </w:r>
      <w:r>
        <w:rPr>
          <w:rFonts w:ascii="Arial" w:cs="Arial" w:eastAsia="Arial" w:hAnsi="Arial"/>
          <w:sz w:val="18"/>
          <w:szCs w:val="18"/>
          <w:color w:val="auto"/>
        </w:rPr>
        <w:t>” means, at any time of determination and with respect to any Obligor, an amount equal to 0.9% of the Outstanding Balance of such Obligor’s Receivables.</w:t>
      </w:r>
    </w:p>
    <w:p>
      <w:pPr>
        <w:spacing w:after="0" w:line="17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xml:space="preserve">” means (a) each of WESCO, the Seller and the Originators and their respective Subsidiaries, and (b) each Person that, directly or indirectly, controls a Person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For purposes of this definition, control of a Person means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spacing w:after="0" w:line="188"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means that certain Fourth Amended and Restated Credit Agreement, dated as of the date hereof, among WESCO, certain Subsidiaries and Affiliates of WESCO, Barclays Bank PLC, as administrative agent, and the other Persons parties thereto, without giving effect to any termination thereof, as amended, restated, amended and restated, supplemented, renewed, refinanced, replaced or otherwise modified from time to time.</w:t>
      </w:r>
    </w:p>
    <w:p>
      <w:pPr>
        <w:spacing w:after="0" w:line="149"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and Collection Policy</w:t>
      </w:r>
      <w:r>
        <w:rPr>
          <w:rFonts w:ascii="Arial" w:cs="Arial" w:eastAsia="Arial" w:hAnsi="Arial"/>
          <w:sz w:val="16"/>
          <w:szCs w:val="16"/>
          <w:color w:val="auto"/>
        </w:rPr>
        <w:t xml:space="preserve">” means, as the context may require, those receivables credit and collection policies and practices of each Originator and of WESCO in effect on the date of this Agreement and described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to this Agreement, as modified in compliance with this Agreement.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Cut-off Date</w:t>
      </w:r>
      <w:r>
        <w:rPr>
          <w:rFonts w:ascii="Arial" w:cs="Arial" w:eastAsia="Arial" w:hAnsi="Arial"/>
          <w:sz w:val="18"/>
          <w:szCs w:val="18"/>
          <w:color w:val="auto"/>
        </w:rPr>
        <w:t>” has the meaning set forth in the Sale Agreement.</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Rate Investment</w:t>
      </w:r>
      <w:r>
        <w:rPr>
          <w:rFonts w:ascii="Arial" w:cs="Arial" w:eastAsia="Arial" w:hAnsi="Arial"/>
          <w:sz w:val="18"/>
          <w:szCs w:val="18"/>
          <w:color w:val="auto"/>
        </w:rPr>
        <w:t xml:space="preserve">” means an Investment that accrues discount at a rate based on the (i) Base Rate, (ii) </w:t>
      </w:r>
      <w:r>
        <w:rPr>
          <w:rFonts w:ascii="Arial" w:cs="Arial" w:eastAsia="Arial" w:hAnsi="Arial"/>
          <w:sz w:val="18"/>
          <w:szCs w:val="18"/>
          <w:color w:val="FF0000"/>
          <w:strike w:val="1"/>
        </w:rPr>
        <w:t>Daily Simple SOFR</w:t>
      </w:r>
      <w:r>
        <w:rPr>
          <w:rFonts w:ascii="Arial" w:cs="Arial" w:eastAsia="Arial" w:hAnsi="Arial"/>
          <w:sz w:val="18"/>
          <w:szCs w:val="18"/>
          <w:u w:val="single" w:color="auto"/>
          <w:color w:val="0000FF"/>
        </w:rPr>
        <w:t>[reserved]</w:t>
      </w:r>
      <w:r>
        <w:rPr>
          <w:rFonts w:ascii="Arial" w:cs="Arial" w:eastAsia="Arial" w:hAnsi="Arial"/>
          <w:sz w:val="18"/>
          <w:szCs w:val="18"/>
          <w:color w:val="auto"/>
        </w:rPr>
        <w:t xml:space="preserve"> or (iii) Daily Resetting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-147955</wp:posOffset>
            </wp:positionV>
            <wp:extent cx="4629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15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Rate Investment Option</w:t>
      </w:r>
      <w:r>
        <w:rPr>
          <w:rFonts w:ascii="Arial" w:cs="Arial" w:eastAsia="Arial" w:hAnsi="Arial"/>
          <w:sz w:val="18"/>
          <w:szCs w:val="18"/>
          <w:color w:val="auto"/>
        </w:rPr>
        <w:t xml:space="preserve">” means the option of the Seller to have Investments accrue discount at the rate and under the terms specified in </w:t>
      </w:r>
      <w:r>
        <w:rPr>
          <w:rFonts w:ascii="Arial" w:cs="Arial" w:eastAsia="Arial" w:hAnsi="Arial"/>
          <w:sz w:val="18"/>
          <w:szCs w:val="18"/>
          <w:u w:val="single" w:color="auto"/>
          <w:color w:val="auto"/>
        </w:rPr>
        <w:t>Section 1.12(a)(i)(B)</w:t>
      </w:r>
      <w:r>
        <w:rPr>
          <w:rFonts w:ascii="Arial" w:cs="Arial" w:eastAsia="Arial" w:hAnsi="Arial"/>
          <w:sz w:val="18"/>
          <w:szCs w:val="18"/>
          <w:color w:val="auto"/>
        </w:rPr>
        <w:t>.</w:t>
      </w:r>
    </w:p>
    <w:p>
      <w:pPr>
        <w:spacing w:after="0" w:line="170" w:lineRule="exact"/>
        <w:rPr>
          <w:sz w:val="20"/>
          <w:szCs w:val="20"/>
          <w:color w:val="auto"/>
        </w:rPr>
      </w:pPr>
    </w:p>
    <w:p>
      <w:pPr>
        <w:ind w:right="8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Report</w:t>
      </w:r>
      <w:r>
        <w:rPr>
          <w:rFonts w:ascii="Arial" w:cs="Arial" w:eastAsia="Arial" w:hAnsi="Arial"/>
          <w:sz w:val="18"/>
          <w:szCs w:val="18"/>
          <w:color w:val="auto"/>
        </w:rPr>
        <w:t xml:space="preserve">” means a report, in substantially the form of </w:t>
      </w:r>
      <w:r>
        <w:rPr>
          <w:rFonts w:ascii="Arial" w:cs="Arial" w:eastAsia="Arial" w:hAnsi="Arial"/>
          <w:sz w:val="18"/>
          <w:szCs w:val="18"/>
          <w:u w:val="single" w:color="auto"/>
          <w:color w:val="auto"/>
        </w:rPr>
        <w:t>Annex C</w:t>
      </w:r>
      <w:r>
        <w:rPr>
          <w:rFonts w:ascii="Arial" w:cs="Arial" w:eastAsia="Arial" w:hAnsi="Arial"/>
          <w:sz w:val="18"/>
          <w:szCs w:val="18"/>
          <w:color w:val="auto"/>
        </w:rPr>
        <w:t xml:space="preserve"> to this Agreement, furnished to the Administrator pursuant to this Agreement.</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Days’ Sales Outstanding</w:t>
      </w:r>
      <w:r>
        <w:rPr>
          <w:rFonts w:ascii="Arial" w:cs="Arial" w:eastAsia="Arial" w:hAnsi="Arial"/>
          <w:sz w:val="18"/>
          <w:szCs w:val="18"/>
          <w:color w:val="auto"/>
        </w:rPr>
        <w:t>” means, for any calendar month, an amount computed as of the last day of such calendar month equal to: (a) the average of the Outstanding Balance of all Pool Receivables as of the last day of each of the three most recent calendar months ended on the last day of such calendar month divided by (b)(i) the aggregate credit sales made by the Originators during the three (3) calendar months ended on the last day of such calendar month divided by (ii) 90.</w:t>
      </w:r>
    </w:p>
    <w:p>
      <w:pPr>
        <w:spacing w:after="0" w:line="187" w:lineRule="exact"/>
        <w:rPr>
          <w:sz w:val="20"/>
          <w:szCs w:val="20"/>
          <w:color w:val="auto"/>
        </w:rPr>
      </w:pPr>
    </w:p>
    <w:p>
      <w:pPr>
        <w:ind w:right="4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Daily Simple SOFR</w:t>
      </w:r>
      <w:r>
        <w:rPr>
          <w:rFonts w:ascii="Arial" w:cs="Arial" w:eastAsia="Arial" w:hAnsi="Arial"/>
          <w:sz w:val="17"/>
          <w:szCs w:val="17"/>
          <w:color w:val="auto"/>
        </w:rPr>
        <w:t>” means, for any day, SOFR, with the conventions for this rate (which will include a lookback) being established by the Administrator in accordance with the conventions for this rate recommended by the Relevant Governmental Body for determining “Daily Simple SOFR” for syndicated business loans; provided, that if the Administrator decides that any such convention is not administratively feasible for the Administrator, then the Administrator may establish another convention in its reasonable discretion.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w:t>
      </w:r>
    </w:p>
    <w:p>
      <w:pPr>
        <w:sectPr>
          <w:pgSz w:w="11900" w:h="16838" w:orient="portrait"/>
          <w:cols w:equalWidth="0" w:num="1">
            <w:col w:w="11000"/>
          </w:cols>
          <w:pgMar w:left="440" w:top="274" w:right="459" w:bottom="1440" w:gutter="0" w:footer="0" w:header="0"/>
        </w:sectPr>
      </w:pPr>
    </w:p>
    <w:bookmarkStart w:id="253" w:name="page254"/>
    <w:bookmarkEnd w:id="253"/>
    <w:p>
      <w:pPr>
        <w:ind w:left="4" w:right="640" w:firstLine="440"/>
        <w:spacing w:after="0" w:line="277"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FF0000"/>
          <w:strike w:val="1"/>
        </w:rPr>
        <w:t>Daily Simple SOFR Option</w:t>
      </w:r>
      <w:r>
        <w:rPr>
          <w:rFonts w:ascii="Arial" w:cs="Arial" w:eastAsia="Arial" w:hAnsi="Arial"/>
          <w:sz w:val="18"/>
          <w:szCs w:val="18"/>
          <w:color w:val="FF0000"/>
          <w:strike w:val="1"/>
        </w:rPr>
        <w:t xml:space="preserve">” means the option of the Seller to have Investments accrue Yield at the rate and under the terms specified in </w:t>
      </w:r>
      <w:r>
        <w:rPr>
          <w:rFonts w:ascii="Arial" w:cs="Arial" w:eastAsia="Arial" w:hAnsi="Arial"/>
          <w:sz w:val="18"/>
          <w:szCs w:val="18"/>
          <w:u w:val="single" w:color="auto"/>
          <w:color w:val="FF0000"/>
          <w:strike w:val="1"/>
        </w:rPr>
        <w:t>Section 1.12(a)(i)(B)(1)</w:t>
      </w:r>
      <w:r>
        <w:rPr>
          <w:rFonts w:ascii="Arial" w:cs="Arial" w:eastAsia="Arial" w:hAnsi="Arial"/>
          <w:sz w:val="18"/>
          <w:szCs w:val="18"/>
          <w:color w:val="FF0000"/>
          <w:strike w:val="1"/>
        </w:rPr>
        <w:t>.</w:t>
      </w:r>
    </w:p>
    <w:p>
      <w:pPr>
        <w:spacing w:after="0" w:line="170"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Resetting SOFR</w:t>
      </w:r>
      <w:r>
        <w:rPr>
          <w:rFonts w:ascii="Arial" w:cs="Arial" w:eastAsia="Arial" w:hAnsi="Arial"/>
          <w:sz w:val="16"/>
          <w:szCs w:val="16"/>
          <w:color w:val="auto"/>
        </w:rPr>
        <w:t>” means, for any day, the rate per annum determined by the Administrator by dividing (the resulting quotient rounded upwards, at the Administrator’s discretion, to the nearest 1/100th of 1%) (a) the SOFR Rate for a tenor of one-month on such day, or if such day is not a Business Day, the immediately preceding Business Day (such day, the “</w:t>
      </w:r>
      <w:r>
        <w:rPr>
          <w:rFonts w:ascii="Arial" w:cs="Arial" w:eastAsia="Arial" w:hAnsi="Arial"/>
          <w:sz w:val="16"/>
          <w:szCs w:val="16"/>
          <w:u w:val="single" w:color="auto"/>
          <w:color w:val="auto"/>
        </w:rPr>
        <w:t>Daily Resetting SOFR Determination Day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SOFR Rate for a tenor of one-month is not published on such Daily Resetting SOFR Determination Day, then the rate per annum for purposes of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shall be SOFR on the first Business Day immediately prior thereto, by (b) a number equal to 1.00 minus the SOFR Reserve Percentage.</w:t>
      </w:r>
    </w:p>
    <w:p>
      <w:pPr>
        <w:spacing w:after="0" w:line="161"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Resetting SOFR Option</w:t>
      </w:r>
      <w:r>
        <w:rPr>
          <w:rFonts w:ascii="Arial" w:cs="Arial" w:eastAsia="Arial" w:hAnsi="Arial"/>
          <w:sz w:val="18"/>
          <w:szCs w:val="18"/>
          <w:color w:val="auto"/>
        </w:rPr>
        <w:t xml:space="preserve">” means the option of the Seller to have Investments accrue Yield at the rate and under the terms specified in </w:t>
      </w:r>
      <w:r>
        <w:rPr>
          <w:rFonts w:ascii="Arial" w:cs="Arial" w:eastAsia="Arial" w:hAnsi="Arial"/>
          <w:sz w:val="18"/>
          <w:szCs w:val="18"/>
          <w:u w:val="single" w:color="auto"/>
          <w:color w:val="auto"/>
        </w:rPr>
        <w:t>Section 1.12(a)(i)(B)(2)</w:t>
      </w:r>
      <w:r>
        <w:rPr>
          <w:rFonts w:ascii="Arial" w:cs="Arial" w:eastAsia="Arial" w:hAnsi="Arial"/>
          <w:sz w:val="18"/>
          <w:szCs w:val="18"/>
          <w:color w:val="auto"/>
        </w:rPr>
        <w: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w:t>
      </w:r>
      <w:r>
        <w:rPr>
          <w:rFonts w:ascii="Arial" w:cs="Arial" w:eastAsia="Arial" w:hAnsi="Arial"/>
          <w:sz w:val="17"/>
          <w:szCs w:val="17"/>
          <w:color w:val="auto"/>
        </w:rPr>
        <w:t>” means: (a) indebtedness for borrowed money, (b) obligations evidenced by bonds, debentures, notes or other similar instruments,</w:t>
      </w:r>
    </w:p>
    <w:p>
      <w:pPr>
        <w:spacing w:after="0" w:line="35" w:lineRule="exact"/>
        <w:rPr>
          <w:sz w:val="20"/>
          <w:szCs w:val="20"/>
          <w:color w:val="auto"/>
        </w:rPr>
      </w:pPr>
    </w:p>
    <w:p>
      <w:pPr>
        <w:ind w:left="4" w:hanging="4"/>
        <w:spacing w:after="0" w:line="253" w:lineRule="auto"/>
        <w:tabs>
          <w:tab w:leader="none" w:pos="249"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obligations to pay the deferred purchase price of property or services, (d) obligations as lessee under leases that shall have been or should be, in accordance with generally accepted accounting principles, recorded as capital leases, and (e) obligations under direct or indirect guaranties in respect of, and obligations (contingent or otherwise) to purchase or otherwise acquire, or otherwise to assure a creditor against loss in respect of, indebtedness or obligations of others of the kinds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w:t>
      </w:r>
    </w:p>
    <w:p>
      <w:pPr>
        <w:spacing w:after="0" w:line="193" w:lineRule="exact"/>
        <w:rPr>
          <w:sz w:val="20"/>
          <w:szCs w:val="20"/>
          <w:color w:val="auto"/>
        </w:rPr>
      </w:pPr>
    </w:p>
    <w:p>
      <w:pPr>
        <w:ind w:left="4" w:right="1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Ratio</w:t>
      </w:r>
      <w:r>
        <w:rPr>
          <w:rFonts w:ascii="Arial" w:cs="Arial" w:eastAsia="Arial" w:hAnsi="Arial"/>
          <w:sz w:val="16"/>
          <w:szCs w:val="16"/>
          <w:color w:val="auto"/>
        </w:rPr>
        <w:t>” means the ratio (expressed as a percentage and rounded to the nearest 1/100 of 1%, with 5/1000th of 1% rounded upward) computed as of the last day of each calendar month by dividing: (a) the aggregate Outstanding Balance of all Pool Receivables that became Defaulted Receivables during such month, by (b) the aggregate credit sales made by the Originators during the month that is six months prior to such month.</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Receivable</w:t>
      </w:r>
      <w:r>
        <w:rPr>
          <w:rFonts w:ascii="Arial" w:cs="Arial" w:eastAsia="Arial" w:hAnsi="Arial"/>
          <w:sz w:val="18"/>
          <w:szCs w:val="18"/>
          <w:color w:val="auto"/>
        </w:rPr>
        <w:t>” means a Receivable:</w:t>
      </w:r>
    </w:p>
    <w:p>
      <w:pPr>
        <w:spacing w:after="0" w:line="117" w:lineRule="exact"/>
        <w:rPr>
          <w:sz w:val="20"/>
          <w:szCs w:val="20"/>
          <w:color w:val="auto"/>
        </w:rPr>
      </w:pPr>
    </w:p>
    <w:p>
      <w:pPr>
        <w:ind w:left="1104" w:hanging="241"/>
        <w:spacing w:after="0"/>
        <w:tabs>
          <w:tab w:leader="none" w:pos="1104"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as to which any payment, or part thereof, remains unpaid for more than 180 days from the original invoice date for such payment, or</w:t>
      </w:r>
    </w:p>
    <w:p>
      <w:pPr>
        <w:spacing w:after="0" w:line="140" w:lineRule="exact"/>
        <w:rPr>
          <w:rFonts w:ascii="Arial" w:cs="Arial" w:eastAsia="Arial" w:hAnsi="Arial"/>
          <w:sz w:val="16"/>
          <w:szCs w:val="16"/>
          <w:color w:val="auto"/>
        </w:rPr>
      </w:pPr>
    </w:p>
    <w:p>
      <w:pPr>
        <w:ind w:left="444" w:right="60" w:firstLine="419"/>
        <w:spacing w:after="0" w:line="286" w:lineRule="auto"/>
        <w:tabs>
          <w:tab w:leader="none" w:pos="1122" w:val="left"/>
        </w:tabs>
        <w:numPr>
          <w:ilvl w:val="0"/>
          <w:numId w:val="300"/>
        </w:numPr>
        <w:rPr>
          <w:rFonts w:ascii="Arial" w:cs="Arial" w:eastAsia="Arial" w:hAnsi="Arial"/>
          <w:sz w:val="17"/>
          <w:szCs w:val="17"/>
          <w:color w:val="auto"/>
        </w:rPr>
      </w:pPr>
      <w:r>
        <w:rPr>
          <w:rFonts w:ascii="Arial" w:cs="Arial" w:eastAsia="Arial" w:hAnsi="Arial"/>
          <w:sz w:val="17"/>
          <w:szCs w:val="17"/>
          <w:color w:val="auto"/>
        </w:rPr>
        <w:t>without duplication (i) as to which an Event of Bankruptcy shall have occurred with respect to the Obligor thereof or any other Person obligated thereon or owning any Related Security with respect thereto, (ii) that has been written off the Seller’s books as uncollectible or (iii) that should have been written off the Seller’s books as uncollectible pursuant to the Credit and Collection Policy.</w:t>
      </w:r>
    </w:p>
    <w:p>
      <w:pPr>
        <w:spacing w:after="0" w:line="165" w:lineRule="exact"/>
        <w:rPr>
          <w:sz w:val="20"/>
          <w:szCs w:val="20"/>
          <w:color w:val="auto"/>
        </w:rPr>
      </w:pPr>
    </w:p>
    <w:p>
      <w:pPr>
        <w:jc w:val="both"/>
        <w:ind w:left="4"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Delinquency Ratio</w:t>
      </w:r>
      <w:r>
        <w:rPr>
          <w:rFonts w:ascii="Arial" w:cs="Arial" w:eastAsia="Arial" w:hAnsi="Arial"/>
          <w:sz w:val="17"/>
          <w:szCs w:val="17"/>
          <w:color w:val="auto"/>
        </w:rPr>
        <w:t>” means the ratio (expressed as a percentage and rounded to the nearest 1/100 of 1%, with 5/1000th of 1% rounded upward), computed as of the last day of each calendar month by dividing: (a) the aggregate Outstanding Balance of all Pool Receivables that became Delinquent Receivables during such month, by (b) the aggregate Outstanding Balance of all Pool Receivables on such day.</w:t>
      </w:r>
    </w:p>
    <w:p>
      <w:pPr>
        <w:spacing w:after="0" w:line="165"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Delinquent Receivable</w:t>
      </w:r>
      <w:r>
        <w:rPr>
          <w:rFonts w:ascii="Arial" w:cs="Arial" w:eastAsia="Arial" w:hAnsi="Arial"/>
          <w:sz w:val="18"/>
          <w:szCs w:val="18"/>
          <w:color w:val="auto"/>
        </w:rPr>
        <w:t>” means a Receivable (a) as to which any payment, or part thereof, remains unpaid for more than 150 days from the original invoice date for such payment or (b)</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I-7</w:t>
      </w:r>
    </w:p>
    <w:p>
      <w:pPr>
        <w:sectPr>
          <w:pgSz w:w="11900" w:h="16838" w:orient="portrait"/>
          <w:cols w:equalWidth="0" w:num="1">
            <w:col w:w="10964"/>
          </w:cols>
          <w:pgMar w:left="436" w:top="274" w:right="499" w:bottom="1440" w:gutter="0" w:footer="0" w:header="0"/>
        </w:sectPr>
      </w:pPr>
    </w:p>
    <w:bookmarkStart w:id="254" w:name="page255"/>
    <w:bookmarkEnd w:id="254"/>
    <w:p>
      <w:pPr>
        <w:ind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duplication, which has been (or consistent with the Credit and Collection Policy, would be) classified as a Delinquent Receivable by the applicable Originator.</w:t>
      </w:r>
    </w:p>
    <w:p>
      <w:pPr>
        <w:spacing w:after="0" w:line="170"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Dilution Horizon Ratio</w:t>
      </w:r>
      <w:r>
        <w:rPr>
          <w:rFonts w:ascii="Arial" w:cs="Arial" w:eastAsia="Arial" w:hAnsi="Arial"/>
          <w:sz w:val="17"/>
          <w:szCs w:val="17"/>
          <w:color w:val="auto"/>
        </w:rPr>
        <w:t>” means, for any calendar month, the ratio (expressed as a percentage and rounded to the nearest 1/100th of 1%, with 5/1000th of 1% rounded upward) computed as of the last day of such calendar month of: (a) the aggregate credit sales made by the Originators during the two most recent calendar months (or such greater number of days or months as determined by the Administrator from time to time with the consent or at the direction of the Purchaser Agents following any periodic audit conducted pursuant to the Transaction Documents), to (b) the Adjusted Net Receivables Pool Balance at the last day of the most recent calendar month.</w:t>
      </w:r>
    </w:p>
    <w:p>
      <w:pPr>
        <w:spacing w:after="0" w:line="176"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 Ratio</w:t>
      </w:r>
      <w:r>
        <w:rPr>
          <w:rFonts w:ascii="Arial" w:cs="Arial" w:eastAsia="Arial" w:hAnsi="Arial"/>
          <w:sz w:val="18"/>
          <w:szCs w:val="18"/>
          <w:color w:val="auto"/>
        </w:rPr>
        <w:t xml:space="preserve">” means the ratio (expressed as a percentage and rounded to the nearest 1/100th of 1%, with 5/1000th of 1% rounded upward), computed as of the last day of each calendar month by dividing: (a) the aggregate amount of payments made or owed by the Seller pursuant to </w:t>
      </w:r>
      <w:r>
        <w:rPr>
          <w:rFonts w:ascii="Arial" w:cs="Arial" w:eastAsia="Arial" w:hAnsi="Arial"/>
          <w:sz w:val="18"/>
          <w:szCs w:val="18"/>
          <w:u w:val="single" w:color="auto"/>
          <w:color w:val="auto"/>
        </w:rPr>
        <w:t>Section 1.4(e)(i)</w:t>
      </w:r>
      <w:r>
        <w:rPr>
          <w:rFonts w:ascii="Arial" w:cs="Arial" w:eastAsia="Arial" w:hAnsi="Arial"/>
          <w:sz w:val="18"/>
          <w:szCs w:val="18"/>
          <w:color w:val="auto"/>
        </w:rPr>
        <w:t xml:space="preserve"> of this Agreement during such calendar month by (b) the aggregate credit sales made by all the Originators during the calendar month that is one month prior to such calendar month.</w:t>
      </w:r>
    </w:p>
    <w:p>
      <w:pPr>
        <w:spacing w:after="0" w:line="18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 Reserve</w:t>
      </w:r>
      <w:r>
        <w:rPr>
          <w:rFonts w:ascii="Arial" w:cs="Arial" w:eastAsia="Arial" w:hAnsi="Arial"/>
          <w:sz w:val="18"/>
          <w:szCs w:val="18"/>
          <w:color w:val="auto"/>
        </w:rPr>
        <w:t xml:space="preserve">” means, on any date, an amount equal to: (a) the Aggregate Investments on such date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(i) the Dilution Reserve Percentage on such date,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(ii) 100% minus the Dilution Reserve Percentage on such date.</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 Reserve Percentage</w:t>
      </w:r>
      <w:r>
        <w:rPr>
          <w:rFonts w:ascii="Arial" w:cs="Arial" w:eastAsia="Arial" w:hAnsi="Arial"/>
          <w:sz w:val="18"/>
          <w:szCs w:val="18"/>
          <w:color w:val="auto"/>
        </w:rPr>
        <w:t xml:space="preserve">” means, on any date, the product of (i) the sum of (A) 2.00 times the Adjusted Dilution Ratio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Dilution Volatility Component,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(ii) the Dilution Horizon Ratio.</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Dilution Volatility Component</w:t>
      </w:r>
      <w:r>
        <w:rPr>
          <w:rFonts w:ascii="Arial" w:cs="Arial" w:eastAsia="Arial" w:hAnsi="Arial"/>
          <w:sz w:val="16"/>
          <w:szCs w:val="16"/>
          <w:color w:val="auto"/>
        </w:rPr>
        <w:t>” means, for any calendar month, the product of (a) the difference of (i) the highest three-month rolling average Dilution Ratio during the twelve most recent calendar months (the “</w:t>
      </w:r>
      <w:r>
        <w:rPr>
          <w:rFonts w:ascii="Arial" w:cs="Arial" w:eastAsia="Arial" w:hAnsi="Arial"/>
          <w:sz w:val="16"/>
          <w:szCs w:val="16"/>
          <w:u w:val="single" w:color="auto"/>
          <w:color w:val="auto"/>
        </w:rPr>
        <w:t>Highest 3-Month Rolling Average Dilution Ratio</w:t>
      </w:r>
      <w:r>
        <w:rPr>
          <w:rFonts w:ascii="Arial" w:cs="Arial" w:eastAsia="Arial" w:hAnsi="Arial"/>
          <w:sz w:val="16"/>
          <w:szCs w:val="16"/>
          <w:color w:val="auto"/>
        </w:rPr>
        <w:t xml:space="preserv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Adjusted Dilution Ratio for such calendar month,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(b) a fraction (i) the numerator of which is the Highest 3-Month Rolling Average Dilution Ratio during the twelve most recent calendar months and (ii) the denominator of which is the Adjusted Dilution Ratio for such calendar month.</w:t>
      </w:r>
    </w:p>
    <w:p>
      <w:pPr>
        <w:spacing w:after="0" w:line="15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w:t>
      </w:r>
      <w:r>
        <w:rPr>
          <w:rFonts w:ascii="Arial" w:cs="Arial" w:eastAsia="Arial" w:hAnsi="Arial"/>
          <w:sz w:val="18"/>
          <w:szCs w:val="18"/>
          <w:color w:val="auto"/>
        </w:rPr>
        <w:t xml:space="preserve">” means for each Portion of Investment for any Yield Period (or portion thereof), the amount of discount accrued on such Portion of Investment during such Yield Period (or portion thereof) in accordance with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Rate Option</w:t>
      </w:r>
      <w:r>
        <w:rPr>
          <w:rFonts w:ascii="Arial" w:cs="Arial" w:eastAsia="Arial" w:hAnsi="Arial"/>
          <w:sz w:val="18"/>
          <w:szCs w:val="18"/>
          <w:color w:val="auto"/>
        </w:rPr>
        <w:t>” means any Term Rate Investment Option or Daily Rate Investment Option.</w:t>
      </w:r>
    </w:p>
    <w:p>
      <w:pPr>
        <w:spacing w:after="0" w:line="22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I-8</w:t>
      </w:r>
    </w:p>
    <w:p>
      <w:pPr>
        <w:sectPr>
          <w:pgSz w:w="11900" w:h="16838" w:orient="portrait"/>
          <w:cols w:equalWidth="0" w:num="1">
            <w:col w:w="10960"/>
          </w:cols>
          <w:pgMar w:left="440" w:top="274" w:right="499" w:bottom="1440" w:gutter="0" w:footer="0" w:header="0"/>
        </w:sectPr>
      </w:pPr>
    </w:p>
    <w:bookmarkStart w:id="255" w:name="page256"/>
    <w:bookmarkEnd w:id="25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Foreign Obligor</w:t>
      </w:r>
      <w:r>
        <w:rPr>
          <w:rFonts w:ascii="Arial" w:cs="Arial" w:eastAsia="Arial" w:hAnsi="Arial"/>
          <w:sz w:val="18"/>
          <w:szCs w:val="18"/>
          <w:color w:val="auto"/>
        </w:rPr>
        <w:t>” means an Obligor which is a resident of any country (other than the United States) that has a long-term currency rating of at least “A” by Standard and Poor’s and “A2” by Moody’s.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Receivable</w:t>
      </w:r>
      <w:r>
        <w:rPr>
          <w:rFonts w:ascii="Arial" w:cs="Arial" w:eastAsia="Arial" w:hAnsi="Arial"/>
          <w:sz w:val="18"/>
          <w:szCs w:val="18"/>
          <w:color w:val="auto"/>
        </w:rPr>
        <w:t>” means, at any time, a Pool Receivable:</w:t>
      </w:r>
    </w:p>
    <w:p>
      <w:pPr>
        <w:spacing w:after="0" w:line="117" w:lineRule="exact"/>
        <w:rPr>
          <w:sz w:val="20"/>
          <w:szCs w:val="20"/>
          <w:color w:val="auto"/>
        </w:rPr>
      </w:pPr>
    </w:p>
    <w:p>
      <w:pPr>
        <w:ind w:left="440" w:right="160" w:firstLine="419"/>
        <w:spacing w:after="0" w:line="342" w:lineRule="auto"/>
        <w:tabs>
          <w:tab w:leader="none" w:pos="1108"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the Obligor of which is (i) a United States resident or an Eligible Foreign Obligor, (ii) not subject to any action of the type described in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V</w:t>
      </w:r>
      <w:r>
        <w:rPr>
          <w:rFonts w:ascii="Arial" w:cs="Arial" w:eastAsia="Arial" w:hAnsi="Arial"/>
          <w:sz w:val="16"/>
          <w:szCs w:val="16"/>
          <w:color w:val="auto"/>
        </w:rPr>
        <w:t xml:space="preserve"> to this Agreement, (iii) not an Affiliate of WESCO or any Originator and (iv) not a Sanctioned Person,</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that is denominated and payable only in U.S. dollars in the United States to a Lock-Box Account,</w:t>
      </w:r>
    </w:p>
    <w:p>
      <w:pPr>
        <w:spacing w:after="0" w:line="117" w:lineRule="exact"/>
        <w:rPr>
          <w:rFonts w:ascii="Arial" w:cs="Arial" w:eastAsia="Arial" w:hAnsi="Arial"/>
          <w:sz w:val="18"/>
          <w:szCs w:val="18"/>
          <w:color w:val="auto"/>
        </w:rPr>
      </w:pPr>
    </w:p>
    <w:p>
      <w:pPr>
        <w:ind w:left="440" w:firstLine="419"/>
        <w:spacing w:after="0" w:line="263" w:lineRule="auto"/>
        <w:tabs>
          <w:tab w:leader="none" w:pos="110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that does not have a stated maturity which is more than 150 days after the original invoice date of such Receivable, unless a longer stated maturity is approved by and in the sole discretion of the Administrator and all of the Purchasers in writing, prior to the acquisition of such Receivable (or any interest therein),</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that arises under a duly authorized Contract for the sale and delivery of goods and services in the ordinary course of an Originator’s</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left="440" w:right="180" w:firstLine="419"/>
        <w:spacing w:after="0" w:line="277" w:lineRule="auto"/>
        <w:tabs>
          <w:tab w:leader="none" w:pos="110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that arises under a duly authorized Contract that is in full force and effect and that is a legal, valid and binding obligation of the related Obligor, enforceable against such Obligor in accordance with its terms,</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that conforms in all material respects with all Applicable Laws in effect,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that is not the subject of any asserted dispute, offset, hold back defense, Adverse Claim or other claim,</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that satisfies all applicable requirements of the applicable Credit and Collection Policy,</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 xml:space="preserve">that has not been modified, waived or restructured since its creation, except as permitted pursuant to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of this Agreement,</w:t>
      </w:r>
    </w:p>
    <w:p>
      <w:pPr>
        <w:spacing w:after="0" w:line="128" w:lineRule="exact"/>
        <w:rPr>
          <w:rFonts w:ascii="Arial" w:cs="Arial" w:eastAsia="Arial" w:hAnsi="Arial"/>
          <w:sz w:val="17"/>
          <w:szCs w:val="17"/>
          <w:color w:val="auto"/>
        </w:rPr>
      </w:pPr>
    </w:p>
    <w:p>
      <w:pPr>
        <w:ind w:left="440" w:right="440" w:firstLine="419"/>
        <w:spacing w:after="0" w:line="277" w:lineRule="auto"/>
        <w:tabs>
          <w:tab w:leader="none" w:pos="107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in which the Seller owns good and marketable title, free and clear of any Adverse Claims, and that is freely assignable by the Seller (including without any consent of the related Obligor),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I-9</w:t>
      </w:r>
    </w:p>
    <w:p>
      <w:pPr>
        <w:sectPr>
          <w:pgSz w:w="11900" w:h="16838" w:orient="portrait"/>
          <w:cols w:equalWidth="0" w:num="1">
            <w:col w:w="10980"/>
          </w:cols>
          <w:pgMar w:left="440" w:top="274" w:right="479" w:bottom="1440" w:gutter="0" w:footer="0" w:header="0"/>
        </w:sectPr>
      </w:pPr>
    </w:p>
    <w:bookmarkStart w:id="256" w:name="page257"/>
    <w:bookmarkEnd w:id="256"/>
    <w:p>
      <w:pPr>
        <w:ind w:left="440" w:right="280" w:firstLine="419"/>
        <w:spacing w:after="0" w:line="286" w:lineRule="auto"/>
        <w:tabs>
          <w:tab w:leader="none" w:pos="1118" w:val="left"/>
        </w:tabs>
        <w:numPr>
          <w:ilvl w:val="0"/>
          <w:numId w:val="3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which the Administrator (for the benefit of each Purchaser) shall have a valid and enforceable undivided percentage ownership or security interest, to the extent of the Purchased Interest, and a valid and enforceable first priority perfected security interest therein and in the Related Security and Collections with respect thereto, in each case free and clear of any Adverse Claim,</w:t>
      </w:r>
    </w:p>
    <w:p>
      <w:pPr>
        <w:spacing w:after="0" w:line="57" w:lineRule="exact"/>
        <w:rPr>
          <w:rFonts w:ascii="Arial" w:cs="Arial" w:eastAsia="Arial" w:hAnsi="Arial"/>
          <w:sz w:val="17"/>
          <w:szCs w:val="17"/>
          <w:color w:val="auto"/>
        </w:rPr>
      </w:pPr>
    </w:p>
    <w:p>
      <w:pPr>
        <w:ind w:left="1080" w:hanging="221"/>
        <w:spacing w:after="0"/>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that constitutes an account as defined in the UCC, and that is not evidenced by instruments or chattel paper,</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that is not a Defaulted Receivable or a Delinquent Receivable,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for which none the Originator thereof, the Seller and the Servicer has established any offset arrangements with the related Obligor,</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for which Defaulted Receivables of the related Obligor do not exceed 50% of the Outstanding Balance of all such Obligor’s Receivables,</w:t>
      </w:r>
    </w:p>
    <w:p>
      <w:pPr>
        <w:spacing w:after="0" w:line="140" w:lineRule="exact"/>
        <w:rPr>
          <w:rFonts w:ascii="Arial" w:cs="Arial" w:eastAsia="Arial" w:hAnsi="Arial"/>
          <w:sz w:val="16"/>
          <w:szCs w:val="16"/>
          <w:color w:val="auto"/>
        </w:rPr>
      </w:pPr>
    </w:p>
    <w:p>
      <w:pPr>
        <w:ind w:left="440" w:right="760" w:firstLine="419"/>
        <w:spacing w:after="0" w:line="277" w:lineRule="auto"/>
        <w:tabs>
          <w:tab w:leader="none" w:pos="111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that represents amounts earned and payable by the Obligor that are not subject to the performance of additional services by the Originator thereof or the Seller,</w:t>
      </w:r>
    </w:p>
    <w:p>
      <w:pPr>
        <w:spacing w:after="0" w:line="62" w:lineRule="exact"/>
        <w:rPr>
          <w:rFonts w:ascii="Arial" w:cs="Arial" w:eastAsia="Arial" w:hAnsi="Arial"/>
          <w:sz w:val="18"/>
          <w:szCs w:val="18"/>
          <w:color w:val="auto"/>
        </w:rPr>
      </w:pPr>
    </w:p>
    <w:p>
      <w:pPr>
        <w:ind w:left="440" w:right="220" w:firstLine="419"/>
        <w:spacing w:after="0" w:line="277" w:lineRule="auto"/>
        <w:tabs>
          <w:tab w:leader="none" w:pos="111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which (i) does not relate to the sale of any consigned goods or finished goods which have incorporated any consigned goods into such finished goods and (ii) is not owed to any Originator or the Seller as a bailee or consignee for another Person,</w:t>
      </w:r>
    </w:p>
    <w:p>
      <w:pPr>
        <w:spacing w:after="0" w:line="62" w:lineRule="exact"/>
        <w:rPr>
          <w:rFonts w:ascii="Arial" w:cs="Arial" w:eastAsia="Arial" w:hAnsi="Arial"/>
          <w:sz w:val="18"/>
          <w:szCs w:val="18"/>
          <w:color w:val="auto"/>
        </w:rPr>
      </w:pPr>
    </w:p>
    <w:p>
      <w:pPr>
        <w:ind w:left="440" w:right="80" w:firstLine="419"/>
        <w:spacing w:after="0" w:line="263" w:lineRule="auto"/>
        <w:tabs>
          <w:tab w:leader="none" w:pos="108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which is not a Receivable attributable to a business acquired by such Originator after the Closing Date unless and until such time, if any, that the Administrator gives written notice to the Servicer that such Receivables shall no longer be ineligible pursuant to this </w:t>
      </w:r>
      <w:r>
        <w:rPr>
          <w:rFonts w:ascii="Arial" w:cs="Arial" w:eastAsia="Arial" w:hAnsi="Arial"/>
          <w:sz w:val="18"/>
          <w:szCs w:val="18"/>
          <w:u w:val="single" w:color="auto"/>
          <w:color w:val="auto"/>
        </w:rPr>
        <w:t>clause (r)</w:t>
      </w:r>
      <w:r>
        <w:rPr>
          <w:rFonts w:ascii="Arial" w:cs="Arial" w:eastAsia="Arial" w:hAnsi="Arial"/>
          <w:sz w:val="18"/>
          <w:szCs w:val="18"/>
          <w:color w:val="auto"/>
        </w:rPr>
        <w:t>, such consent not to be unreasonably withheld, delayed or conditioned,</w:t>
      </w:r>
    </w:p>
    <w:p>
      <w:pPr>
        <w:spacing w:after="0" w:line="75" w:lineRule="exact"/>
        <w:rPr>
          <w:rFonts w:ascii="Arial" w:cs="Arial" w:eastAsia="Arial" w:hAnsi="Arial"/>
          <w:sz w:val="18"/>
          <w:szCs w:val="18"/>
          <w:color w:val="auto"/>
        </w:rPr>
      </w:pPr>
    </w:p>
    <w:p>
      <w:pPr>
        <w:ind w:left="1100" w:hanging="241"/>
        <w:spacing w:after="0"/>
        <w:tabs>
          <w:tab w:leader="none" w:pos="11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which is not an Ineligible Subject Originator Receivable,</w:t>
      </w:r>
    </w:p>
    <w:p>
      <w:pPr>
        <w:spacing w:after="0" w:line="117" w:lineRule="exact"/>
        <w:rPr>
          <w:rFonts w:ascii="Arial" w:cs="Arial" w:eastAsia="Arial" w:hAnsi="Arial"/>
          <w:sz w:val="18"/>
          <w:szCs w:val="18"/>
          <w:color w:val="auto"/>
        </w:rPr>
      </w:pPr>
    </w:p>
    <w:p>
      <w:pPr>
        <w:ind w:left="440" w:right="220" w:firstLine="419"/>
        <w:spacing w:after="0" w:line="222" w:lineRule="auto"/>
        <w:tabs>
          <w:tab w:leader="none" w:pos="107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which on and after the one hundred twentieth (120</w:t>
      </w:r>
      <w:r>
        <w:rPr>
          <w:rFonts w:ascii="Arial" w:cs="Arial" w:eastAsia="Arial" w:hAnsi="Arial"/>
          <w:sz w:val="26"/>
          <w:szCs w:val="26"/>
          <w:color w:val="auto"/>
          <w:vertAlign w:val="superscript"/>
        </w:rPr>
        <w:t>th</w:t>
      </w:r>
      <w:r>
        <w:rPr>
          <w:rFonts w:ascii="Arial" w:cs="Arial" w:eastAsia="Arial" w:hAnsi="Arial"/>
          <w:sz w:val="18"/>
          <w:szCs w:val="18"/>
          <w:color w:val="auto"/>
        </w:rPr>
        <w:t>) day after the Closing Date, is not a Receivable the Originator of which is Anixter Inc. unless the Seller or Servicer shall have delivered an amendment to (or termination of) the Subject Anixter UCC in form and substance reasonably satisfactory to the Administrator;</w:t>
      </w:r>
    </w:p>
    <w:p>
      <w:pPr>
        <w:spacing w:after="0" w:line="96" w:lineRule="exact"/>
        <w:rPr>
          <w:rFonts w:ascii="Arial" w:cs="Arial" w:eastAsia="Arial" w:hAnsi="Arial"/>
          <w:sz w:val="18"/>
          <w:szCs w:val="18"/>
          <w:color w:val="auto"/>
        </w:rPr>
      </w:pPr>
    </w:p>
    <w:p>
      <w:pPr>
        <w:ind w:left="1120" w:hanging="261"/>
        <w:spacing w:after="0"/>
        <w:tabs>
          <w:tab w:leader="none" w:pos="11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is not Embargoed Property; and</w:t>
      </w:r>
    </w:p>
    <w:p>
      <w:pPr>
        <w:spacing w:after="0" w:line="117" w:lineRule="exact"/>
        <w:rPr>
          <w:rFonts w:ascii="Arial" w:cs="Arial" w:eastAsia="Arial" w:hAnsi="Arial"/>
          <w:sz w:val="18"/>
          <w:szCs w:val="18"/>
          <w:color w:val="auto"/>
        </w:rPr>
      </w:pPr>
    </w:p>
    <w:p>
      <w:pPr>
        <w:ind w:left="440" w:right="60" w:firstLine="419"/>
        <w:spacing w:after="0" w:line="277" w:lineRule="auto"/>
        <w:tabs>
          <w:tab w:leader="none" w:pos="111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which is not a Receivable, the Obligor of which is Fameccanica North America, Inc. or any Subsidiary thereof, unless the Administrator receives of evidence of the termination of the Fameccania Financing Statement.</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Embargoed Property</w:t>
      </w:r>
      <w:r>
        <w:rPr>
          <w:rFonts w:ascii="Arial" w:cs="Arial" w:eastAsia="Arial" w:hAnsi="Arial"/>
          <w:sz w:val="18"/>
          <w:szCs w:val="18"/>
          <w:color w:val="auto"/>
        </w:rPr>
        <w:t>” means any property; (a) beneficially owned, directly or indirectly, by a Sanctioned Person; (b) that is due to or from a Sanctioned Person; (c) in which a Sanctioned Person otherwise holds any interest; (d) that is located in a Sanctioned Jurisdiction; or (e) that otherwise would cause any actual or possible violation by the Purchaser Parties or the Administrator of any applicable Anti-Terrorism Law if the Purchasers or the Administrator were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I-10</w:t>
      </w:r>
    </w:p>
    <w:p>
      <w:pPr>
        <w:sectPr>
          <w:pgSz w:w="11900" w:h="16838" w:orient="portrait"/>
          <w:cols w:equalWidth="0" w:num="1">
            <w:col w:w="10980"/>
          </w:cols>
          <w:pgMar w:left="440" w:top="274" w:right="479" w:bottom="1440" w:gutter="0" w:footer="0" w:header="0"/>
        </w:sectPr>
      </w:pPr>
    </w:p>
    <w:bookmarkStart w:id="257" w:name="page258"/>
    <w:bookmarkEnd w:id="25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obtain an encumbrance on, lien on, pledge of, or security interest in such property, or provide services in consideration of such property.</w:t>
      </w:r>
    </w:p>
    <w:p>
      <w:pPr>
        <w:spacing w:after="0" w:line="23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any successor statute of similar import, together with the regulations thereunder, in each case as in effect from time to time. References to sections of ERISA also refer to any successor sections.</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xml:space="preserve">” means: (a) any corporation that is a member of the same controlled group of corporations (within the meaning of Section 414(b) of the Internal Revenue Code) as the Seller, any Originator or WESCO, (b) a trade or business (whether or not incorporated) under common control (within the meaning of Section 414(c) of the Internal Revenue Code) with the Seller, any Originator or WESCO, or (c) a member of the same affiliated service group (within the meaning of Section 414(m) of the Internal Revenue Code) as the Seller, any Originator, any corporation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any trade or business described in </w:t>
      </w:r>
      <w:r>
        <w:rPr>
          <w:rFonts w:ascii="Arial" w:cs="Arial" w:eastAsia="Arial" w:hAnsi="Arial"/>
          <w:sz w:val="18"/>
          <w:szCs w:val="18"/>
          <w:u w:val="single" w:color="auto"/>
          <w:color w:val="auto"/>
        </w:rPr>
        <w:t>clause (b)</w:t>
      </w:r>
      <w:r>
        <w:rPr>
          <w:rFonts w:ascii="Arial" w:cs="Arial" w:eastAsia="Arial" w:hAnsi="Arial"/>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4.8(a)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Notice</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4.8(a)</w:t>
      </w:r>
      <w:r>
        <w:rPr>
          <w:rFonts w:ascii="Arial" w:cs="Arial" w:eastAsia="Arial" w:hAnsi="Arial"/>
          <w:sz w:val="18"/>
          <w:szCs w:val="18"/>
          <w:color w:val="auto"/>
        </w:rPr>
        <w:t>.</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Securitisation Regulation</w:t>
      </w:r>
      <w:r>
        <w:rPr>
          <w:rFonts w:ascii="Arial" w:cs="Arial" w:eastAsia="Arial" w:hAnsi="Arial"/>
          <w:sz w:val="18"/>
          <w:szCs w:val="18"/>
          <w:color w:val="auto"/>
        </w:rPr>
        <w:t>” means Regulation (EU) 2017/2402 of the European Parliament and of the Council of 12 December 2017 laying down a general framework for securitisation and creating a specific framework for simple, transparent and standardized securitisation, and amending certain other European Union Directives and Regulations, as amended.</w:t>
      </w:r>
    </w:p>
    <w:p>
      <w:pPr>
        <w:spacing w:after="0" w:line="184"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Securitisation Regulation Rules</w:t>
      </w:r>
      <w:r>
        <w:rPr>
          <w:rFonts w:ascii="Arial" w:cs="Arial" w:eastAsia="Arial" w:hAnsi="Arial"/>
          <w:sz w:val="18"/>
          <w:szCs w:val="18"/>
          <w:color w:val="auto"/>
        </w:rPr>
        <w:t>” means the EU Securitisation Regulation, together with all relevant implementing regulations in relation thereto, all regulatory technical standards and implementing technical standards in relation thereto or applicable in relation thereto pursuant to any transitional arrangements made pursuant to the EU Securitisation Regulation and, in each case, any relevant guidance published in relation thereto by the European Banking Authority, the European Securities and Markets Authority and the European Insurance and Occupational Pensions Authority (or in each case, any predecessor or any other applicable regulatory authority) or by the European Commission, in each case, as amended and in effect from time to time.</w:t>
      </w:r>
    </w:p>
    <w:p>
      <w:pPr>
        <w:spacing w:after="0" w:line="192"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EU/UK Risk Retention Letter</w:t>
      </w:r>
      <w:r>
        <w:rPr>
          <w:rFonts w:ascii="Arial" w:cs="Arial" w:eastAsia="Arial" w:hAnsi="Arial"/>
          <w:sz w:val="18"/>
          <w:szCs w:val="18"/>
          <w:color w:val="auto"/>
        </w:rPr>
        <w:t>” means the EU/UK risk retention letter, dated as of June 1, 2021, between WESCO, the Seller, the Originators and the Administrator, as the same may be amended or modified in accordance with its terms and the terms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EUWA</w:t>
      </w:r>
      <w:r>
        <w:rPr>
          <w:rFonts w:ascii="Arial" w:cs="Arial" w:eastAsia="Arial" w:hAnsi="Arial"/>
          <w:sz w:val="18"/>
          <w:szCs w:val="18"/>
          <w:color w:val="auto"/>
        </w:rPr>
        <w:t>” means the European Union (Withdrawal) Act 2018, as amended.</w:t>
      </w:r>
    </w:p>
    <w:p>
      <w:pPr>
        <w:spacing w:after="0" w:line="225" w:lineRule="exact"/>
        <w:rPr>
          <w:sz w:val="20"/>
          <w:szCs w:val="20"/>
          <w:color w:val="auto"/>
        </w:rPr>
      </w:pPr>
    </w:p>
    <w:p>
      <w:pPr>
        <w:jc w:val="both"/>
        <w:ind w:right="6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Bankruptcy</w:t>
      </w:r>
      <w:r>
        <w:rPr>
          <w:rFonts w:ascii="Arial" w:cs="Arial" w:eastAsia="Arial" w:hAnsi="Arial"/>
          <w:sz w:val="18"/>
          <w:szCs w:val="18"/>
          <w:color w:val="auto"/>
        </w:rPr>
        <w:t>” means (a) any case, action or proceeding before any court or other governmental authority relating to bankruptcy, reorganization, insolvency, liquidation, receivership, dissolution, winding-up or relief of debtors or (b) any general assignment for the benefit of creditors of a Person or any composition, marshalling of assets for creditors of a Person,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I-11</w:t>
      </w:r>
    </w:p>
    <w:p>
      <w:pPr>
        <w:sectPr>
          <w:pgSz w:w="11900" w:h="16838" w:orient="portrait"/>
          <w:cols w:equalWidth="0" w:num="1">
            <w:col w:w="11000"/>
          </w:cols>
          <w:pgMar w:left="440" w:top="274" w:right="459" w:bottom="1440" w:gutter="0" w:footer="0" w:header="0"/>
        </w:sectPr>
      </w:pPr>
    </w:p>
    <w:bookmarkStart w:id="258" w:name="page259"/>
    <w:bookmarkEnd w:id="258"/>
    <w:p>
      <w:pPr>
        <w:ind w:left="4"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other similar arrangement in respect of its creditors generally or any substantial portion of its creditors; in each of cases (a) and (b) undertaken under U.S. Federal, state or foreign law, including the U.S. Bankruptcy Code.</w:t>
      </w:r>
    </w:p>
    <w:p>
      <w:pPr>
        <w:spacing w:after="0" w:line="170" w:lineRule="exact"/>
        <w:rPr>
          <w:sz w:val="20"/>
          <w:szCs w:val="20"/>
          <w:color w:val="auto"/>
        </w:rPr>
      </w:pPr>
    </w:p>
    <w:p>
      <w:pPr>
        <w:ind w:left="4" w:right="10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Exception Account</w:t>
      </w:r>
      <w:r>
        <w:rPr>
          <w:rFonts w:ascii="Arial" w:cs="Arial" w:eastAsia="Arial" w:hAnsi="Arial"/>
          <w:sz w:val="17"/>
          <w:szCs w:val="17"/>
          <w:color w:val="auto"/>
        </w:rPr>
        <w:t xml:space="preserve">” means each account identified as such in the Lock-Box Schedule Letter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“Exception Account” may be added to the Lock-Box Schedule Letter Agreement without the prior written consent of the Administrator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account shall cease to be an Exception Account upon the satisfaction of the following conditions: (x) such account is maintained in the name of the Seller and (y) the Seller, the Servicer, the Administrator and the related Lock-Box Bank have entered into a Lock-Box Agreement with respect to such account, in form and substance reasonably satisfactory to the Administrator.</w:t>
      </w:r>
    </w:p>
    <w:p>
      <w:pPr>
        <w:spacing w:after="0" w:line="17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Exception Account Conditions</w:t>
      </w:r>
      <w:r>
        <w:rPr>
          <w:rFonts w:ascii="Arial" w:cs="Arial" w:eastAsia="Arial" w:hAnsi="Arial"/>
          <w:sz w:val="18"/>
          <w:szCs w:val="18"/>
          <w:color w:val="auto"/>
        </w:rPr>
        <w:t>” means (a) with respect to the Frost Bank Lock-Box Account, the Frost Bank Conditions, (b) [reserved] and</w:t>
      </w:r>
    </w:p>
    <w:p>
      <w:pPr>
        <w:spacing w:after="0" w:line="23" w:lineRule="exact"/>
        <w:rPr>
          <w:sz w:val="20"/>
          <w:szCs w:val="20"/>
          <w:color w:val="auto"/>
        </w:rPr>
      </w:pPr>
    </w:p>
    <w:p>
      <w:pPr>
        <w:ind w:left="4" w:right="40" w:hanging="4"/>
        <w:spacing w:after="0" w:line="269" w:lineRule="auto"/>
        <w:tabs>
          <w:tab w:leader="none" w:pos="249" w:val="left"/>
        </w:tabs>
        <w:numPr>
          <w:ilvl w:val="0"/>
          <w:numId w:val="303"/>
        </w:numPr>
        <w:rPr>
          <w:rFonts w:ascii="Arial" w:cs="Arial" w:eastAsia="Arial" w:hAnsi="Arial"/>
          <w:sz w:val="17"/>
          <w:szCs w:val="17"/>
          <w:color w:val="auto"/>
        </w:rPr>
      </w:pPr>
      <w:r>
        <w:rPr>
          <w:rFonts w:ascii="Arial" w:cs="Arial" w:eastAsia="Arial" w:hAnsi="Arial"/>
          <w:sz w:val="17"/>
          <w:szCs w:val="17"/>
          <w:color w:val="auto"/>
        </w:rPr>
        <w:t xml:space="preserve">with respect to each other Exception Account, (i) the amount of Collections received in (A) such Exception Account during each calendar month does not exceed $10,000,000 (or such other amounts agreed to in writing by the Administrator,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higher amount shall not exceed $20,000,000 unless agreed to in writing by the Majority Purchasers) and (B) all such Exception Accounts under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in the aggregate, during each calendar month does not exceed $15,000,000 (or such other amounts agreed to in writing by the Administrator,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higher amount shall not exceed $30,000,000 unless agreed to in writing by the Majority Purchasers), (ii) no Termination Event has occurred and is continuing and (iii) all Collections received in such Exception Account are being automatically transferred directly to a Lock-Box Account (other than an Exception Account) no later than two (2) Business Day following receipt thereof.</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Concentration</w:t>
      </w:r>
      <w:r>
        <w:rPr>
          <w:rFonts w:ascii="Arial" w:cs="Arial" w:eastAsia="Arial" w:hAnsi="Arial"/>
          <w:sz w:val="18"/>
          <w:szCs w:val="18"/>
          <w:color w:val="auto"/>
        </w:rPr>
        <w:t>” means, without duplication, the sum of the following amounts:</w:t>
      </w:r>
    </w:p>
    <w:p>
      <w:pPr>
        <w:spacing w:after="0" w:line="117" w:lineRule="exact"/>
        <w:rPr>
          <w:sz w:val="20"/>
          <w:szCs w:val="20"/>
          <w:color w:val="auto"/>
        </w:rPr>
      </w:pPr>
    </w:p>
    <w:p>
      <w:pPr>
        <w:jc w:val="both"/>
        <w:ind w:left="444" w:right="140" w:firstLine="419"/>
        <w:spacing w:after="0" w:line="263" w:lineRule="auto"/>
        <w:tabs>
          <w:tab w:leader="none" w:pos="108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amount by which the Outstanding Balance of Eligible Receivables of each Obligor then in the Receivables Pool exceeds an amount equal to: (a) the applicable Concentration Percentage for such Obligor multiplied by (b) the Outstanding Balance of all Eligible Receivables then in the Receivables Pool;</w:t>
      </w:r>
    </w:p>
    <w:p>
      <w:pPr>
        <w:spacing w:after="0" w:line="75" w:lineRule="exact"/>
        <w:rPr>
          <w:rFonts w:ascii="Arial" w:cs="Arial" w:eastAsia="Arial" w:hAnsi="Arial"/>
          <w:sz w:val="18"/>
          <w:szCs w:val="18"/>
          <w:color w:val="auto"/>
        </w:rPr>
      </w:pPr>
    </w:p>
    <w:p>
      <w:pPr>
        <w:ind w:left="444" w:firstLine="419"/>
        <w:spacing w:after="0" w:line="342" w:lineRule="auto"/>
        <w:tabs>
          <w:tab w:leader="none" w:pos="1132"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amount by which the aggregate Outstanding Balance of all Eligible Receivables then in the Receivables Pool, the Obligor of which is an Eligible Foreign Obligor, exceeds 3.00% of the aggregate Outstanding Balance of all Eligible Receivables then in the Receivables Pool;</w:t>
      </w:r>
    </w:p>
    <w:p>
      <w:pPr>
        <w:spacing w:after="0" w:line="15" w:lineRule="exact"/>
        <w:rPr>
          <w:rFonts w:ascii="Arial" w:cs="Arial" w:eastAsia="Arial" w:hAnsi="Arial"/>
          <w:sz w:val="16"/>
          <w:szCs w:val="16"/>
          <w:color w:val="auto"/>
        </w:rPr>
      </w:pPr>
    </w:p>
    <w:p>
      <w:pPr>
        <w:jc w:val="both"/>
        <w:ind w:left="444" w:right="60" w:firstLine="419"/>
        <w:spacing w:after="0" w:line="263" w:lineRule="auto"/>
        <w:tabs>
          <w:tab w:leader="none" w:pos="118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amount by which the aggregate Outstanding Balance of all Eligible Receivables then in the Receivables Pool, the Obligor of which is a government or governmental subdivision, affiliate or agency, exceeds 5.00% of the aggregate Outstanding Balance of all Eligible Receivables then in the Receivables Pool;</w:t>
      </w:r>
    </w:p>
    <w:p>
      <w:pPr>
        <w:spacing w:after="0" w:line="75" w:lineRule="exact"/>
        <w:rPr>
          <w:rFonts w:ascii="Arial" w:cs="Arial" w:eastAsia="Arial" w:hAnsi="Arial"/>
          <w:sz w:val="18"/>
          <w:szCs w:val="18"/>
          <w:color w:val="auto"/>
        </w:rPr>
      </w:pPr>
    </w:p>
    <w:p>
      <w:pPr>
        <w:ind w:left="1164" w:hanging="301"/>
        <w:spacing w:after="0"/>
        <w:tabs>
          <w:tab w:leader="none" w:pos="116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4" w:right="100" w:firstLine="419"/>
        <w:spacing w:after="0" w:line="277" w:lineRule="auto"/>
        <w:tabs>
          <w:tab w:leader="none" w:pos="112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amount by which the aggregate Outstanding Balance of all Eligible Receivables then in the Receivables Pool which are aged greater than 90 days from the original invoice date for such payment and without duplication less than 121 days from the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I-12</w:t>
      </w:r>
    </w:p>
    <w:p>
      <w:pPr>
        <w:sectPr>
          <w:pgSz w:w="11900" w:h="16838" w:orient="portrait"/>
          <w:cols w:equalWidth="0" w:num="1">
            <w:col w:w="11004"/>
          </w:cols>
          <w:pgMar w:left="436" w:top="274" w:right="459" w:bottom="1440" w:gutter="0" w:footer="0" w:header="0"/>
        </w:sectPr>
      </w:pPr>
    </w:p>
    <w:bookmarkStart w:id="259" w:name="page260"/>
    <w:bookmarkEnd w:id="259"/>
    <w:p>
      <w:pPr>
        <w:ind w:left="440"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original invoice date for such payment, exceeds 7.50% of the aggregate credit sales made by the Originators in the month that is three months prior to the current month; and</w:t>
      </w:r>
    </w:p>
    <w:p>
      <w:pPr>
        <w:spacing w:after="0" w:line="62" w:lineRule="exact"/>
        <w:rPr>
          <w:sz w:val="20"/>
          <w:szCs w:val="20"/>
          <w:color w:val="auto"/>
        </w:rPr>
      </w:pPr>
    </w:p>
    <w:p>
      <w:pPr>
        <w:ind w:left="440" w:firstLine="419"/>
        <w:spacing w:after="0" w:line="311" w:lineRule="auto"/>
        <w:tabs>
          <w:tab w:leader="none" w:pos="1168"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amount by which the aggregate Outstanding Balance of all Eligible Receivables then in the Receivables Pool which are aged greater than 120 days from the original invoice date for such payment and without duplication less than 151 days from the original invoice date for such payment, exceeds 5.00% of the aggregate credit sales made by the Originators in the month that is four months prior to the current month.</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Receivable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Schedule X</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Exiting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1.4(b)(ii)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Exiting Purchaser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1.4(b)(ii)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Fameccania Financing Statement</w:t>
      </w:r>
      <w:r>
        <w:rPr>
          <w:rFonts w:ascii="Arial" w:cs="Arial" w:eastAsia="Arial" w:hAnsi="Arial"/>
          <w:sz w:val="18"/>
          <w:szCs w:val="18"/>
          <w:color w:val="auto"/>
        </w:rPr>
        <w:t>” means that certain UCC-1 Financing Statement with the filing number 2021 3929933, filed with the Delaware Department of State on May 20, 2021, naming “WESCO DISTRIBUTION INC.”, as the debtor and “DEUTSCHE BANKE AG, ACTING BY AND THROGH ITS NEW YORK BRANCH”, as the secured party.</w:t>
      </w:r>
    </w:p>
    <w:p>
      <w:pPr>
        <w:spacing w:after="0" w:line="184"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 Termination Date</w:t>
      </w:r>
      <w:r>
        <w:rPr>
          <w:rFonts w:ascii="Arial" w:cs="Arial" w:eastAsia="Arial" w:hAnsi="Arial"/>
          <w:sz w:val="16"/>
          <w:szCs w:val="16"/>
          <w:color w:val="auto"/>
        </w:rPr>
        <w:t xml:space="preserve">” means the earliest to occur of: (a) with respect to any Purchaser, the applicable Scheduled Commitment Termination Date with respect to such Purchaser, subject to any extension thereof pursuant to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of this Agreement (it being understood that if any such Purchaser does not extend its Commitment hereunder then the Purchase Limit shall be reduced ratably with respect to the Purchasers in each Purchaser Group by an amount equal to the Commitment of such non-extending Purchaser and the Commitment Percentages and Group Commitments of the Purchasers within each Purchaser Group shall be appropriately adjusted), (b) the date determined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this Agreement, (c) the date the Purchase Limit reduces to zero pursuant to </w:t>
      </w:r>
      <w:r>
        <w:rPr>
          <w:rFonts w:ascii="Arial" w:cs="Arial" w:eastAsia="Arial" w:hAnsi="Arial"/>
          <w:sz w:val="16"/>
          <w:szCs w:val="16"/>
          <w:u w:val="single" w:color="auto"/>
          <w:color w:val="auto"/>
        </w:rPr>
        <w:t>Section 1.1(b)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of this Agreement and (d) with respect to each Purchaser Group, the date that the commitment, of all of the Committed Purchasers of such Purchaser Group terminate pursuant to </w:t>
      </w:r>
      <w:r>
        <w:rPr>
          <w:rFonts w:ascii="Arial" w:cs="Arial" w:eastAsia="Arial" w:hAnsi="Arial"/>
          <w:sz w:val="16"/>
          <w:szCs w:val="16"/>
          <w:u w:val="single" w:color="auto"/>
          <w:color w:val="auto"/>
        </w:rPr>
        <w:t>Section 1.10</w:t>
      </w:r>
      <w:r>
        <w:rPr>
          <w:rFonts w:ascii="Arial" w:cs="Arial" w:eastAsia="Arial" w:hAnsi="Arial"/>
          <w:sz w:val="16"/>
          <w:szCs w:val="16"/>
          <w:color w:val="auto"/>
        </w:rPr>
        <w: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Reserve Board</w:t>
      </w:r>
      <w:r>
        <w:rPr>
          <w:rFonts w:ascii="Arial" w:cs="Arial" w:eastAsia="Arial" w:hAnsi="Arial"/>
          <w:sz w:val="16"/>
          <w:szCs w:val="16"/>
          <w:color w:val="auto"/>
        </w:rPr>
        <w:t>” means the Board of Governors of the Federal Reserve System, or any entity succeeding to any of its principal functions.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Fees</w:t>
      </w:r>
      <w:r>
        <w:rPr>
          <w:rFonts w:ascii="Arial" w:cs="Arial" w:eastAsia="Arial" w:hAnsi="Arial"/>
          <w:sz w:val="18"/>
          <w:szCs w:val="18"/>
          <w:color w:val="auto"/>
        </w:rPr>
        <w:t>” means the fees payable by the Seller to each Purchaser Group pursuant to the applicable Purchaser Group Fee Letter.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Fifth Third</w:t>
      </w:r>
      <w:r>
        <w:rPr>
          <w:rFonts w:ascii="Arial" w:cs="Arial" w:eastAsia="Arial" w:hAnsi="Arial"/>
          <w:sz w:val="18"/>
          <w:szCs w:val="18"/>
          <w:color w:val="auto"/>
        </w:rPr>
        <w:t>” means Fifth Third Bank, National Association.</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Payout Date</w:t>
      </w:r>
      <w:r>
        <w:rPr>
          <w:rFonts w:ascii="Arial" w:cs="Arial" w:eastAsia="Arial" w:hAnsi="Arial"/>
          <w:sz w:val="18"/>
          <w:szCs w:val="18"/>
          <w:color w:val="auto"/>
        </w:rPr>
        <w:t>” means the date on or after the Facility Termination Date when (i) no Investment of or Discount in respect of the Purchased Interest shall be outstanding, (ii) all other amounts owing to each Indemnified Party and Affected Person hereunder and under the other Transaction Documents have been paid in full and (iii) all accrued Servicing Fees have been paid in full.</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means a rate of interest equal to 0.00%.</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I-13</w:t>
      </w:r>
    </w:p>
    <w:p>
      <w:pPr>
        <w:sectPr>
          <w:pgSz w:w="11900" w:h="16838" w:orient="portrait"/>
          <w:cols w:equalWidth="0" w:num="1">
            <w:col w:w="10960"/>
          </w:cols>
          <w:pgMar w:left="440" w:top="274" w:right="499" w:bottom="1440" w:gutter="0" w:footer="0" w:header="0"/>
        </w:sectPr>
      </w:pPr>
    </w:p>
    <w:bookmarkStart w:id="260" w:name="page261"/>
    <w:bookmarkEnd w:id="260"/>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Frost Bank Lock-Box Account</w:t>
      </w:r>
      <w:r>
        <w:rPr>
          <w:rFonts w:ascii="Arial" w:cs="Arial" w:eastAsia="Arial" w:hAnsi="Arial"/>
          <w:sz w:val="17"/>
          <w:szCs w:val="17"/>
          <w:color w:val="auto"/>
        </w:rPr>
        <w:t>” means the account maintained at Frost Bank and identified in the Lock-Box Schedule Letter Agreement.</w:t>
      </w:r>
    </w:p>
    <w:p>
      <w:pPr>
        <w:spacing w:after="0" w:line="237" w:lineRule="exact"/>
        <w:rPr>
          <w:sz w:val="20"/>
          <w:szCs w:val="20"/>
          <w:color w:val="auto"/>
        </w:rPr>
      </w:pPr>
    </w:p>
    <w:p>
      <w:pPr>
        <w:ind w:left="4" w:right="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Frost Bank Conditions</w:t>
      </w:r>
      <w:r>
        <w:rPr>
          <w:rFonts w:ascii="Arial" w:cs="Arial" w:eastAsia="Arial" w:hAnsi="Arial"/>
          <w:sz w:val="17"/>
          <w:szCs w:val="17"/>
          <w:color w:val="auto"/>
        </w:rPr>
        <w:t>” means, at any time of determination, the satisfaction of each of the following conditions: (a) after December 31, 2015, the Frost Bank Lock-Box Account is maintained in the name of the Seller, (b) after December 31, 2015, no funds other than Collections on Receivables originated by Hill Country Electric Supply, L.P. are being remitted to the Frost Bank Lock-Box Account, (c) the amount of Collections received in the Frost Bank Lock-Box Account during each calendar month does not exceed $20,000,000 in the aggregate, (d) no Termination Event has occurred and is continuing and (e) all Collections received in the Frost Bank Lock-Box Account are being automatically transferred directly to a Lock-Box Account (other than the Frost Bank Lock-Box Account) no later than two (2) Business Day following receipt thereof.</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the generally accepted accounting principles and practices in the United States, consistently applied.</w:t>
      </w:r>
    </w:p>
    <w:p>
      <w:pPr>
        <w:spacing w:after="0" w:line="225"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Group A Obligor</w:t>
      </w:r>
      <w:r>
        <w:rPr>
          <w:rFonts w:ascii="Arial" w:cs="Arial" w:eastAsia="Arial" w:hAnsi="Arial"/>
          <w:sz w:val="17"/>
          <w:szCs w:val="17"/>
          <w:color w:val="auto"/>
        </w:rPr>
        <w:t>” means any Obligor (or its parent or majority owner, as applicable, if such Obligor is not rated) with a short-term rating of at</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least: (a) “A-1” by Standard &amp; Poor’s, or if such Obligor does not have a short-term rating from S&amp;P, a rating of “A+” or better by Standard &amp; Poor’s 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such Obligor’s, its parent’s, or its majority owner’s (as applicable) long-term senior unsecured and uncredit-enhanced debt securities,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(b) “P 1” by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Moody’s, or if such Obligor does not have a short-term rating from Moody’s, “Al” or better by Moody’s on such Obligor’s, its parent’s or its majority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owner’s (as applicable) long-term senior unsecured and uncredit-enhanced debt securities. Notwithstanding the foregoing, any Obligor that is a</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Subsidiary of an Obligor that satisfies the definition of “Group A Obligor” shall be deemed to be a Group A Obligor and shall be aggregated with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Obligor that satisfies such definition for the purposes of determining the “Concentration Reserve Percentage”, the “Concentration Reserve” and </w:t>
      </w:r>
      <w:r>
        <w:rPr>
          <w:rFonts w:ascii="Arial" w:cs="Arial" w:eastAsia="Arial" w:hAnsi="Arial"/>
          <w:sz w:val="16"/>
          <w:szCs w:val="16"/>
          <w:u w:val="single" w:color="auto"/>
          <w:color w:val="auto"/>
        </w:rPr>
        <w:t>clause</w:t>
      </w:r>
    </w:p>
    <w:p>
      <w:pPr>
        <w:spacing w:after="0" w:line="32" w:lineRule="exact"/>
        <w:rPr>
          <w:sz w:val="20"/>
          <w:szCs w:val="20"/>
          <w:color w:val="auto"/>
        </w:rPr>
      </w:pPr>
    </w:p>
    <w:p>
      <w:pPr>
        <w:jc w:val="both"/>
        <w:ind w:left="4" w:right="120" w:hanging="4"/>
        <w:spacing w:after="0" w:line="302" w:lineRule="auto"/>
        <w:tabs>
          <w:tab w:leader="none" w:pos="219" w:val="left"/>
        </w:tabs>
        <w:numPr>
          <w:ilvl w:val="0"/>
          <w:numId w:val="306"/>
        </w:numPr>
        <w:rPr>
          <w:rFonts w:ascii="Arial" w:cs="Arial" w:eastAsia="Arial" w:hAnsi="Arial"/>
          <w:sz w:val="16"/>
          <w:szCs w:val="16"/>
          <w:u w:val="single" w:color="auto"/>
          <w:color w:val="auto"/>
        </w:rPr>
      </w:pPr>
      <w:r>
        <w:rPr>
          <w:rFonts w:ascii="Arial" w:cs="Arial" w:eastAsia="Arial" w:hAnsi="Arial"/>
          <w:sz w:val="16"/>
          <w:szCs w:val="16"/>
          <w:color w:val="auto"/>
        </w:rPr>
        <w:t>of the definition of “Excess Concentration” for such Obligors, unless such deemed Obligor separately 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w:t>
      </w:r>
    </w:p>
    <w:p>
      <w:pPr>
        <w:spacing w:after="0" w:line="155" w:lineRule="exact"/>
        <w:rPr>
          <w:sz w:val="20"/>
          <w:szCs w:val="20"/>
          <w:color w:val="auto"/>
        </w:rPr>
      </w:pPr>
    </w:p>
    <w:p>
      <w:pPr>
        <w:ind w:left="4" w:right="2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Group B Obligor</w:t>
      </w:r>
      <w:r>
        <w:rPr>
          <w:rFonts w:ascii="Arial" w:cs="Arial" w:eastAsia="Arial" w:hAnsi="Arial"/>
          <w:sz w:val="17"/>
          <w:szCs w:val="17"/>
          <w:color w:val="auto"/>
        </w:rPr>
        <w:t>” means an Obligor (or its parent or majority owner, as applicable, if such Obligor is not rated) that is not a Group A Obligor, with a short-term rating of at least: (a) “A 2” by Standard &amp; Poor’s, or if such Obligor does not have a short-term rating from Standard</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I-14</w:t>
      </w:r>
    </w:p>
    <w:p>
      <w:pPr>
        <w:sectPr>
          <w:pgSz w:w="11900" w:h="16838" w:orient="portrait"/>
          <w:cols w:equalWidth="0" w:num="1">
            <w:col w:w="11004"/>
          </w:cols>
          <w:pgMar w:left="436" w:top="274" w:right="459" w:bottom="1440" w:gutter="0" w:footer="0" w:header="0"/>
        </w:sectPr>
      </w:pPr>
    </w:p>
    <w:bookmarkStart w:id="261" w:name="page262"/>
    <w:bookmarkEnd w:id="261"/>
    <w:p>
      <w:pPr>
        <w:ind w:left="4" w:right="100" w:hanging="4"/>
        <w:spacing w:after="0" w:line="270" w:lineRule="auto"/>
        <w:tabs>
          <w:tab w:leader="none" w:pos="189" w:val="left"/>
        </w:tabs>
        <w:numPr>
          <w:ilvl w:val="0"/>
          <w:numId w:val="3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Poor’s, a rating of “BBB+” to “A” by Standard &amp; Poor’s on such Obligor’s, its parent’s or its majority owner’s (as applicable) long-term senior unsecured and uncredit-enhanced debt securities,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(b) “P 2” by Moody’s, or if such Obligor does not have a short-term rating from Moody’s, “Baal” to “A2” by Moody’s on such Obligor’s, its parent’s or its majority owner’s (as applicable) long-term senior unsecured and uncredit-enhanced debt securities. Notwithstanding the foregoing, any Obligor that is a Subsidiary of an Obligor that satisfies the definition of “Group B Obligor” shall be deemed to be a Group B Obligor and shall be aggregated with the Obligor that satisfies such definition for the purposes of determining the “Concentration Reserve Percentage”, the “Concentration Reserve” and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the definition of “Excess Concentration” for such Obligors, unless such deemed Obligor separately 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w:t>
      </w:r>
    </w:p>
    <w:p>
      <w:pPr>
        <w:spacing w:after="0" w:line="181"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Group C Obligor</w:t>
      </w:r>
      <w:r>
        <w:rPr>
          <w:rFonts w:ascii="Arial" w:cs="Arial" w:eastAsia="Arial" w:hAnsi="Arial"/>
          <w:sz w:val="16"/>
          <w:szCs w:val="16"/>
          <w:color w:val="auto"/>
        </w:rPr>
        <w:t xml:space="preserve">” means an Obligor (or its parent or majority owner, as applicable, if such Obligor is not rated) that is not a Group A Obligor or a Group B Obligor, with a short-term rating of at least: (a) “A 3” by Standard &amp; Poor’s, or if such Obligor does not have a short-term rating from Standard &amp; Poor’s, a rating of “BBB-” to “BBB” by Standard &amp; Poor’s on such Obligor’s, its parent’s or its majority owner’s (as applicable) long-term senior unsecured and uncredit-enhanced debt securities,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(b) “P 3” by Moody’s, or if such Obligor does not have a short-term rating from Moody’s, “Baa3” to “Baa2” by Moody’s on such Obligor’s, its parent’s or its majority owner’s (as applicable) long-term senior unsecured and uncredit-enhanced debt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 Obligor (or its parent or majority owner, as applicable, if such Obligor is not rated) receives a split rating from Standard &amp; Poor’s and Moody’s, then such Obligor (or its parent or majority owner, as applicable) shall be deemed to have the rating from each of Standard &amp; Poor’s and Moody’s as determined in accordance with the rules of construction found in the final paragraph of this Article I, and such deemed rating shall be used for the purposes of whether such rating satisfies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Notwithstanding the foregoing, any Obligor that is a Subsidiary of an Obligor that satisfies the definition of “Group C Obligor” shall be deemed to be a Group C Obligor and shall be aggregated with the Obligor that satisfies such definition for the purposes of determining the “Concentration Reserve Percentage”, the “Concentration Reserve” and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the definition of “Excess Concentration” for such Obligors, unless such deemed Obligor separately 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w:t>
      </w:r>
    </w:p>
    <w:p>
      <w:pPr>
        <w:spacing w:after="0" w:line="171"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Commitment</w:t>
      </w:r>
      <w:r>
        <w:rPr>
          <w:rFonts w:ascii="Arial" w:cs="Arial" w:eastAsia="Arial" w:hAnsi="Arial"/>
          <w:sz w:val="18"/>
          <w:szCs w:val="18"/>
          <w:color w:val="auto"/>
        </w:rPr>
        <w:t>” means with respect to any Purchaser Group the aggregate of the Commitments of each Purchaser within such Purchaser Group.</w:t>
      </w:r>
    </w:p>
    <w:p>
      <w:pPr>
        <w:spacing w:after="0" w:line="170" w:lineRule="exact"/>
        <w:rPr>
          <w:sz w:val="20"/>
          <w:szCs w:val="20"/>
          <w:color w:val="auto"/>
        </w:rPr>
      </w:pPr>
    </w:p>
    <w:p>
      <w:pPr>
        <w:ind w:left="4"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Group D Obligor</w:t>
      </w:r>
      <w:r>
        <w:rPr>
          <w:rFonts w:ascii="Arial" w:cs="Arial" w:eastAsia="Arial" w:hAnsi="Arial"/>
          <w:sz w:val="16"/>
          <w:szCs w:val="16"/>
          <w:color w:val="auto"/>
        </w:rPr>
        <w:t xml:space="preserve">” means any Obligor that is not a Group A Obligor, Group B Obligor or Group C Obligor; </w:t>
      </w:r>
      <w:r>
        <w:rPr>
          <w:rFonts w:ascii="Arial" w:cs="Arial" w:eastAsia="Arial" w:hAnsi="Arial"/>
          <w:sz w:val="16"/>
          <w:szCs w:val="16"/>
          <w:u w:val="single" w:color="auto"/>
          <w:color w:val="auto"/>
        </w:rPr>
        <w:t>provided</w:t>
      </w:r>
      <w:r>
        <w:rPr>
          <w:rFonts w:ascii="Arial" w:cs="Arial" w:eastAsia="Arial" w:hAnsi="Arial"/>
          <w:sz w:val="16"/>
          <w:szCs w:val="16"/>
          <w:color w:val="auto"/>
        </w:rPr>
        <w:t>, that any Obligor (or its parent or majority owner, as applicable, if such Obligor is unrated) that is not rated by both Moody’s and Standard &amp; Poor’s shall be a Group D Obligor.</w:t>
      </w:r>
    </w:p>
    <w:p>
      <w:pPr>
        <w:spacing w:after="0" w:line="124"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Investment</w:t>
      </w:r>
      <w:r>
        <w:rPr>
          <w:rFonts w:ascii="Arial" w:cs="Arial" w:eastAsia="Arial" w:hAnsi="Arial"/>
          <w:sz w:val="18"/>
          <w:szCs w:val="18"/>
          <w:color w:val="auto"/>
        </w:rPr>
        <w:t>” means with respect to any Purchaser Group, an amount equal to the aggregate of all Investments of the Purchasers within such Purchaser Group.</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I-15</w:t>
      </w:r>
    </w:p>
    <w:p>
      <w:pPr>
        <w:sectPr>
          <w:pgSz w:w="11900" w:h="16838" w:orient="portrait"/>
          <w:cols w:equalWidth="0" w:num="1">
            <w:col w:w="10984"/>
          </w:cols>
          <w:pgMar w:left="436" w:top="274" w:right="479" w:bottom="1440" w:gutter="0" w:footer="0" w:header="0"/>
        </w:sectPr>
      </w:pPr>
    </w:p>
    <w:bookmarkStart w:id="262" w:name="page263"/>
    <w:bookmarkEnd w:id="26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Holdings</w:t>
      </w:r>
      <w:r>
        <w:rPr>
          <w:rFonts w:ascii="Arial" w:cs="Arial" w:eastAsia="Arial" w:hAnsi="Arial"/>
          <w:sz w:val="18"/>
          <w:szCs w:val="18"/>
          <w:color w:val="auto"/>
        </w:rPr>
        <w:t>” means WESCO International, Inc.,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Amounts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paragraph 3(c)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IV</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Subject Originator Receivables</w:t>
      </w:r>
      <w:r>
        <w:rPr>
          <w:rFonts w:ascii="Arial" w:cs="Arial" w:eastAsia="Arial" w:hAnsi="Arial"/>
          <w:sz w:val="18"/>
          <w:szCs w:val="18"/>
          <w:color w:val="auto"/>
        </w:rPr>
        <w:t>” means Receivables of a Subject Originator designated as ineligible.</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Package</w:t>
      </w:r>
      <w:r>
        <w:rPr>
          <w:rFonts w:ascii="Arial" w:cs="Arial" w:eastAsia="Arial" w:hAnsi="Arial"/>
          <w:sz w:val="18"/>
          <w:szCs w:val="18"/>
          <w:color w:val="auto"/>
        </w:rPr>
        <w:t xml:space="preserve">” means a report, in substantially the form of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Agreement, furnished to the Administrator pursuant to this Agreement.</w:t>
      </w:r>
    </w:p>
    <w:p>
      <w:pPr>
        <w:spacing w:after="0" w:line="170"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Insolvency Proceeding</w:t>
      </w:r>
      <w:r>
        <w:rPr>
          <w:rFonts w:ascii="Arial" w:cs="Arial" w:eastAsia="Arial" w:hAnsi="Arial"/>
          <w:sz w:val="17"/>
          <w:szCs w:val="17"/>
          <w:color w:val="auto"/>
        </w:rPr>
        <w:t>” means: (a) any case, action or proceeding before any court or other Governmental Authority relating to bankruptcy, reorganization, insolvency, liquidation, receivership, dissolution, winding-up or relief of debtors, or (b) any general assignment for the benefit of creditors, composition, marshaling of assets for creditors, or other, similar arrangement in respect of its creditors generally or any substantial portion of its creditors, in each case undertaken under U.S. Federal, state or foreign law, including the Bankruptcy Code.</w:t>
      </w:r>
    </w:p>
    <w:p>
      <w:pPr>
        <w:spacing w:after="0" w:line="171"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that certain Intercreditor Agreement, dated on or about the date hereof, by and among the Administrator, as receivables agent, Barclays Bank PLC, as ABL lenders agent, WESCO, the Seller, and the other Persons party thereto, as amended, restated, supplemented or otherwise modified from time to time.</w:t>
      </w:r>
    </w:p>
    <w:p>
      <w:pPr>
        <w:spacing w:after="0" w:line="184"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 as amended from time to time, and any successor statute of similar import, together with the regulations thereunder, in each case as in effect from time to time. References to sections of the Internal Revenue Code also refer to any successor sections.</w:t>
      </w:r>
    </w:p>
    <w:p>
      <w:pPr>
        <w:spacing w:after="0" w:line="184"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xml:space="preserve">” means with respect to any Purchaser the amount paid to the Seller by such Purchaser pursuant to this Agreement as reduced from time to time by Collections distributed and applied on account of such Investment pursuant to </w:t>
      </w:r>
      <w:r>
        <w:rPr>
          <w:rFonts w:ascii="Arial" w:cs="Arial" w:eastAsia="Arial" w:hAnsi="Arial"/>
          <w:sz w:val="16"/>
          <w:szCs w:val="16"/>
          <w:u w:val="single" w:color="auto"/>
          <w:color w:val="auto"/>
        </w:rPr>
        <w:t>Section 1.4(d)</w:t>
      </w:r>
      <w:r>
        <w:rPr>
          <w:rFonts w:ascii="Arial" w:cs="Arial" w:eastAsia="Arial" w:hAnsi="Arial"/>
          <w:sz w:val="16"/>
          <w:szCs w:val="16"/>
          <w:color w:val="auto"/>
        </w:rPr>
        <w:t xml:space="preserv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Investment shall have been reduced by any distribution and thereafter all or a portion of such distribution is rescinded or must otherwise be returned for any reason, such Investment shall be increased by the amount of such rescinded or returned distribution as though it had not been made.</w:t>
      </w:r>
    </w:p>
    <w:p>
      <w:pPr>
        <w:spacing w:after="0" w:line="15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Conditions</w:t>
      </w:r>
      <w:r>
        <w:rPr>
          <w:rFonts w:ascii="Arial" w:cs="Arial" w:eastAsia="Arial" w:hAnsi="Arial"/>
          <w:sz w:val="18"/>
          <w:szCs w:val="18"/>
          <w:color w:val="auto"/>
        </w:rPr>
        <w:t xml:space="preserve">” means (i) such proposed additional Subject Originator shall have delivered to the Administrator each of the documents with respect to such Originator described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of the Sale Agreement, in each case in form and substance reasonably satisfactory to the Administrator (it being agreed that the forms previously delivered to the Administrator are satisfactory), (ii) the aggregate Outstanding Balance of all Receivables of such Subject Originator plus the aggregate Outstanding Balance of all Receivables of each other Subject Originator joined to the Sale Agreement pursuant to an amendment not consented to by the Majority Purchasers during such calendar year do not exceed 15.0% of the aggregate Outstanding Balance of all</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I-16</w:t>
      </w:r>
    </w:p>
    <w:p>
      <w:pPr>
        <w:sectPr>
          <w:pgSz w:w="11900" w:h="16838" w:orient="portrait"/>
          <w:cols w:equalWidth="0" w:num="1">
            <w:col w:w="10900"/>
          </w:cols>
          <w:pgMar w:left="440" w:top="274" w:right="559" w:bottom="1440" w:gutter="0" w:footer="0" w:header="0"/>
        </w:sectPr>
      </w:pPr>
    </w:p>
    <w:bookmarkStart w:id="263" w:name="page264"/>
    <w:bookmarkEnd w:id="263"/>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Receivables then in the Receivables Pool, (iii) no Purchase and Sale Termination Event or Unmatured Purchase and Sale Termination Event shall have occurred and be continuing and (iv) no Termination Event or an Unmatured Termination Event shall have occurred and be continuing.</w:t>
      </w:r>
    </w:p>
    <w:p>
      <w:pPr>
        <w:spacing w:after="0" w:line="124"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law(s) (including common law), constitution, statute, treaty, regulation, rule, ordinance, opinion, issued guidance, release, ruling, order, executive order, injunction, writ, decree, bond, judgment, authorization or approval, lien or award of or any settlement arrangement, by agreement, consent or otherwise, with any Governmental Authority, foreign or domestic.</w:t>
      </w:r>
    </w:p>
    <w:p>
      <w:pPr>
        <w:spacing w:after="0" w:line="184"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LCR Security</w:t>
      </w:r>
      <w:r>
        <w:rPr>
          <w:rFonts w:ascii="Arial" w:cs="Arial" w:eastAsia="Arial" w:hAnsi="Arial"/>
          <w:sz w:val="18"/>
          <w:szCs w:val="18"/>
          <w:color w:val="auto"/>
        </w:rPr>
        <w:t>” means any commercial paper or security (other than equity securities issued to WESCO or any Originator that is a consolidated subsidiary of WESCO under GAAP) within the meaning of Paragraph __.32(e)(viii) of the final rules titled Liquidity Coverage Ratio: Liquidity Risk Measurement Standards, 79 Fed. Reg. 197, 61440 et seq. (October 10, 2014).</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Liberty Street</w:t>
      </w:r>
      <w:r>
        <w:rPr>
          <w:rFonts w:ascii="Arial" w:cs="Arial" w:eastAsia="Arial" w:hAnsi="Arial"/>
          <w:sz w:val="18"/>
          <w:szCs w:val="18"/>
          <w:color w:val="auto"/>
        </w:rPr>
        <w:t>” means Liberty Street Funding LLC.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Liquidity Agent</w:t>
      </w:r>
      <w:r>
        <w:rPr>
          <w:rFonts w:ascii="Arial" w:cs="Arial" w:eastAsia="Arial" w:hAnsi="Arial"/>
          <w:sz w:val="16"/>
          <w:szCs w:val="16"/>
          <w:color w:val="auto"/>
        </w:rPr>
        <w:t>” means each of the banks acting or other Persons as agent for the various Liquidity Banks under each Liquidity Agreement.</w:t>
      </w:r>
    </w:p>
    <w:p>
      <w:pPr>
        <w:spacing w:after="0" w:line="248" w:lineRule="exact"/>
        <w:rPr>
          <w:sz w:val="20"/>
          <w:szCs w:val="20"/>
          <w:color w:val="auto"/>
        </w:rPr>
      </w:pPr>
    </w:p>
    <w:p>
      <w:pPr>
        <w:jc w:val="both"/>
        <w:ind w:right="2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Liquidity Agreement</w:t>
      </w:r>
      <w:r>
        <w:rPr>
          <w:rFonts w:ascii="Arial" w:cs="Arial" w:eastAsia="Arial" w:hAnsi="Arial"/>
          <w:sz w:val="16"/>
          <w:szCs w:val="16"/>
          <w:color w:val="auto"/>
        </w:rPr>
        <w:t>” means any agreement entered into in connection with this Agreement pursuant to which a Liquidity Provider agrees to make purchases or advances to, or purchase assets from, any Conduit Purchaser in order to provide liquidity for such Conduit Purchaser’s Purchases.</w:t>
      </w:r>
    </w:p>
    <w:p>
      <w:pPr>
        <w:spacing w:after="0" w:line="12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 Provider</w:t>
      </w:r>
      <w:r>
        <w:rPr>
          <w:rFonts w:ascii="Arial" w:cs="Arial" w:eastAsia="Arial" w:hAnsi="Arial"/>
          <w:sz w:val="18"/>
          <w:szCs w:val="18"/>
          <w:color w:val="auto"/>
        </w:rPr>
        <w:t>” means each bank or other financial institution that provides liquidity support to any Conduit Purchaser pursuant to the terms of a Liquidity Agreement.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Lock-Box Account</w:t>
      </w:r>
      <w:r>
        <w:rPr>
          <w:rFonts w:ascii="Arial" w:cs="Arial" w:eastAsia="Arial" w:hAnsi="Arial"/>
          <w:sz w:val="18"/>
          <w:szCs w:val="18"/>
          <w:color w:val="auto"/>
        </w:rPr>
        <w:t>” means an account maintained in the name of the Seller (or solely with respect to any Exception Account, in the name of the Seller or an Originator) at a bank or other financial institution for the purpose of receiving Collections.</w:t>
      </w:r>
    </w:p>
    <w:p>
      <w:pPr>
        <w:spacing w:after="0" w:line="170"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Lock-Box Agreement</w:t>
      </w:r>
      <w:r>
        <w:rPr>
          <w:rFonts w:ascii="Arial" w:cs="Arial" w:eastAsia="Arial" w:hAnsi="Arial"/>
          <w:sz w:val="18"/>
          <w:szCs w:val="18"/>
          <w:color w:val="auto"/>
        </w:rPr>
        <w:t>” means an agreement among the Seller, the Servicer, a Lock-Box Bank and the Administrator, for the benefit of the Purchasers, establishing “control” (as defined in Section 9-104 of the applicable UCC) of the Administrator in the Lock-Box Account(s) referenced therein.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Lock-Box Bank</w:t>
      </w:r>
      <w:r>
        <w:rPr>
          <w:rFonts w:ascii="Arial" w:cs="Arial" w:eastAsia="Arial" w:hAnsi="Arial"/>
          <w:sz w:val="18"/>
          <w:szCs w:val="18"/>
          <w:color w:val="auto"/>
        </w:rPr>
        <w:t>” means any of the banks or other financial institutions holding one or more Lock-Box Accounts.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Lock-Box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Lock-Box Schedule Letter Agreement</w:t>
      </w:r>
      <w:r>
        <w:rPr>
          <w:rFonts w:ascii="Arial" w:cs="Arial" w:eastAsia="Arial" w:hAnsi="Arial"/>
          <w:sz w:val="18"/>
          <w:szCs w:val="18"/>
          <w:color w:val="auto"/>
        </w:rPr>
        <w:t>” means that certain letter agreement, dated as of December 16, 2010 and as amended, restated, amended and restated, supplemented or otherwise modified or replaced from time to time, among the Seller, the Servicer, the Administrator and each of the Purchasers and Purchaser Agents party thereto, as amended.</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 Reserve</w:t>
      </w:r>
      <w:r>
        <w:rPr>
          <w:rFonts w:ascii="Arial" w:cs="Arial" w:eastAsia="Arial" w:hAnsi="Arial"/>
          <w:sz w:val="18"/>
          <w:szCs w:val="18"/>
          <w:color w:val="auto"/>
        </w:rPr>
        <w:t>” means, on any date, an amount equal to (i) the aggregate of the Investment of all Purchasers set forth in the definition thereof at the close of business of the Servicer on such</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I-17</w:t>
      </w:r>
    </w:p>
    <w:p>
      <w:pPr>
        <w:sectPr>
          <w:pgSz w:w="11900" w:h="16838" w:orient="portrait"/>
          <w:cols w:equalWidth="0" w:num="1">
            <w:col w:w="10920"/>
          </w:cols>
          <w:pgMar w:left="440" w:top="274" w:right="539" w:bottom="1440" w:gutter="0" w:footer="0" w:header="0"/>
        </w:sectPr>
      </w:pPr>
    </w:p>
    <w:bookmarkStart w:id="264" w:name="page265"/>
    <w:bookmarkEnd w:id="26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multiplied by (ii)(A) the Loss Reserve Percentage on such date divided by (B) 100% minus the Loss Reserve Percentage on such date.</w:t>
      </w:r>
    </w:p>
    <w:p>
      <w:pPr>
        <w:spacing w:after="0" w:line="237"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 Reserve Percentage</w:t>
      </w:r>
      <w:r>
        <w:rPr>
          <w:rFonts w:ascii="Arial" w:cs="Arial" w:eastAsia="Arial" w:hAnsi="Arial"/>
          <w:sz w:val="17"/>
          <w:szCs w:val="17"/>
          <w:color w:val="auto"/>
        </w:rPr>
        <w:t>” means, on any date, (i) the product of (A) 2.00 times the highest average of the Default Ratios for any three consecutive calendar months during the twelve most recent calendar months multiplied by (B) the sum of (x) the aggregate credit sales made by the Originators during the four most recent calendar months and (y) the product of 0.125 and the aggregate credit sales made by the Originators during the fifth most recent calendar month, divided by (ii) the Adjusted Net Receivables Pool Balance as of such date.</w:t>
      </w:r>
    </w:p>
    <w:p>
      <w:pPr>
        <w:spacing w:after="0" w:line="171"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Purchasers</w:t>
      </w:r>
      <w:r>
        <w:rPr>
          <w:rFonts w:ascii="Arial" w:cs="Arial" w:eastAsia="Arial" w:hAnsi="Arial"/>
          <w:sz w:val="16"/>
          <w:szCs w:val="16"/>
          <w:color w:val="auto"/>
        </w:rPr>
        <w:t xml:space="preserve">” means, at any time, Purchasers whose Commitments aggregate more than 66.67% of the aggregate of the Commitments of all Purchasers;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so long as any Purchaser’s Commitment is greater than 66.67% of the aggregate Commitments, then “Majority Purchasers” shall mean a minimum of two Purchasers whose Commitments aggregate more than 66.67% of the aggregate Commitments.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relative to any Person with respect to any event or circumstance, a material adverse effect on:</w:t>
      </w:r>
    </w:p>
    <w:p>
      <w:pPr>
        <w:spacing w:after="0" w:line="117" w:lineRule="exact"/>
        <w:rPr>
          <w:sz w:val="20"/>
          <w:szCs w:val="20"/>
          <w:color w:val="auto"/>
        </w:rPr>
      </w:pPr>
    </w:p>
    <w:p>
      <w:pPr>
        <w:ind w:left="1100" w:hanging="241"/>
        <w:spacing w:after="0"/>
        <w:tabs>
          <w:tab w:leader="none" w:pos="11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assets, operations, business or financial condition of such Person,</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ability of any of such Person to perform its obligations under this Agreement or any other Transaction Document to which it is a</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party,</w:t>
      </w:r>
    </w:p>
    <w:p>
      <w:pPr>
        <w:spacing w:after="0" w:line="103" w:lineRule="exact"/>
        <w:rPr>
          <w:sz w:val="20"/>
          <w:szCs w:val="20"/>
          <w:color w:val="auto"/>
        </w:rPr>
      </w:pPr>
    </w:p>
    <w:p>
      <w:pPr>
        <w:ind w:left="440" w:right="120" w:firstLine="419"/>
        <w:spacing w:after="0" w:line="277" w:lineRule="auto"/>
        <w:tabs>
          <w:tab w:leader="none" w:pos="110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validity or enforceability of any other Transaction Document, or the validity, enforceability or collectibility of a material portion of the Pool Receivables, or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status, perfection, enforceability or priority of any Purchaser’s or the Seller’s interest in the Pool Assets.</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Incremental Purchase</w:t>
      </w:r>
      <w:r>
        <w:rPr>
          <w:rFonts w:ascii="Arial" w:cs="Arial" w:eastAsia="Arial" w:hAnsi="Arial"/>
          <w:sz w:val="18"/>
          <w:szCs w:val="18"/>
          <w:color w:val="auto"/>
        </w:rPr>
        <w:t>” means, on any date, the additional incremental increase in the Aggregate Investment that would cause the Aggregate Investment plus the Total Reserves to equal the Net Receivables Pool Balance.</w:t>
      </w:r>
    </w:p>
    <w:p>
      <w:pPr>
        <w:spacing w:after="0" w:line="170" w:lineRule="exact"/>
        <w:rPr>
          <w:sz w:val="20"/>
          <w:szCs w:val="20"/>
          <w:color w:val="auto"/>
        </w:rPr>
      </w:pPr>
    </w:p>
    <w:p>
      <w:pPr>
        <w:ind w:right="5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Dilution Reserve</w:t>
      </w:r>
      <w:r>
        <w:rPr>
          <w:rFonts w:ascii="Arial" w:cs="Arial" w:eastAsia="Arial" w:hAnsi="Arial"/>
          <w:sz w:val="16"/>
          <w:szCs w:val="16"/>
          <w:color w:val="auto"/>
        </w:rPr>
        <w:t xml:space="preserve">” means, on any date, an amount equal to: (a) the Aggregate Investment on such date,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(b) (i) the Minimum Dilution Reserve Percentage on such date,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(ii) 100% minus the Minimum Dilution Reserve Percentage on such date.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Dilution Reserve Percentage</w:t>
      </w:r>
      <w:r>
        <w:rPr>
          <w:rFonts w:ascii="Arial" w:cs="Arial" w:eastAsia="Arial" w:hAnsi="Arial"/>
          <w:sz w:val="17"/>
          <w:szCs w:val="17"/>
          <w:color w:val="auto"/>
        </w:rPr>
        <w:t xml:space="preserve">” means, on any date, the product of (i) Adjusted Dilution Ratio,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(ii) the Dilution Horizon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Ratio.</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Receivables Pool Balance</w:t>
      </w:r>
      <w:r>
        <w:rPr>
          <w:rFonts w:ascii="Arial" w:cs="Arial" w:eastAsia="Arial" w:hAnsi="Arial"/>
          <w:sz w:val="18"/>
          <w:szCs w:val="18"/>
          <w:color w:val="auto"/>
        </w:rPr>
        <w:t>” means, at any time: (a) the Outstanding Balance of Eligible Receivables then in the Receivables Pool minus (b) the Excess Concentration.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I-18</w:t>
      </w:r>
    </w:p>
    <w:p>
      <w:pPr>
        <w:sectPr>
          <w:pgSz w:w="11900" w:h="16838" w:orient="portrait"/>
          <w:cols w:equalWidth="0" w:num="1">
            <w:col w:w="10920"/>
          </w:cols>
          <w:pgMar w:left="440" w:top="274" w:right="539" w:bottom="1440" w:gutter="0" w:footer="0" w:header="0"/>
        </w:sectPr>
      </w:pPr>
    </w:p>
    <w:bookmarkStart w:id="265" w:name="page266"/>
    <w:bookmarkEnd w:id="265"/>
    <w:p>
      <w:pPr>
        <w:ind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New Originators</w:t>
      </w:r>
      <w:r>
        <w:rPr>
          <w:rFonts w:ascii="Arial" w:cs="Arial" w:eastAsia="Arial" w:hAnsi="Arial"/>
          <w:sz w:val="18"/>
          <w:szCs w:val="18"/>
          <w:color w:val="auto"/>
        </w:rPr>
        <w:t>” means each of (i) ANIXTER INC., a Delaware corporation, (ii) ACCU-TECH CORPORATION, a Georgia corporation, and (iii) ANIXTER POWER SOLUTIONS INC., a Michigan corporation.</w:t>
      </w:r>
    </w:p>
    <w:p>
      <w:pPr>
        <w:spacing w:after="0" w:line="170"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Concentration Percentage</w:t>
      </w:r>
      <w:r>
        <w:rPr>
          <w:rFonts w:ascii="Arial" w:cs="Arial" w:eastAsia="Arial" w:hAnsi="Arial"/>
          <w:sz w:val="18"/>
          <w:szCs w:val="18"/>
          <w:color w:val="auto"/>
        </w:rPr>
        <w:t>” means, (i) for any Group A Obligor, 12.0%, (ii) for any Group B Obligor, 9.0%, (iii) for any Group C Obligor, 6.0% and (iv) for any Group D Obligor, 3.0%</w:t>
      </w:r>
    </w:p>
    <w:p>
      <w:pPr>
        <w:spacing w:after="0" w:line="170" w:lineRule="exact"/>
        <w:rPr>
          <w:sz w:val="20"/>
          <w:szCs w:val="20"/>
          <w:color w:val="auto"/>
        </w:rPr>
      </w:pPr>
    </w:p>
    <w:p>
      <w:pPr>
        <w:jc w:val="both"/>
        <w:ind w:right="3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Notes</w:t>
      </w:r>
      <w:r>
        <w:rPr>
          <w:rFonts w:ascii="Arial" w:cs="Arial" w:eastAsia="Arial" w:hAnsi="Arial"/>
          <w:sz w:val="16"/>
          <w:szCs w:val="16"/>
          <w:color w:val="auto"/>
        </w:rPr>
        <w:t>” means short-term promissory notes issued, or to be issued, by each Conduit Purchaser (or, if applicable, issued by the funding source pursuant to which such Conduit Purchaser finances its Investment hereunder) to fund its investments in accounts receivable or other financial assets.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Obligor</w:t>
      </w:r>
      <w:r>
        <w:rPr>
          <w:rFonts w:ascii="Arial" w:cs="Arial" w:eastAsia="Arial" w:hAnsi="Arial"/>
          <w:sz w:val="16"/>
          <w:szCs w:val="16"/>
          <w:color w:val="auto"/>
        </w:rPr>
        <w:t>” means, with respect to any Receivable, the Person obligated to make payments pursuant to the Contract relating to such Receivable.</w:t>
      </w:r>
    </w:p>
    <w:p>
      <w:pPr>
        <w:spacing w:after="0" w:line="24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 Percentage</w:t>
      </w:r>
      <w:r>
        <w:rPr>
          <w:rFonts w:ascii="Arial" w:cs="Arial" w:eastAsia="Arial" w:hAnsi="Arial"/>
          <w:sz w:val="18"/>
          <w:szCs w:val="18"/>
          <w:color w:val="auto"/>
        </w:rPr>
        <w:t>” means, at any time of determination, for each Obligor, a fraction, expressed as a percentage, (a) the numerator of which is the aggregate Outstanding Balance of the Eligible Receivables of such Obligor and its Affiliates less the amount (if any) then included in the calculation of the Excess Concentration with respect to such Obligor and its Affiliates and (b) the denominator of which is the aggregate Outstanding Balance of all Eligible Receivables at such time.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Treasury’s Office of Foreign Assets Control.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Agreement</w:t>
      </w:r>
      <w:r>
        <w:rPr>
          <w:rFonts w:ascii="Arial" w:cs="Arial" w:eastAsia="Arial" w:hAnsi="Arial"/>
          <w:sz w:val="18"/>
          <w:szCs w:val="18"/>
          <w:color w:val="auto"/>
        </w:rPr>
        <w:t>” has the meaning set forth in the preliminary statements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Originator</w:t>
      </w:r>
      <w:r>
        <w:rPr>
          <w:rFonts w:ascii="Arial" w:cs="Arial" w:eastAsia="Arial" w:hAnsi="Arial"/>
          <w:sz w:val="18"/>
          <w:szCs w:val="18"/>
          <w:color w:val="auto"/>
        </w:rPr>
        <w:t>” has the meaning set forth in the Sale Agreement.</w:t>
      </w:r>
    </w:p>
    <w:p>
      <w:pPr>
        <w:spacing w:after="0" w:line="22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Originator Assignment Certificate</w:t>
      </w:r>
      <w:r>
        <w:rPr>
          <w:rFonts w:ascii="Arial" w:cs="Arial" w:eastAsia="Arial" w:hAnsi="Arial"/>
          <w:sz w:val="18"/>
          <w:szCs w:val="18"/>
          <w:color w:val="auto"/>
        </w:rPr>
        <w:t xml:space="preserve">” means each assignment, in substantially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Sale Agreement, evidencing Seller’s ownership of the Receivables generated by Originator, as the same may be amended, supplemented, amended and restated, or otherwise modified from time to time in accordance with the Sale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Balance</w:t>
      </w:r>
      <w:r>
        <w:rPr>
          <w:rFonts w:ascii="Arial" w:cs="Arial" w:eastAsia="Arial" w:hAnsi="Arial"/>
          <w:sz w:val="18"/>
          <w:szCs w:val="18"/>
          <w:color w:val="auto"/>
        </w:rPr>
        <w:t>” of any Receivable at any time means the then outstanding principal balance thereof.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Bank Funding Rate</w:t>
      </w:r>
      <w:r>
        <w:rPr>
          <w:rFonts w:ascii="Arial" w:cs="Arial" w:eastAsia="Arial" w:hAnsi="Arial"/>
          <w:sz w:val="16"/>
          <w:szCs w:val="16"/>
          <w:color w:val="auto"/>
        </w:rPr>
        <w:t>” means for any day, the rate comprised of both overnight federal funds and overnight eurocurrency borrowings by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U.S.-managed banking offices of depository institutions, as such composite rate shall be determined by the Federal Reserve Bank of New York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NYFRB</w:t>
      </w:r>
      <w:r>
        <w:rPr>
          <w:rFonts w:ascii="Arial" w:cs="Arial" w:eastAsia="Arial" w:hAnsi="Arial"/>
          <w:sz w:val="16"/>
          <w:szCs w:val="16"/>
          <w:color w:val="auto"/>
        </w:rPr>
        <w:t>”), as set forth on its public website from time to time, and as published on the next succeeding Business Day as the overnight bank funding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by the NYFRB (or by such other recognized electronic source (such as Bloomberg) selected by the Administrator for the purpose of displaying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rate);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day is not a Business Day, the Overnight Bank Funding Rate for such day shall be such rate on the immediately preceding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such rate shall at any time, for any reason, no longer exist, a comparable replacement rate determined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Administrator at such time (which determination shall be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I-19</w:t>
      </w:r>
    </w:p>
    <w:p>
      <w:pPr>
        <w:sectPr>
          <w:pgSz w:w="11900" w:h="16838" w:orient="portrait"/>
          <w:cols w:equalWidth="0" w:num="1">
            <w:col w:w="10980"/>
          </w:cols>
          <w:pgMar w:left="440" w:top="274" w:right="479" w:bottom="1440" w:gutter="0" w:footer="0" w:header="0"/>
        </w:sectPr>
      </w:pPr>
    </w:p>
    <w:bookmarkStart w:id="266" w:name="page267"/>
    <w:bookmarkEnd w:id="266"/>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conclusive absent manifest error). If the Overnight Bank Funding Rate determined as above would be less than 0.00%, then such rate shall be deemed to be 0.00%. The rate of interest charged shall be adjusted as of each Business Day based on changes in the Overnight Bank Funding Rate without notice to the Seller.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the Sale Agreement.</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PNC</w:t>
      </w:r>
      <w:r>
        <w:rPr>
          <w:rFonts w:ascii="Arial" w:cs="Arial" w:eastAsia="Arial" w:hAnsi="Arial"/>
          <w:sz w:val="18"/>
          <w:szCs w:val="18"/>
          <w:color w:val="auto"/>
        </w:rPr>
        <w:t>” means PNC Bank, National Association.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Pool Assets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1.2(d)</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Pool Receivable</w:t>
      </w:r>
      <w:r>
        <w:rPr>
          <w:rFonts w:ascii="Arial" w:cs="Arial" w:eastAsia="Arial" w:hAnsi="Arial"/>
          <w:sz w:val="18"/>
          <w:szCs w:val="18"/>
          <w:color w:val="auto"/>
        </w:rPr>
        <w:t>” means a Receivable in the Receivables Pool.</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Portion of Investment</w:t>
      </w:r>
      <w:r>
        <w:rPr>
          <w:rFonts w:ascii="Arial" w:cs="Arial" w:eastAsia="Arial" w:hAnsi="Arial"/>
          <w:sz w:val="16"/>
          <w:szCs w:val="16"/>
          <w:color w:val="auto"/>
        </w:rPr>
        <w:t xml:space="preserve">” means specified portions of Investments outstanding as follows: (a) any Investments to which a SOFR Rate Option applies under the same Purchase Notice by the Seller and which have the same Yield Period shall constitute one Portion of Capital, (b) </w:t>
      </w:r>
      <w:r>
        <w:rPr>
          <w:rFonts w:ascii="Arial" w:cs="Arial" w:eastAsia="Arial" w:hAnsi="Arial"/>
          <w:sz w:val="16"/>
          <w:szCs w:val="16"/>
          <w:color w:val="FF0000"/>
        </w:rPr>
        <w:t>all Investments to</w:t>
      </w:r>
      <w:r>
        <w:rPr>
          <w:rFonts w:ascii="Arial" w:cs="Arial" w:eastAsia="Arial" w:hAnsi="Arial"/>
          <w:sz w:val="16"/>
          <w:szCs w:val="16"/>
          <w:color w:val="auto"/>
        </w:rPr>
        <w:t xml:space="preserve"> </w:t>
      </w:r>
      <w:r>
        <w:rPr>
          <w:rFonts w:ascii="Arial" w:cs="Arial" w:eastAsia="Arial" w:hAnsi="Arial"/>
          <w:sz w:val="16"/>
          <w:szCs w:val="16"/>
          <w:color w:val="FF0000"/>
          <w:strike w:val="1"/>
        </w:rPr>
        <w:t>which a Daily Simple SOFR Option applies shall constitute one Portion of Capital</w:t>
      </w:r>
      <w:r>
        <w:rPr>
          <w:rFonts w:ascii="Arial" w:cs="Arial" w:eastAsia="Arial" w:hAnsi="Arial"/>
          <w:sz w:val="16"/>
          <w:szCs w:val="16"/>
          <w:u w:val="single" w:color="auto"/>
          <w:color w:val="0000FF"/>
        </w:rPr>
        <w:t>[reserved],</w:t>
      </w:r>
      <w:r>
        <w:rPr>
          <w:rFonts w:ascii="Arial" w:cs="Arial" w:eastAsia="Arial" w:hAnsi="Arial"/>
          <w:sz w:val="16"/>
          <w:szCs w:val="16"/>
          <w:color w:val="FF0000"/>
        </w:rPr>
        <w:t xml:space="preserve"> </w:t>
      </w:r>
      <w:r>
        <w:rPr>
          <w:rFonts w:ascii="Arial" w:cs="Arial" w:eastAsia="Arial" w:hAnsi="Arial"/>
          <w:sz w:val="16"/>
          <w:szCs w:val="16"/>
          <w:color w:val="000000"/>
        </w:rPr>
        <w:t>(c) all Investments to which a Daily Resetting SOFR</w:t>
      </w:r>
      <w:r>
        <w:rPr>
          <w:rFonts w:ascii="Arial" w:cs="Arial" w:eastAsia="Arial" w:hAnsi="Arial"/>
          <w:sz w:val="16"/>
          <w:szCs w:val="16"/>
          <w:color w:val="FF0000"/>
        </w:rPr>
        <w:t xml:space="preserve"> </w:t>
      </w:r>
      <w:r>
        <w:rPr>
          <w:rFonts w:ascii="Arial" w:cs="Arial" w:eastAsia="Arial" w:hAnsi="Arial"/>
          <w:sz w:val="16"/>
          <w:szCs w:val="16"/>
          <w:color w:val="000000"/>
        </w:rPr>
        <w:t>Option applies shall constitute one Portion of Capital and (d) all Investments to which a Base Rate Option applies shall constitute one Portion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6149975</wp:posOffset>
            </wp:positionH>
            <wp:positionV relativeFrom="paragraph">
              <wp:posOffset>-370840</wp:posOffset>
            </wp:positionV>
            <wp:extent cx="84074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-156210</wp:posOffset>
            </wp:positionV>
            <wp:extent cx="52260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13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Program Support Agreement</w:t>
      </w:r>
      <w:r>
        <w:rPr>
          <w:rFonts w:ascii="Arial" w:cs="Arial" w:eastAsia="Arial" w:hAnsi="Arial"/>
          <w:sz w:val="18"/>
          <w:szCs w:val="18"/>
          <w:color w:val="auto"/>
        </w:rPr>
        <w:t>” means and includes any Liquidity Agreement and any other agreement entered into by any Program Support Provider providing for: (a) the issuance of one or more letters of credit for the account of any Conduit Purchaser, (b) the issuance of one or more surety bonds for which the such Conduit Purchaser is obligated to reimburse the applicable Program Support Provider for any drawings thereunder, (c) the sale by such Conduit Purchaser to any Program Support Provider of the Purchased Interest (or portions thereof) maintained by such Conduit Purchaser and/or (d) the making of loans and/or other extensions of credit to any Conduit Purchaser in connection with such Conduit Purchaser’s securitization program contemplated in this Agreement, together with any letter of credit, surety bond or other instrument issued thereunder (but excluding any discretionary advance facility provided by the Administrator).</w:t>
      </w:r>
    </w:p>
    <w:p>
      <w:pPr>
        <w:spacing w:after="0" w:line="19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Program Support Provider</w:t>
      </w:r>
      <w:r>
        <w:rPr>
          <w:rFonts w:ascii="Arial" w:cs="Arial" w:eastAsia="Arial" w:hAnsi="Arial"/>
          <w:sz w:val="18"/>
          <w:szCs w:val="18"/>
          <w:color w:val="auto"/>
        </w:rPr>
        <w:t>” means and includes with respect to each Conduit Purchaser any Liquidity Provider and any other Person (other than any customer of such Conduit Purchaser) now or hereafter extending credit or having a commitment to extend credit to or for the account of, or to make purchases from, such Conduit Purchaser pursuant to any Program Support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and Sale Indemnified Amounts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of the Sale Agreement.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I-20</w:t>
      </w:r>
    </w:p>
    <w:p>
      <w:pPr>
        <w:sectPr>
          <w:pgSz w:w="11900" w:h="16838" w:orient="portrait"/>
          <w:cols w:equalWidth="0" w:num="1">
            <w:col w:w="11000"/>
          </w:cols>
          <w:pgMar w:left="440" w:top="274" w:right="459" w:bottom="1440" w:gutter="0" w:footer="0" w:header="0"/>
        </w:sectPr>
      </w:pPr>
    </w:p>
    <w:bookmarkStart w:id="267" w:name="page268"/>
    <w:bookmarkEnd w:id="26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Purchase and Sale 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of the Sale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and Sale 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of the Sale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and Sale Termination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the Sale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Date</w:t>
      </w:r>
      <w:r>
        <w:rPr>
          <w:rFonts w:ascii="Arial" w:cs="Arial" w:eastAsia="Arial" w:hAnsi="Arial"/>
          <w:sz w:val="18"/>
          <w:szCs w:val="18"/>
          <w:color w:val="auto"/>
        </w:rPr>
        <w:t>” means the date of which a Purchase or a reinvestment is made pursuant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Facility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Sale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Limit</w:t>
      </w:r>
      <w:r>
        <w:rPr>
          <w:rFonts w:ascii="Arial" w:cs="Arial" w:eastAsia="Arial" w:hAnsi="Arial"/>
          <w:sz w:val="18"/>
          <w:szCs w:val="18"/>
          <w:color w:val="auto"/>
        </w:rPr>
        <w:t xml:space="preserve">” means, at any time, the aggregate of all Group Commitments (which, on the </w:t>
      </w:r>
      <w:r>
        <w:rPr>
          <w:rFonts w:ascii="Arial" w:cs="Arial" w:eastAsia="Arial" w:hAnsi="Arial"/>
          <w:sz w:val="18"/>
          <w:szCs w:val="18"/>
          <w:color w:val="FF0000"/>
          <w:strike w:val="1"/>
        </w:rPr>
        <w:t>Closing</w:t>
      </w:r>
      <w:r>
        <w:rPr>
          <w:rFonts w:ascii="Arial" w:cs="Arial" w:eastAsia="Arial" w:hAnsi="Arial"/>
          <w:sz w:val="18"/>
          <w:szCs w:val="18"/>
          <w:u w:val="single" w:color="auto"/>
          <w:color w:val="0000FF"/>
        </w:rPr>
        <w:t>Amendment</w:t>
      </w:r>
      <w:r>
        <w:rPr>
          <w:rFonts w:ascii="Arial" w:cs="Arial" w:eastAsia="Arial" w:hAnsi="Arial"/>
          <w:sz w:val="18"/>
          <w:szCs w:val="18"/>
          <w:color w:val="auto"/>
        </w:rPr>
        <w:t xml:space="preserve"> Date, shall be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FF0000"/>
          <w:strike w:val="1"/>
        </w:rPr>
        <w:t>1,400,000,000</w:t>
      </w:r>
      <w:r>
        <w:rPr>
          <w:rFonts w:ascii="Arial" w:cs="Arial" w:eastAsia="Arial" w:hAnsi="Arial"/>
          <w:sz w:val="16"/>
          <w:szCs w:val="16"/>
          <w:u w:val="single" w:color="auto"/>
          <w:color w:val="0000FF"/>
        </w:rPr>
        <w:t>1,525,000,000</w:t>
      </w:r>
      <w:r>
        <w:rPr>
          <w:rFonts w:ascii="Arial" w:cs="Arial" w:eastAsia="Arial" w:hAnsi="Arial"/>
          <w:sz w:val="16"/>
          <w:szCs w:val="16"/>
          <w:color w:val="auto"/>
        </w:rPr>
        <w:t xml:space="preserve"> ), as such amount may be reduced pursuant to </w:t>
      </w:r>
      <w:r>
        <w:rPr>
          <w:rFonts w:ascii="Arial" w:cs="Arial" w:eastAsia="Arial" w:hAnsi="Arial"/>
          <w:sz w:val="16"/>
          <w:szCs w:val="16"/>
          <w:u w:val="single" w:color="auto"/>
          <w:color w:val="auto"/>
        </w:rPr>
        <w:t>Section 1.1(b)</w:t>
      </w:r>
      <w:r>
        <w:rPr>
          <w:rFonts w:ascii="Arial" w:cs="Arial" w:eastAsia="Arial" w:hAnsi="Arial"/>
          <w:sz w:val="16"/>
          <w:szCs w:val="16"/>
          <w:color w:val="auto"/>
        </w:rPr>
        <w:t xml:space="preserve"> of this Agreement or increased pursuant to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4960620</wp:posOffset>
            </wp:positionH>
            <wp:positionV relativeFrom="paragraph">
              <wp:posOffset>-107315</wp:posOffset>
            </wp:positionV>
            <wp:extent cx="56578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References to the unused portion of the Purchase Limit shall mean, at any time, the Purchase Limit minus the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-114935</wp:posOffset>
            </wp:positionV>
            <wp:extent cx="6858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Aggregate Investment.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the Sale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Report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the Sale Agreement.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Interest</w:t>
      </w:r>
      <w:r>
        <w:rPr>
          <w:rFonts w:ascii="Arial" w:cs="Arial" w:eastAsia="Arial" w:hAnsi="Arial"/>
          <w:sz w:val="18"/>
          <w:szCs w:val="18"/>
          <w:color w:val="auto"/>
        </w:rPr>
        <w:t>” means, at any time, the undivided percentage ownership interest in: (a) each and every Pool Receivable now existing or hereafter arising, (b) all Related Security with respect to such Pool Receivables and (c) all Collections with respect to, and other proceeds of, such Pool Receivables and Related Security. Such undivided percentage interest shall be computed as:</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Aggregate Investment + Total Reserves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Net Receivables Pool Balance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Purchased Interest shall be determined from time to time pursuant to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means each Conduit Purchaser and/or each Committed Purchaser, as applicable.</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Agent</w:t>
      </w:r>
      <w:r>
        <w:rPr>
          <w:rFonts w:ascii="Arial" w:cs="Arial" w:eastAsia="Arial" w:hAnsi="Arial"/>
          <w:sz w:val="18"/>
          <w:szCs w:val="18"/>
          <w:color w:val="auto"/>
        </w:rPr>
        <w:t>” means each Person acting as agent on behalf of a Purchaser Group and designated as a Purchaser Agent for such Purchaser Group on the signature pages to this Agreement or any other Person who becomes a party to this Agreement as a Purchaser Agent pursuant to an Assumption Agreement or a Transfer Supplement.</w:t>
      </w:r>
    </w:p>
    <w:p>
      <w:pPr>
        <w:spacing w:after="0" w:line="184"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Purchaser Group</w:t>
      </w:r>
      <w:r>
        <w:rPr>
          <w:rFonts w:ascii="Arial" w:cs="Arial" w:eastAsia="Arial" w:hAnsi="Arial"/>
          <w:sz w:val="17"/>
          <w:szCs w:val="17"/>
          <w:color w:val="auto"/>
        </w:rPr>
        <w:t>” means, (i) for each Conduit Purchaser, such Conduit Purchaser, its Committed Purchasers (if any) and its related Purchaser Agent and (ii) for any Purchaser that does not have a related Conduit Purchaser, such Purchaser and its related Purchaser Agent.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I-21</w:t>
      </w:r>
    </w:p>
    <w:p>
      <w:pPr>
        <w:sectPr>
          <w:pgSz w:w="11900" w:h="16838" w:orient="portrait"/>
          <w:cols w:equalWidth="0" w:num="1">
            <w:col w:w="10880"/>
          </w:cols>
          <w:pgMar w:left="440" w:top="274" w:right="579" w:bottom="1440" w:gutter="0" w:footer="0" w:header="0"/>
        </w:sectPr>
      </w:pPr>
    </w:p>
    <w:bookmarkStart w:id="268" w:name="page269"/>
    <w:bookmarkEnd w:id="26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Purchaser Group Fee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Ratable Share</w:t>
      </w:r>
      <w:r>
        <w:rPr>
          <w:rFonts w:ascii="Arial" w:cs="Arial" w:eastAsia="Arial" w:hAnsi="Arial"/>
          <w:sz w:val="18"/>
          <w:szCs w:val="18"/>
          <w:color w:val="auto"/>
        </w:rPr>
        <w:t>” means, for each Purchaser Group, such Purchaser Group’s aggregate Commitments divided by the aggregate Commitments of all Purchaser Groups.</w:t>
      </w:r>
    </w:p>
    <w:p>
      <w:pPr>
        <w:spacing w:after="0" w:line="170"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w:t>
      </w:r>
      <w:r>
        <w:rPr>
          <w:rFonts w:ascii="Arial" w:cs="Arial" w:eastAsia="Arial" w:hAnsi="Arial"/>
          <w:sz w:val="17"/>
          <w:szCs w:val="17"/>
          <w:color w:val="auto"/>
        </w:rPr>
        <w:t>” means any indebtedness and other obligations (other than Excluded Receivables) owed to the Seller or any Originator by, or any right of the Seller or any Originator to payment from or on behalf of, an Obligor, whether constituting an account, chattel paper, instrument or general intangible, arising in connection with the sale of goods or the rendering of services by an Originator (whether or not earned by performance), and includes the obligation to pay any finance charges, fees and other charges with respect thereto. Indebtedness and other obligations arising from any one transaction, including indebtedness and other obligations represented by an individual invoice or agreement, shall constitute a Receivable separate from a Receivable consisting of the indebtedness and other obligations arising from any other transaction.</w:t>
      </w:r>
    </w:p>
    <w:p>
      <w:pPr>
        <w:spacing w:after="0" w:line="17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Pool</w:t>
      </w:r>
      <w:r>
        <w:rPr>
          <w:rFonts w:ascii="Arial" w:cs="Arial" w:eastAsia="Arial" w:hAnsi="Arial"/>
          <w:sz w:val="18"/>
          <w:szCs w:val="18"/>
          <w:color w:val="auto"/>
        </w:rPr>
        <w:t>” means, at any time, all of the then outstanding Receivables purchased by the Seller pursuant to the Sale Agreement prior to the Facility Termination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6.3(f)</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Sale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Security</w:t>
      </w:r>
      <w:r>
        <w:rPr>
          <w:rFonts w:ascii="Arial" w:cs="Arial" w:eastAsia="Arial" w:hAnsi="Arial"/>
          <w:sz w:val="18"/>
          <w:szCs w:val="18"/>
          <w:color w:val="auto"/>
        </w:rPr>
        <w:t>” means, with respect to any Receivable:</w:t>
      </w:r>
    </w:p>
    <w:p>
      <w:pPr>
        <w:spacing w:after="0" w:line="117" w:lineRule="exact"/>
        <w:rPr>
          <w:sz w:val="20"/>
          <w:szCs w:val="20"/>
          <w:color w:val="auto"/>
        </w:rPr>
      </w:pPr>
    </w:p>
    <w:p>
      <w:pPr>
        <w:ind w:left="440" w:right="40" w:firstLine="419"/>
        <w:spacing w:after="0" w:line="277" w:lineRule="auto"/>
        <w:tabs>
          <w:tab w:leader="none" w:pos="110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all of the Seller’s and the Originator thereof’s interest in any goods (including returned goods), and documentation of title evidencing the shipment or storage of any goods (including returned goods), relating to any sale giving rise to such Receivable,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all instruments and chattel paper that may evidence such Receivable,</w:t>
      </w:r>
    </w:p>
    <w:p>
      <w:pPr>
        <w:spacing w:after="0" w:line="117" w:lineRule="exact"/>
        <w:rPr>
          <w:rFonts w:ascii="Arial" w:cs="Arial" w:eastAsia="Arial" w:hAnsi="Arial"/>
          <w:sz w:val="18"/>
          <w:szCs w:val="18"/>
          <w:color w:val="auto"/>
        </w:rPr>
      </w:pPr>
    </w:p>
    <w:p>
      <w:pPr>
        <w:ind w:left="440" w:right="280" w:firstLine="419"/>
        <w:spacing w:after="0" w:line="263" w:lineRule="auto"/>
        <w:tabs>
          <w:tab w:leader="none" w:pos="110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all other security interests or liens and property subject thereto from time to time purporting to secure payment of such Receivable, whether pursuant to the Contract related to such Receivable or otherwise, together with all UCC financing statements or similar filings relating thereto, and</w:t>
      </w:r>
    </w:p>
    <w:p>
      <w:pPr>
        <w:spacing w:after="0" w:line="75" w:lineRule="exact"/>
        <w:rPr>
          <w:rFonts w:ascii="Arial" w:cs="Arial" w:eastAsia="Arial" w:hAnsi="Arial"/>
          <w:sz w:val="18"/>
          <w:szCs w:val="18"/>
          <w:color w:val="auto"/>
        </w:rPr>
      </w:pPr>
    </w:p>
    <w:p>
      <w:pPr>
        <w:ind w:left="440" w:right="80" w:firstLine="419"/>
        <w:spacing w:after="0" w:line="311" w:lineRule="auto"/>
        <w:tabs>
          <w:tab w:leader="none" w:pos="1118"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all of the Seller’s and the Originator thereof’s rights, interests and claims under the Contracts and all guaranties, indemnities, insurance and other agreements (including the related Contract) or arrangements of whatever character from time to time supporting or securing payment of such Receivable or otherwise relating to such Receivable, whether pursuant to the Contract related to such Receivable or otherwise.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Agreement</w:t>
      </w:r>
      <w:r>
        <w:rPr>
          <w:rFonts w:ascii="Arial" w:cs="Arial" w:eastAsia="Arial" w:hAnsi="Arial"/>
          <w:sz w:val="18"/>
          <w:szCs w:val="18"/>
          <w:color w:val="auto"/>
        </w:rPr>
        <w:t>” means the Second Amended and Restated Purchase and Sale Agreement, dated as of the date hereof, among the Seller, the Originators and the Servicer as amended through the date of this Agreement and as such agreement may be amended, amended and restated, supplemented or otherwise modified from time to time.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I-22</w:t>
      </w:r>
    </w:p>
    <w:p>
      <w:pPr>
        <w:sectPr>
          <w:pgSz w:w="11900" w:h="16838" w:orient="portrait"/>
          <w:cols w:equalWidth="0" w:num="1">
            <w:col w:w="11000"/>
          </w:cols>
          <w:pgMar w:left="440" w:top="274" w:right="459" w:bottom="1440" w:gutter="0" w:footer="0" w:header="0"/>
        </w:sectPr>
      </w:pPr>
    </w:p>
    <w:bookmarkStart w:id="269" w:name="page270"/>
    <w:bookmarkEnd w:id="269"/>
    <w:p>
      <w:pPr>
        <w:ind w:left="4" w:right="4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Sanctioned Jurisdiction</w:t>
      </w:r>
      <w:r>
        <w:rPr>
          <w:rFonts w:ascii="Arial" w:cs="Arial" w:eastAsia="Arial" w:hAnsi="Arial"/>
          <w:sz w:val="18"/>
          <w:szCs w:val="18"/>
          <w:color w:val="auto"/>
        </w:rPr>
        <w:t>” means</w:t>
      </w:r>
      <w:r>
        <w:rPr>
          <w:rFonts w:ascii="Arial" w:cs="Arial" w:eastAsia="Arial" w:hAnsi="Arial"/>
          <w:sz w:val="18"/>
          <w:szCs w:val="18"/>
          <w:u w:val="single" w:color="auto"/>
          <w:color w:val="0000FF"/>
        </w:rPr>
        <w:t>, at</w:t>
      </w:r>
      <w:r>
        <w:rPr>
          <w:rFonts w:ascii="Arial" w:cs="Arial" w:eastAsia="Arial" w:hAnsi="Arial"/>
          <w:sz w:val="18"/>
          <w:szCs w:val="18"/>
          <w:color w:val="auto"/>
        </w:rPr>
        <w:t xml:space="preserve"> any </w:t>
      </w:r>
      <w:r>
        <w:rPr>
          <w:rFonts w:ascii="Arial" w:cs="Arial" w:eastAsia="Arial" w:hAnsi="Arial"/>
          <w:sz w:val="18"/>
          <w:szCs w:val="18"/>
          <w:u w:val="single" w:color="auto"/>
          <w:color w:val="0000FF"/>
        </w:rPr>
        <w:t>time, a</w:t>
      </w:r>
      <w:r>
        <w:rPr>
          <w:rFonts w:ascii="Arial" w:cs="Arial" w:eastAsia="Arial" w:hAnsi="Arial"/>
          <w:sz w:val="18"/>
          <w:szCs w:val="18"/>
          <w:color w:val="auto"/>
        </w:rPr>
        <w:t xml:space="preserve"> country</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w:t>
      </w:r>
      <w:r>
        <w:rPr>
          <w:rFonts w:ascii="Arial" w:cs="Arial" w:eastAsia="Arial" w:hAnsi="Arial"/>
          <w:sz w:val="18"/>
          <w:szCs w:val="18"/>
          <w:color w:val="auto"/>
        </w:rPr>
        <w:t xml:space="preserve"> territory</w:t>
      </w:r>
      <w:r>
        <w:rPr>
          <w:rFonts w:ascii="Arial" w:cs="Arial" w:eastAsia="Arial" w:hAnsi="Arial"/>
          <w:sz w:val="18"/>
          <w:szCs w:val="18"/>
          <w:color w:val="FF0000"/>
          <w:strike w:val="1"/>
        </w:rPr>
        <w:t>, or region that is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which is itself</w:t>
      </w:r>
      <w:r>
        <w:rPr>
          <w:rFonts w:ascii="Arial" w:cs="Arial" w:eastAsia="Arial" w:hAnsi="Arial"/>
          <w:sz w:val="18"/>
          <w:szCs w:val="18"/>
          <w:color w:val="auto"/>
        </w:rPr>
        <w:t xml:space="preserve"> the subject </w:t>
      </w:r>
      <w:r>
        <w:rPr>
          <w:rFonts w:ascii="Arial" w:cs="Arial" w:eastAsia="Arial" w:hAnsi="Arial"/>
          <w:sz w:val="18"/>
          <w:szCs w:val="18"/>
          <w:color w:val="FF0000"/>
          <w:strike w:val="1"/>
        </w:rPr>
        <w:t>of sanctions administered by</w:t>
      </w:r>
      <w:r>
        <w:rPr>
          <w:rFonts w:ascii="Arial" w:cs="Arial" w:eastAsia="Arial" w:hAnsi="Arial"/>
          <w:sz w:val="18"/>
          <w:szCs w:val="18"/>
          <w:color w:val="auto"/>
        </w:rPr>
        <w:t xml:space="preserve"> </w:t>
      </w:r>
      <w:r>
        <w:rPr>
          <w:rFonts w:ascii="Arial" w:cs="Arial" w:eastAsia="Arial" w:hAnsi="Arial"/>
          <w:sz w:val="18"/>
          <w:szCs w:val="18"/>
          <w:color w:val="FF0000"/>
          <w:strike w:val="1"/>
        </w:rPr>
        <w:t>OFAC</w:t>
      </w:r>
      <w:r>
        <w:rPr>
          <w:rFonts w:ascii="Arial" w:cs="Arial" w:eastAsia="Arial" w:hAnsi="Arial"/>
          <w:sz w:val="18"/>
          <w:szCs w:val="18"/>
          <w:u w:val="single" w:color="auto"/>
          <w:color w:val="0000FF"/>
        </w:rPr>
        <w:t>or target of Sanctions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-147955</wp:posOffset>
            </wp:positionV>
            <wp:extent cx="1371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2134235</wp:posOffset>
            </wp:positionH>
            <wp:positionV relativeFrom="paragraph">
              <wp:posOffset>-147955</wp:posOffset>
            </wp:positionV>
            <wp:extent cx="33401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4010" cy="8255"/>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-147955</wp:posOffset>
            </wp:positionV>
            <wp:extent cx="939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-147955</wp:posOffset>
            </wp:positionV>
            <wp:extent cx="643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-10795</wp:posOffset>
            </wp:positionV>
            <wp:extent cx="97726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50"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 a Person that is the subject of sanctions administered by OFAC or the U.S. Department of State (“State”), including by virtue of being (i) named on OFAC’s list of “Specially Designated Nationals and Blocked Persons”; (ii) organized under the Laws of, ordinarily resident in, or physically located in a Sanctioned Jurisdiction; (iii) owned or controlled 50% or more in the aggregate, by one or more Persons that are the subject of sanctions administered by OFAC; (b) a Person that is the subject of sanctions maintained by the European Union (“E.U.”), including by virtue of being named on the E.U.’s “Consolidated list of persons, groups and entities subject to E.U. financial sanctions” or other, similar lists; (c) a Person that is the subject of sanctions maintained by the United Kingdom (“U.K.”), including by virtue of being named on the “Consolidated List Of Financial Sanctions Targets in the U.K.” or other, similar lists; or (d) a Person that is the subject of sanctions imposed by any Governmental Authority of a jurisdiction whose Laws apply to this Agreement.</w:t>
      </w:r>
    </w:p>
    <w:p>
      <w:pPr>
        <w:spacing w:after="0" w:line="178" w:lineRule="exact"/>
        <w:rPr>
          <w:sz w:val="20"/>
          <w:szCs w:val="20"/>
          <w:color w:val="auto"/>
        </w:rPr>
      </w:pPr>
    </w:p>
    <w:p>
      <w:pPr>
        <w:ind w:left="4" w:right="80" w:firstLine="440"/>
        <w:spacing w:after="0" w:line="291" w:lineRule="auto"/>
        <w:rPr>
          <w:sz w:val="20"/>
          <w:szCs w:val="20"/>
          <w:color w:val="auto"/>
        </w:rPr>
      </w:pPr>
      <w:r>
        <w:rPr>
          <w:rFonts w:ascii="Arial" w:cs="Arial" w:eastAsia="Arial" w:hAnsi="Arial"/>
          <w:sz w:val="16"/>
          <w:szCs w:val="16"/>
          <w:u w:val="single" w:color="auto"/>
          <w:color w:val="0000FF"/>
        </w:rPr>
        <w:t>“Sanctions” means economic or financial sanctions or trade embargoes imposed, administered or enforced from time to time by (a) the U.S. government, including those administered by the Office of Foreign Assets Control of the U.S. Department of Treasury or the U.S. Department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-127635</wp:posOffset>
            </wp:positionV>
            <wp:extent cx="638619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ind w:left="264" w:hanging="264"/>
        <w:spacing w:after="0"/>
        <w:tabs>
          <w:tab w:leader="none" w:pos="264" w:val="left"/>
        </w:tabs>
        <w:numPr>
          <w:ilvl w:val="0"/>
          <w:numId w:val="311"/>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the United Nations Security Council, the European Union, any European Union member state or Her Majesty’s Treasury of the United Kingdom or</w:t>
      </w:r>
    </w:p>
    <w:p>
      <w:pPr>
        <w:spacing w:after="0" w:line="32" w:lineRule="exact"/>
        <w:rPr>
          <w:rFonts w:ascii="Arial" w:cs="Arial" w:eastAsia="Arial" w:hAnsi="Arial"/>
          <w:sz w:val="16"/>
          <w:szCs w:val="16"/>
          <w:u w:val="single" w:color="auto"/>
          <w:color w:val="0000FF"/>
        </w:rPr>
      </w:pPr>
    </w:p>
    <w:p>
      <w:pPr>
        <w:ind w:left="244" w:hanging="244"/>
        <w:spacing w:after="0"/>
        <w:tabs>
          <w:tab w:leader="none" w:pos="244" w:val="left"/>
        </w:tabs>
        <w:numPr>
          <w:ilvl w:val="0"/>
          <w:numId w:val="31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Government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-259080</wp:posOffset>
            </wp:positionV>
            <wp:extent cx="69094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-121920</wp:posOffset>
            </wp:positionV>
            <wp:extent cx="688340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141414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1" w:lineRule="exact"/>
        <w:rPr>
          <w:sz w:val="20"/>
          <w:szCs w:val="20"/>
          <w:color w:val="auto"/>
        </w:rPr>
      </w:pPr>
    </w:p>
    <w:p>
      <w:pPr>
        <w:ind w:left="4" w:right="5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Scheduled Commitment Termination Date</w:t>
      </w:r>
      <w:r>
        <w:rPr>
          <w:rFonts w:ascii="Arial" w:cs="Arial" w:eastAsia="Arial" w:hAnsi="Arial"/>
          <w:sz w:val="16"/>
          <w:szCs w:val="16"/>
          <w:color w:val="auto"/>
        </w:rPr>
        <w:t xml:space="preserve">” means with respect to any Committed Purchaser, the date set forth as such below its name on </w:t>
      </w:r>
      <w:r>
        <w:rPr>
          <w:rFonts w:ascii="Arial" w:cs="Arial" w:eastAsia="Arial" w:hAnsi="Arial"/>
          <w:sz w:val="16"/>
          <w:szCs w:val="16"/>
          <w:u w:val="single" w:color="auto"/>
          <w:color w:val="auto"/>
        </w:rPr>
        <w:t>Schedule VII</w:t>
      </w:r>
      <w:r>
        <w:rPr>
          <w:rFonts w:ascii="Arial" w:cs="Arial" w:eastAsia="Arial" w:hAnsi="Arial"/>
          <w:sz w:val="16"/>
          <w:szCs w:val="16"/>
          <w:color w:val="auto"/>
        </w:rPr>
        <w:t xml:space="preserve"> to this Agreement or in any Assumption Agreement or other document pursuant to which such Purchaser became a party hereto.</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Scotia</w:t>
      </w:r>
      <w:r>
        <w:rPr>
          <w:rFonts w:ascii="Arial" w:cs="Arial" w:eastAsia="Arial" w:hAnsi="Arial"/>
          <w:sz w:val="18"/>
          <w:szCs w:val="18"/>
          <w:color w:val="auto"/>
        </w:rPr>
        <w:t>” means The Bank of Nova Scotia.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Share</w:t>
      </w:r>
      <w:r>
        <w:rPr>
          <w:rFonts w:ascii="Arial" w:cs="Arial" w:eastAsia="Arial" w:hAnsi="Arial"/>
          <w:sz w:val="18"/>
          <w:szCs w:val="18"/>
          <w:color w:val="auto"/>
        </w:rPr>
        <w:t>” of any amount means the greater of: (a) $0 and (b) such amount minus the product of (i) such amount multiplied by (ii) the Purchased Interest.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Fee</w:t>
      </w:r>
      <w:r>
        <w:rPr>
          <w:rFonts w:ascii="Arial" w:cs="Arial" w:eastAsia="Arial" w:hAnsi="Arial"/>
          <w:sz w:val="18"/>
          <w:szCs w:val="18"/>
          <w:color w:val="auto"/>
        </w:rPr>
        <w:t xml:space="preserve">” shall mean the fee referred to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Fee Rate</w:t>
      </w:r>
      <w:r>
        <w:rPr>
          <w:rFonts w:ascii="Arial" w:cs="Arial" w:eastAsia="Arial" w:hAnsi="Arial"/>
          <w:sz w:val="18"/>
          <w:szCs w:val="18"/>
          <w:color w:val="auto"/>
        </w:rPr>
        <w:t>” means, at any time, 1.0%.</w:t>
      </w:r>
    </w:p>
    <w:p>
      <w:pPr>
        <w:spacing w:after="0" w:line="225" w:lineRule="exact"/>
        <w:rPr>
          <w:sz w:val="20"/>
          <w:szCs w:val="20"/>
          <w:color w:val="auto"/>
        </w:rPr>
      </w:pPr>
    </w:p>
    <w:p>
      <w:pPr>
        <w:ind w:left="4" w:right="60" w:firstLine="440"/>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Date</w:t>
      </w:r>
      <w:r>
        <w:rPr>
          <w:rFonts w:ascii="Arial" w:cs="Arial" w:eastAsia="Arial" w:hAnsi="Arial"/>
          <w:sz w:val="18"/>
          <w:szCs w:val="18"/>
          <w:color w:val="auto"/>
        </w:rPr>
        <w:t>” means the 22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day of each calendar month (or, if such day is not a Business Day, the next occurring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if pursuant to </w:t>
      </w:r>
      <w:r>
        <w:rPr>
          <w:rFonts w:ascii="Arial" w:cs="Arial" w:eastAsia="Arial" w:hAnsi="Arial"/>
          <w:sz w:val="18"/>
          <w:szCs w:val="18"/>
          <w:u w:val="single" w:color="auto"/>
          <w:color w:val="auto"/>
        </w:rPr>
        <w:t>Section 2(i)(iii)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IV</w:t>
      </w:r>
      <w:r>
        <w:rPr>
          <w:rFonts w:ascii="Arial" w:cs="Arial" w:eastAsia="Arial" w:hAnsi="Arial"/>
          <w:sz w:val="18"/>
          <w:szCs w:val="18"/>
          <w:color w:val="auto"/>
        </w:rPr>
        <w:t xml:space="preserve">, the Servicer is required to provide Information Packages on a more frequent than monthly basis, then the “Settlement Date”, solely for purposes of amounts distributable in respect of principal pursuant to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in the event the Purchased Interest exceeds 100% at such time, shall (in addition to the monthly Settlement Date described above, in the case of all other distributions) be the Wednesday of each</w:t>
      </w:r>
    </w:p>
    <w:p>
      <w:pPr>
        <w:spacing w:after="0" w:line="13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I-23</w:t>
      </w:r>
    </w:p>
    <w:p>
      <w:pPr>
        <w:sectPr>
          <w:pgSz w:w="11900" w:h="16838" w:orient="portrait"/>
          <w:cols w:equalWidth="0" w:num="1">
            <w:col w:w="10964"/>
          </w:cols>
          <w:pgMar w:left="436" w:top="274" w:right="499" w:bottom="1440" w:gutter="0" w:footer="0" w:header="0"/>
        </w:sectPr>
      </w:pPr>
    </w:p>
    <w:bookmarkStart w:id="270" w:name="page271"/>
    <w:bookmarkEnd w:id="270"/>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calendar week (or if such day is not a Business Day, the next occurring Business Day);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anything else in this definition to the contrary, on and after the occurrence and continuation of any Termination Event, the Settlement Date shall be the date selected as such by the Administrator (with the consent or at the direction of the Majority Purchasers) from time to time (</w:t>
      </w:r>
      <w:r>
        <w:rPr>
          <w:rFonts w:ascii="Arial" w:cs="Arial" w:eastAsia="Arial" w:hAnsi="Arial"/>
          <w:sz w:val="17"/>
          <w:szCs w:val="17"/>
          <w:u w:val="single" w:color="auto"/>
          <w:color w:val="auto"/>
        </w:rPr>
        <w:t>it being understood</w:t>
      </w:r>
      <w:r>
        <w:rPr>
          <w:rFonts w:ascii="Arial" w:cs="Arial" w:eastAsia="Arial" w:hAnsi="Arial"/>
          <w:sz w:val="17"/>
          <w:szCs w:val="17"/>
          <w:color w:val="auto"/>
        </w:rPr>
        <w:t xml:space="preserve"> that the Administrator (with the consent or at the direction of the Majority Purchasers) may select such Settlement Date to occur as frequently as daily) or, in the absence of any such selection, the date which would be the Settlement Date pursuant to this definition.</w:t>
      </w:r>
    </w:p>
    <w:p>
      <w:pPr>
        <w:spacing w:after="0" w:line="176"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Simple Majority</w:t>
      </w:r>
      <w:r>
        <w:rPr>
          <w:rFonts w:ascii="Arial" w:cs="Arial" w:eastAsia="Arial" w:hAnsi="Arial"/>
          <w:sz w:val="18"/>
          <w:szCs w:val="18"/>
          <w:color w:val="auto"/>
        </w:rPr>
        <w:t>” means, at any time, Purchasers whose Commitments aggregate more than 50% of the aggregate of the Commitments of all Purchasers.</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SOFR</w:t>
      </w:r>
      <w:r>
        <w:rPr>
          <w:rFonts w:ascii="Arial" w:cs="Arial" w:eastAsia="Arial" w:hAnsi="Arial"/>
          <w:sz w:val="16"/>
          <w:szCs w:val="16"/>
          <w:color w:val="auto"/>
        </w:rPr>
        <w:t>” means a rate per annum equal to the secured overnight financing rate for such Business Day published by the SOFR Administrator on the SOFR Administrator’s Website). The SOFR shall be adjusted with respect to any Investment to which the SOFR Rate Option applies that is outstanding on the effective date of any change in the SOFR Reserve Percentage as of such effective date and the Administrator shall give prompt notice to the Seller of the SOFR Rate Investments as determined or adjusted in accordance herewith, which determination shall be conclusive absent manifest error.</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Adjustment</w:t>
      </w:r>
      <w:r>
        <w:rPr>
          <w:rFonts w:ascii="Arial" w:cs="Arial" w:eastAsia="Arial" w:hAnsi="Arial"/>
          <w:sz w:val="18"/>
          <w:szCs w:val="18"/>
          <w:color w:val="auto"/>
        </w:rPr>
        <w:t>” means 0.10%.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w:t>
      </w:r>
      <w:r>
        <w:rPr>
          <w:rFonts w:ascii="Arial" w:cs="Arial" w:eastAsia="Arial" w:hAnsi="Arial"/>
          <w:sz w:val="17"/>
          <w:szCs w:val="17"/>
          <w:color w:val="auto"/>
        </w:rPr>
        <w:t>” means the Federal Reserve Bank of New York (or a successor administrator of the secured overnight financing rate).</w:t>
      </w:r>
    </w:p>
    <w:p>
      <w:pPr>
        <w:spacing w:after="0" w:line="237"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Administrator’s Website</w:t>
      </w:r>
      <w:r>
        <w:rPr>
          <w:rFonts w:ascii="Arial" w:cs="Arial" w:eastAsia="Arial" w:hAnsi="Arial"/>
          <w:sz w:val="17"/>
          <w:szCs w:val="17"/>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46"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Rate</w:t>
      </w:r>
      <w:r>
        <w:rPr>
          <w:rFonts w:ascii="Arial" w:cs="Arial" w:eastAsia="Arial" w:hAnsi="Arial"/>
          <w:sz w:val="17"/>
          <w:szCs w:val="17"/>
          <w:color w:val="auto"/>
        </w:rPr>
        <w:t xml:space="preserve">” means, with respect to Investments comprising any Portion of Investment to which Term SOFR applies for any Yield Period, the rate per annum determined by the Administrator by dividing (the resulting quotient rounded upwards, at the Administrator’s discretion, to the nearest 1/100th of 1%) (a) two (2) Business Days prior to the first day of such Yield Period and having a term comparable to such Yield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rate is not published on such determination date, then the rate per annum for purposes of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shall be SOFR on the first Business Day immediately prior thereto, by (b) a number equal to 1.00 minus the SOFR Reserve Percentage.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Rate Investment</w:t>
      </w:r>
      <w:r>
        <w:rPr>
          <w:rFonts w:ascii="Arial" w:cs="Arial" w:eastAsia="Arial" w:hAnsi="Arial"/>
          <w:sz w:val="18"/>
          <w:szCs w:val="18"/>
          <w:color w:val="auto"/>
        </w:rPr>
        <w:t>” means an Investment that accrues discount based on the SOFR Rate.</w:t>
      </w:r>
    </w:p>
    <w:p>
      <w:pPr>
        <w:spacing w:after="0" w:line="225" w:lineRule="exact"/>
        <w:rPr>
          <w:sz w:val="20"/>
          <w:szCs w:val="20"/>
          <w:color w:val="auto"/>
        </w:rPr>
      </w:pPr>
    </w:p>
    <w:p>
      <w:pPr>
        <w:ind w:right="10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Rate Option</w:t>
      </w:r>
      <w:r>
        <w:rPr>
          <w:rFonts w:ascii="Arial" w:cs="Arial" w:eastAsia="Arial" w:hAnsi="Arial"/>
          <w:sz w:val="18"/>
          <w:szCs w:val="18"/>
          <w:color w:val="auto"/>
        </w:rPr>
        <w:t xml:space="preserve">” means the option of the Seller to have Investments accrue discount at the rate and under the terms specified in </w:t>
      </w:r>
      <w:r>
        <w:rPr>
          <w:rFonts w:ascii="Arial" w:cs="Arial" w:eastAsia="Arial" w:hAnsi="Arial"/>
          <w:sz w:val="18"/>
          <w:szCs w:val="18"/>
          <w:u w:val="single" w:color="auto"/>
          <w:color w:val="auto"/>
        </w:rPr>
        <w:t>Section 1.12(a)(i)(A)(1)</w:t>
      </w:r>
      <w:r>
        <w:rPr>
          <w:rFonts w:ascii="Arial" w:cs="Arial" w:eastAsia="Arial" w:hAnsi="Arial"/>
          <w:sz w:val="18"/>
          <w:szCs w:val="18"/>
          <w:color w:val="auto"/>
        </w:rPr>
        <w:t>.</w:t>
      </w:r>
    </w:p>
    <w:p>
      <w:pPr>
        <w:spacing w:after="0" w:line="170" w:lineRule="exact"/>
        <w:rPr>
          <w:sz w:val="20"/>
          <w:szCs w:val="20"/>
          <w:color w:val="auto"/>
        </w:rPr>
      </w:pPr>
    </w:p>
    <w:p>
      <w:pPr>
        <w:ind w:right="5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Reserve Percentage</w:t>
      </w:r>
      <w:r>
        <w:rPr>
          <w:rFonts w:ascii="Arial" w:cs="Arial" w:eastAsia="Arial" w:hAnsi="Arial"/>
          <w:sz w:val="18"/>
          <w:szCs w:val="18"/>
          <w:color w:val="auto"/>
        </w:rPr>
        <w:t>” shall mean, as of any day, the maximum effective percentage in effect on such day, if any, as prescribed by the Federal Reserve Board (or any successor) for determining the reserve requirements (including, without limitation, supplemental, marginal and emergency reserve requirements) with respect to SOFR funding.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I-24</w:t>
      </w:r>
    </w:p>
    <w:p>
      <w:pPr>
        <w:sectPr>
          <w:pgSz w:w="11900" w:h="16838" w:orient="portrait"/>
          <w:cols w:equalWidth="0" w:num="1">
            <w:col w:w="10980"/>
          </w:cols>
          <w:pgMar w:left="440" w:top="274" w:right="479" w:bottom="1440" w:gutter="0" w:footer="0" w:header="0"/>
        </w:sectPr>
      </w:pPr>
    </w:p>
    <w:bookmarkStart w:id="271" w:name="page272"/>
    <w:bookmarkEnd w:id="27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Solvent</w:t>
      </w:r>
      <w:r>
        <w:rPr>
          <w:rFonts w:ascii="Arial" w:cs="Arial" w:eastAsia="Arial" w:hAnsi="Arial"/>
          <w:sz w:val="18"/>
          <w:szCs w:val="18"/>
          <w:color w:val="auto"/>
        </w:rPr>
        <w:t>” means, with respect to any Person at any time, a condition under which:</w:t>
      </w:r>
    </w:p>
    <w:p>
      <w:pPr>
        <w:spacing w:after="0" w:line="117" w:lineRule="exact"/>
        <w:rPr>
          <w:sz w:val="20"/>
          <w:szCs w:val="20"/>
          <w:color w:val="auto"/>
        </w:rPr>
      </w:pPr>
    </w:p>
    <w:p>
      <w:pPr>
        <w:ind w:left="440" w:firstLine="419"/>
        <w:spacing w:after="0" w:line="277" w:lineRule="auto"/>
        <w:tabs>
          <w:tab w:leader="none" w:pos="107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fair value and present fair saleable value of such Person’s total assets is, on the date of determination, greater than such Person’s total liabilities (including contingent and unliquidated liabilities) at such time;</w:t>
      </w:r>
    </w:p>
    <w:p>
      <w:pPr>
        <w:spacing w:after="0" w:line="62" w:lineRule="exact"/>
        <w:rPr>
          <w:rFonts w:ascii="Arial" w:cs="Arial" w:eastAsia="Arial" w:hAnsi="Arial"/>
          <w:sz w:val="18"/>
          <w:szCs w:val="18"/>
          <w:color w:val="auto"/>
        </w:rPr>
      </w:pPr>
    </w:p>
    <w:p>
      <w:pPr>
        <w:ind w:left="440" w:firstLine="419"/>
        <w:spacing w:after="0" w:line="263" w:lineRule="auto"/>
        <w:tabs>
          <w:tab w:leader="none" w:pos="112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fair value and present fair saleable value of such Person’s assets is greater than the amount that will be required to pay such Person’s probable liability on its existing debts as they become absolute and matured (“</w:t>
      </w:r>
      <w:r>
        <w:rPr>
          <w:rFonts w:ascii="Arial" w:cs="Arial" w:eastAsia="Arial" w:hAnsi="Arial"/>
          <w:sz w:val="18"/>
          <w:szCs w:val="18"/>
          <w:u w:val="single" w:color="auto"/>
          <w:color w:val="auto"/>
        </w:rPr>
        <w:t>debts</w:t>
      </w:r>
      <w:r>
        <w:rPr>
          <w:rFonts w:ascii="Arial" w:cs="Arial" w:eastAsia="Arial" w:hAnsi="Arial"/>
          <w:sz w:val="18"/>
          <w:szCs w:val="18"/>
          <w:color w:val="auto"/>
        </w:rPr>
        <w:t>,” for this purpose, includes all legal liabilities, whether matured or unmatured, liquidated or unliquidated, absolute, fixed, or contingent);</w:t>
      </w:r>
    </w:p>
    <w:p>
      <w:pPr>
        <w:spacing w:after="0" w:line="75" w:lineRule="exact"/>
        <w:rPr>
          <w:rFonts w:ascii="Arial" w:cs="Arial" w:eastAsia="Arial" w:hAnsi="Arial"/>
          <w:sz w:val="18"/>
          <w:szCs w:val="18"/>
          <w:color w:val="auto"/>
        </w:rPr>
      </w:pPr>
    </w:p>
    <w:p>
      <w:pPr>
        <w:ind w:left="1180" w:hanging="321"/>
        <w:spacing w:after="0"/>
        <w:tabs>
          <w:tab w:leader="none" w:pos="11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such Person is and shall continue to be able to pay all of its liabilities as such liabilities mature; and</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such Person does not have unreasonably small capital with which to engage in its current and in its anticipated business.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definition:</w:t>
      </w:r>
    </w:p>
    <w:p>
      <w:pPr>
        <w:spacing w:after="0" w:line="117" w:lineRule="exact"/>
        <w:rPr>
          <w:sz w:val="20"/>
          <w:szCs w:val="20"/>
          <w:color w:val="auto"/>
        </w:rPr>
      </w:pPr>
    </w:p>
    <w:p>
      <w:pPr>
        <w:ind w:left="980" w:firstLine="408"/>
        <w:spacing w:after="0" w:line="308" w:lineRule="auto"/>
        <w:tabs>
          <w:tab w:leader="none" w:pos="1676"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the amount of a Person’s contingent or unliquidated liabilities at any time shall be that amount which, in light of all the facts and circumstances then existing, represents the amount which can reasonably be expected to become an actual or matured liability;</w:t>
      </w:r>
    </w:p>
    <w:p>
      <w:pPr>
        <w:spacing w:after="0" w:line="38" w:lineRule="exact"/>
        <w:rPr>
          <w:rFonts w:ascii="Arial" w:cs="Arial" w:eastAsia="Arial" w:hAnsi="Arial"/>
          <w:sz w:val="17"/>
          <w:szCs w:val="17"/>
          <w:color w:val="auto"/>
        </w:rPr>
      </w:pPr>
    </w:p>
    <w:p>
      <w:pPr>
        <w:ind w:left="980" w:right="80" w:firstLine="408"/>
        <w:spacing w:after="0" w:line="277" w:lineRule="auto"/>
        <w:tabs>
          <w:tab w:leader="none" w:pos="166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“fair value” of an asset shall be the amount which may be realized within a reasonable time either through collection or sale of such asset at its regular market value;</w:t>
      </w:r>
    </w:p>
    <w:p>
      <w:pPr>
        <w:spacing w:after="0" w:line="62" w:lineRule="exact"/>
        <w:rPr>
          <w:rFonts w:ascii="Arial" w:cs="Arial" w:eastAsia="Arial" w:hAnsi="Arial"/>
          <w:sz w:val="18"/>
          <w:szCs w:val="18"/>
          <w:color w:val="auto"/>
        </w:rPr>
      </w:pPr>
    </w:p>
    <w:p>
      <w:pPr>
        <w:ind w:left="980" w:right="220" w:firstLine="408"/>
        <w:spacing w:after="0" w:line="277" w:lineRule="auto"/>
        <w:tabs>
          <w:tab w:leader="none" w:pos="166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“regular market value” of an asset shall be the amount which a capable and diligent business person could obtain for such asset from an interested buyer who is willing to Purchase such asset under ordinary selling conditions; and</w:t>
      </w:r>
    </w:p>
    <w:p>
      <w:pPr>
        <w:spacing w:after="0" w:line="62" w:lineRule="exact"/>
        <w:rPr>
          <w:rFonts w:ascii="Arial" w:cs="Arial" w:eastAsia="Arial" w:hAnsi="Arial"/>
          <w:sz w:val="18"/>
          <w:szCs w:val="18"/>
          <w:color w:val="auto"/>
        </w:rPr>
      </w:pPr>
    </w:p>
    <w:p>
      <w:pPr>
        <w:ind w:left="980" w:right="500" w:firstLine="408"/>
        <w:spacing w:after="0" w:line="277" w:lineRule="auto"/>
        <w:tabs>
          <w:tab w:leader="none" w:pos="167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“present fair saleable value” of an asset means the amount which can be obtained if such asset is sold with reasonable promptness in an arm’s-length transaction in an existing and not theoretical market.</w:t>
      </w:r>
    </w:p>
    <w:p>
      <w:pPr>
        <w:spacing w:after="0" w:line="170"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Specifically Reserved Amount</w:t>
      </w:r>
      <w:r>
        <w:rPr>
          <w:rFonts w:ascii="Arial" w:cs="Arial" w:eastAsia="Arial" w:hAnsi="Arial"/>
          <w:sz w:val="18"/>
          <w:szCs w:val="18"/>
          <w:color w:val="auto"/>
        </w:rPr>
        <w:t>” means, at any time, the aggregate amount then recorded on the books and records of the Originators as the sum of (i) the aggregate accrued rebate payments owing to Obligors related to the purchase volumes by such Obligors with respect to the Pool Receivables and (ii) deferred revenue reserves with respect to the Pool Receivables.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&amp; Poor’s</w:t>
      </w:r>
      <w:r>
        <w:rPr>
          <w:rFonts w:ascii="Arial" w:cs="Arial" w:eastAsia="Arial" w:hAnsi="Arial"/>
          <w:sz w:val="18"/>
          <w:szCs w:val="18"/>
          <w:color w:val="auto"/>
        </w:rPr>
        <w:t>” means Standard &amp; Poor’s, a division of The McGraw-Hill Companies,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Anixter UCC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Schedule V</w:t>
      </w:r>
      <w:r>
        <w:rPr>
          <w:rFonts w:ascii="Arial" w:cs="Arial" w:eastAsia="Arial" w:hAnsi="Arial"/>
          <w:sz w:val="18"/>
          <w:szCs w:val="18"/>
          <w:color w:val="auto"/>
        </w:rPr>
        <w:t xml:space="preserve"> of this Agreement.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I-25</w:t>
      </w:r>
    </w:p>
    <w:p>
      <w:pPr>
        <w:sectPr>
          <w:pgSz w:w="11900" w:h="16838" w:orient="portrait"/>
          <w:cols w:equalWidth="0" w:num="1">
            <w:col w:w="10920"/>
          </w:cols>
          <w:pgMar w:left="440" w:top="274" w:right="539" w:bottom="1440" w:gutter="0" w:footer="0" w:header="0"/>
        </w:sectPr>
      </w:pPr>
    </w:p>
    <w:bookmarkStart w:id="272" w:name="page273"/>
    <w:bookmarkEnd w:id="272"/>
    <w:p>
      <w:pPr>
        <w:ind w:right="4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Subject Originator</w:t>
      </w:r>
      <w:r>
        <w:rPr>
          <w:rFonts w:ascii="Arial" w:cs="Arial" w:eastAsia="Arial" w:hAnsi="Arial"/>
          <w:sz w:val="18"/>
          <w:szCs w:val="18"/>
          <w:color w:val="auto"/>
        </w:rPr>
        <w:t>” means any Subsidiary (organized under the laws of the United States or any state thereof) of Holdings for which the aggregate Outstanding Balance of all Receivables of such Subsidiary of Holdings do not exceed 5.0% of the aggregate Outstanding Balance off all Receivables then in the Receivables Pool.</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UCC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1(u)</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III</w:t>
      </w:r>
      <w:r>
        <w:rPr>
          <w:rFonts w:ascii="Arial" w:cs="Arial" w:eastAsia="Arial" w:hAnsi="Arial"/>
          <w:sz w:val="18"/>
          <w:szCs w:val="18"/>
          <w:color w:val="auto"/>
        </w:rPr>
        <w:t xml:space="preserve"> to this Agreement.</w:t>
      </w:r>
    </w:p>
    <w:p>
      <w:pPr>
        <w:spacing w:after="0" w:line="225" w:lineRule="exact"/>
        <w:rPr>
          <w:sz w:val="20"/>
          <w:szCs w:val="20"/>
          <w:color w:val="auto"/>
        </w:rPr>
      </w:pPr>
    </w:p>
    <w:p>
      <w:pPr>
        <w:jc w:val="both"/>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as to any Person, a corporation, partnership, limited liability company or other entity of which shares of stock of each class or other interests having ordinary voting power (other than stock or other interests having such power only by reason of the happening of a contingency) to elect a majority of the Board of Directors or other managers of such entity are at the time owned, or management of which is otherwise controlled: (a) by such Person, (b) by one or more Subsidiaries of such Person or (c) by such Person and one or more Subsidiaries of such Person.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Tangible Net Worth</w:t>
      </w:r>
      <w:r>
        <w:rPr>
          <w:rFonts w:ascii="Arial" w:cs="Arial" w:eastAsia="Arial" w:hAnsi="Arial"/>
          <w:sz w:val="17"/>
          <w:szCs w:val="17"/>
          <w:color w:val="auto"/>
        </w:rPr>
        <w:t>” means, with respect to any Person, the tangible net worth of such Person as determined in accordance with GAAP.</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TD</w:t>
      </w:r>
      <w:r>
        <w:rPr>
          <w:rFonts w:ascii="Arial" w:cs="Arial" w:eastAsia="Arial" w:hAnsi="Arial"/>
          <w:sz w:val="18"/>
          <w:szCs w:val="18"/>
          <w:color w:val="auto"/>
        </w:rPr>
        <w:t>” means The Toronto-Dominion Bank.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Rate Investment</w:t>
      </w:r>
      <w:r>
        <w:rPr>
          <w:rFonts w:ascii="Arial" w:cs="Arial" w:eastAsia="Arial" w:hAnsi="Arial"/>
          <w:sz w:val="18"/>
          <w:szCs w:val="18"/>
          <w:color w:val="auto"/>
        </w:rPr>
        <w:t>” means an Investment that accrues discount at a rate based on the SOFR Rate.</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Rate Investment Option</w:t>
      </w:r>
      <w:r>
        <w:rPr>
          <w:rFonts w:ascii="Arial" w:cs="Arial" w:eastAsia="Arial" w:hAnsi="Arial"/>
          <w:sz w:val="18"/>
          <w:szCs w:val="18"/>
          <w:color w:val="auto"/>
        </w:rPr>
        <w:t xml:space="preserve">” means the option of the Seller to have Investments accrue discount at the rate and under the terms specified in </w:t>
      </w:r>
      <w:r>
        <w:rPr>
          <w:rFonts w:ascii="Arial" w:cs="Arial" w:eastAsia="Arial" w:hAnsi="Arial"/>
          <w:sz w:val="18"/>
          <w:szCs w:val="18"/>
          <w:u w:val="single" w:color="auto"/>
          <w:color w:val="auto"/>
        </w:rPr>
        <w:t>Section 1.12(a)(i)(A)</w:t>
      </w:r>
      <w:r>
        <w:rPr>
          <w:rFonts w:ascii="Arial" w:cs="Arial" w:eastAsia="Arial" w:hAnsi="Arial"/>
          <w:sz w:val="18"/>
          <w:szCs w:val="18"/>
          <w:color w:val="auto"/>
        </w:rPr>
        <w:t>.</w:t>
      </w:r>
    </w:p>
    <w:p>
      <w:pPr>
        <w:spacing w:after="0" w:line="170" w:lineRule="exact"/>
        <w:rPr>
          <w:sz w:val="20"/>
          <w:szCs w:val="20"/>
          <w:color w:val="auto"/>
        </w:rPr>
      </w:pPr>
    </w:p>
    <w:p>
      <w:pPr>
        <w:ind w:right="10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for the applicable corresponding tenor, the forward-looking term rate based on SOFR that has been selected or recommended by the Relevant Governmental Body.</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Day</w:t>
      </w:r>
      <w:r>
        <w:rPr>
          <w:rFonts w:ascii="Arial" w:cs="Arial" w:eastAsia="Arial" w:hAnsi="Arial"/>
          <w:sz w:val="18"/>
          <w:szCs w:val="18"/>
          <w:color w:val="auto"/>
        </w:rPr>
        <w:t xml:space="preserve">” means: (a) each day on which the conditions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II</w:t>
      </w:r>
      <w:r>
        <w:rPr>
          <w:rFonts w:ascii="Arial" w:cs="Arial" w:eastAsia="Arial" w:hAnsi="Arial"/>
          <w:sz w:val="18"/>
          <w:szCs w:val="18"/>
          <w:color w:val="auto"/>
        </w:rPr>
        <w:t xml:space="preserve"> to this Agreement are not satisfied or (b) each day that occurs on or after the Facility Termination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Exhibit V</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Fee</w:t>
      </w:r>
      <w:r>
        <w:rPr>
          <w:rFonts w:ascii="Arial" w:cs="Arial" w:eastAsia="Arial" w:hAnsi="Arial"/>
          <w:sz w:val="16"/>
          <w:szCs w:val="16"/>
          <w:color w:val="auto"/>
        </w:rPr>
        <w:t>” means, for any Yield Period, with respect to any Purchaser, the amount, if any, by which: (a) the additional Discount related to such Purchaser’s Investment (calculated without taking into account any Termination Fee or any shortened duration of such Yield Period) that would have accrued during such Yield Period on the reductions of Investment relating to such Yield Period had such reductions not been made, exceeds (b) the income, if any, received by such Purchaser from investing the proceeds of such reductions of Investment, as determined by the such Purchaser’s Purchaser Agent, which determination shall be binding and conclusive for all purposes, absent manifest error.</w:t>
      </w:r>
    </w:p>
    <w:p>
      <w:pPr>
        <w:spacing w:after="0" w:line="16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Reserves</w:t>
      </w:r>
      <w:r>
        <w:rPr>
          <w:rFonts w:ascii="Arial" w:cs="Arial" w:eastAsia="Arial" w:hAnsi="Arial"/>
          <w:sz w:val="18"/>
          <w:szCs w:val="18"/>
          <w:color w:val="auto"/>
        </w:rPr>
        <w:t>” means, at any time the sum of: (a) the Yield Reserve, plus (b) the greater of (i) the Dilution Reserve plus the Loss Reserve and (ii) the Minimum Dilution Reserve plus the Concentration Reserve.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I-26</w:t>
      </w:r>
    </w:p>
    <w:p>
      <w:pPr>
        <w:sectPr>
          <w:pgSz w:w="11900" w:h="16838" w:orient="portrait"/>
          <w:cols w:equalWidth="0" w:num="1">
            <w:col w:w="11000"/>
          </w:cols>
          <w:pgMar w:left="440" w:top="274" w:right="459" w:bottom="1440" w:gutter="0" w:footer="0" w:header="0"/>
        </w:sectPr>
      </w:pPr>
    </w:p>
    <w:bookmarkStart w:id="273" w:name="page274"/>
    <w:bookmarkEnd w:id="273"/>
    <w:p>
      <w:pPr>
        <w:ind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means (i) this Agreement, the Lock-Box Agreements, the Lock-Box Schedule Letter Agreement, each Purchaser Group Fee Letter, the Sale Agreement, the Intercreditor Agreement, the EU/UK Risk Retention Letter and (ii) all other certificates, instruments, UCC financing statements, reports, notices, agreements and documents executed or delivered under or in connection with this Agreement or such other agreement, in each case as the same may be amended, supplemented or otherwise modified from time to time in accordance with this Agreement.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Supplement</w:t>
      </w:r>
      <w:r>
        <w:rPr>
          <w:rFonts w:ascii="Arial" w:cs="Arial" w:eastAsia="Arial" w:hAnsi="Arial"/>
          <w:sz w:val="18"/>
          <w:szCs w:val="18"/>
          <w:color w:val="auto"/>
        </w:rPr>
        <w:t xml:space="preserve">” has the respective meanings set forth in </w:t>
      </w:r>
      <w:r>
        <w:rPr>
          <w:rFonts w:ascii="Arial" w:cs="Arial" w:eastAsia="Arial" w:hAnsi="Arial"/>
          <w:sz w:val="18"/>
          <w:szCs w:val="18"/>
          <w:u w:val="single" w:color="auto"/>
          <w:color w:val="auto"/>
        </w:rPr>
        <w:t>Sections 6.3(c)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6.3(e)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from time to time in effect in the applicable jurisdiction.</w:t>
      </w:r>
    </w:p>
    <w:p>
      <w:pPr>
        <w:spacing w:after="0" w:line="225"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Securitisation Regulation</w:t>
      </w:r>
      <w:r>
        <w:rPr>
          <w:rFonts w:ascii="Arial" w:cs="Arial" w:eastAsia="Arial" w:hAnsi="Arial"/>
          <w:sz w:val="18"/>
          <w:szCs w:val="18"/>
          <w:color w:val="auto"/>
        </w:rPr>
        <w:t>” means Regulation (EU) 2017/2402 as it forms part of UK domestic law by operation of the EUWA, and as amended by the Securitisation (Amendment) (EU Exit) Regulations 2019, and as further amended.</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Securitisation Regulation Rules</w:t>
      </w:r>
      <w:r>
        <w:rPr>
          <w:rFonts w:ascii="Arial" w:cs="Arial" w:eastAsia="Arial" w:hAnsi="Arial"/>
          <w:sz w:val="17"/>
          <w:szCs w:val="17"/>
          <w:color w:val="auto"/>
        </w:rPr>
        <w:t>” means the UK Securitisation Regulation, together with (a) all applicable binding technical standards made under the UK Securitisation Regulation, (b) any EU regulatory technical standards or implementing technical standards relating to the EU Securitization Regulation (including such regulatory technical standards or implementing technical standards which are applicable pursuant to any transitional provisions of the EU Securitisation Regulation) forming part of UK domestic law by operation of the EUWA, (c) relevant guidance, policy statements or directions relating to the application of the UK Securitisation Regulation (or any binding technical standards) published by the Financial Conduct Authority and/or Prudential Regulation Authority (or their successors), (d) any guidelines relating to the application of the EU Securitisation Regulation which are applicable in the UK, (e) any other transitional, saving or other provision relevant to the UK Securitisation Regulation by virtue of the operation of the EUWA and (f) any other applicable laws, acts, statutory instruments, rules, guidance or policy statements published or enacted relating to the UK Securitisation Regulation, in each case, as may be amended from time to time.</w:t>
      </w:r>
    </w:p>
    <w:p>
      <w:pPr>
        <w:spacing w:after="0" w:line="18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Unmatured Purchase and Sale Termination Event</w:t>
      </w:r>
      <w:r>
        <w:rPr>
          <w:rFonts w:ascii="Arial" w:cs="Arial" w:eastAsia="Arial" w:hAnsi="Arial"/>
          <w:sz w:val="18"/>
          <w:szCs w:val="18"/>
          <w:color w:val="auto"/>
        </w:rPr>
        <w:t>” means any event which, with the giving of notice or lapse of time, or both, would become a Purchase and Sale Termination Event.</w:t>
      </w:r>
    </w:p>
    <w:p>
      <w:pPr>
        <w:spacing w:after="0" w:line="170" w:lineRule="exact"/>
        <w:rPr>
          <w:sz w:val="20"/>
          <w:szCs w:val="20"/>
          <w:color w:val="auto"/>
        </w:rPr>
      </w:pPr>
    </w:p>
    <w:p>
      <w:pPr>
        <w:jc w:val="center"/>
        <w:ind w:left="640" w:right="24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Unmatured Termination Event</w:t>
      </w:r>
      <w:r>
        <w:rPr>
          <w:rFonts w:ascii="Arial" w:cs="Arial" w:eastAsia="Arial" w:hAnsi="Arial"/>
          <w:sz w:val="18"/>
          <w:szCs w:val="18"/>
          <w:color w:val="auto"/>
        </w:rPr>
        <w:t>” means an event that, with the giving of notice or lapse of time, or both, would constitute a Termination Event. I-27</w:t>
      </w:r>
    </w:p>
    <w:p>
      <w:pPr>
        <w:sectPr>
          <w:pgSz w:w="11900" w:h="16838" w:orient="portrait"/>
          <w:cols w:equalWidth="0" w:num="1">
            <w:col w:w="10980"/>
          </w:cols>
          <w:pgMar w:left="440" w:top="274" w:right="479" w:bottom="1440" w:gutter="0" w:footer="0" w:header="0"/>
        </w:sectPr>
      </w:pPr>
    </w:p>
    <w:bookmarkStart w:id="274" w:name="page275"/>
    <w:bookmarkEnd w:id="27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Wells</w:t>
      </w:r>
      <w:r>
        <w:rPr>
          <w:rFonts w:ascii="Arial" w:cs="Arial" w:eastAsia="Arial" w:hAnsi="Arial"/>
          <w:sz w:val="18"/>
          <w:szCs w:val="18"/>
          <w:color w:val="auto"/>
        </w:rPr>
        <w:t>” means Wells Fargo Bank, National Association.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WESCO</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 Period</w:t>
      </w:r>
      <w:r>
        <w:rPr>
          <w:rFonts w:ascii="Arial" w:cs="Arial" w:eastAsia="Arial" w:hAnsi="Arial"/>
          <w:sz w:val="18"/>
          <w:szCs w:val="18"/>
          <w:color w:val="auto"/>
        </w:rPr>
        <w:t xml:space="preserve">” means, with respect to each Portion of Investment: (a) before the Facility Termination Date: (i) initially the period commencing on the date of the initial Purchase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this Agreement (or in the case of any fees payable hereunder, commencing on the Closing Date) and ending on (but not including) the next Settlement Date, and (ii) thereafter, each period commencing on such Settlement Date and ending on (but not including) the next Settlement Date, and (b) on and after the Facility Termination Date: such period (including a period of one day) as shall be selected from time to time by the Administrator or, in the absence of any such selection, each period of 30 days from the last day of the preceding Yield Period.</w:t>
      </w:r>
    </w:p>
    <w:p>
      <w:pPr>
        <w:spacing w:after="0" w:line="192"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 Reserve</w:t>
      </w:r>
      <w:r>
        <w:rPr>
          <w:rFonts w:ascii="Arial" w:cs="Arial" w:eastAsia="Arial" w:hAnsi="Arial"/>
          <w:sz w:val="18"/>
          <w:szCs w:val="18"/>
          <w:color w:val="auto"/>
        </w:rPr>
        <w:t xml:space="preserve">” means, on any date, an amount equal to: (a) the Aggregate Investment on such date,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(i) the Yield Reserve Percentage on such date,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(ii) 100% minus the Yield Reserve Percentage on such date.</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 Reserve Percentage</w:t>
      </w:r>
      <w:r>
        <w:rPr>
          <w:rFonts w:ascii="Arial" w:cs="Arial" w:eastAsia="Arial" w:hAnsi="Arial"/>
          <w:sz w:val="18"/>
          <w:szCs w:val="18"/>
          <w:color w:val="auto"/>
        </w:rPr>
        <w:t xml:space="preserve">” means, on any date, the product of (a) 1.5,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the sum of (i) the Base Rate with respect to the most recent Yield Period and (ii) the Servicing Fee Rate,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(c) a fraction (i) the numerator of which is the highest Days’ Sales Outstanding for the twelve most recent calendar months and (ii) the denominator of which is 360.</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Other Terms</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59" w:lineRule="auto"/>
        <w:tabs>
          <w:tab w:leader="none" w:pos="68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All accounting terms not specifically defined herein shall be construed in accordance with generally accepted accounting principles. All terms used in Article 9 of the UCC in the State of New York, and not specifically defined herein, are used herein as defined in such Article 9. Unless the context otherwise requires, “or” means “and/or,” and “including” (and with correlative meaning “include” and “includes”) means including without limiting the generality of any description preceding such term.</w:t>
      </w:r>
    </w:p>
    <w:p>
      <w:pPr>
        <w:spacing w:after="0" w:line="186" w:lineRule="exact"/>
        <w:rPr>
          <w:rFonts w:ascii="Arial" w:cs="Arial" w:eastAsia="Arial" w:hAnsi="Arial"/>
          <w:sz w:val="18"/>
          <w:szCs w:val="18"/>
          <w:color w:val="auto"/>
        </w:rPr>
      </w:pPr>
    </w:p>
    <w:p>
      <w:pPr>
        <w:ind w:firstLine="436"/>
        <w:spacing w:after="0" w:line="259" w:lineRule="auto"/>
        <w:tabs>
          <w:tab w:leader="none" w:pos="695"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of this Agreement provides a mechanism for determining an alternative rate of discount in the event that the SOFR Rate</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w:t>
      </w:r>
      <w:r>
        <w:rPr>
          <w:rFonts w:ascii="Arial" w:cs="Arial" w:eastAsia="Arial" w:hAnsi="Arial"/>
          <w:sz w:val="18"/>
          <w:szCs w:val="18"/>
          <w:color w:val="auto"/>
        </w:rPr>
        <w:t xml:space="preserve"> Daily Resetting </w:t>
      </w:r>
      <w:r>
        <w:rPr>
          <w:rFonts w:ascii="Arial" w:cs="Arial" w:eastAsia="Arial" w:hAnsi="Arial"/>
          <w:sz w:val="18"/>
          <w:szCs w:val="18"/>
          <w:color w:val="FF0000"/>
          <w:strike w:val="1"/>
        </w:rPr>
        <w:t>SOFR or Daily Simple</w:t>
      </w:r>
      <w:r>
        <w:rPr>
          <w:rFonts w:ascii="Arial" w:cs="Arial" w:eastAsia="Arial" w:hAnsi="Arial"/>
          <w:sz w:val="18"/>
          <w:szCs w:val="18"/>
          <w:color w:val="auto"/>
        </w:rPr>
        <w:t xml:space="preserve"> SOFR is no longer available or in certain other circumstances. The Administrator does not warrant or accept any responsibility for and shall not have any liability with respect to, the administration, submission or any other matter related to the SOFR Rate</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w:t>
      </w:r>
      <w:r>
        <w:rPr>
          <w:rFonts w:ascii="Arial" w:cs="Arial" w:eastAsia="Arial" w:hAnsi="Arial"/>
          <w:sz w:val="18"/>
          <w:szCs w:val="18"/>
          <w:color w:val="auto"/>
        </w:rPr>
        <w:t xml:space="preserve"> Daily Resetting </w:t>
      </w:r>
      <w:r>
        <w:rPr>
          <w:rFonts w:ascii="Arial" w:cs="Arial" w:eastAsia="Arial" w:hAnsi="Arial"/>
          <w:sz w:val="18"/>
          <w:szCs w:val="18"/>
          <w:color w:val="FF0000"/>
          <w:strike w:val="1"/>
        </w:rPr>
        <w:t>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6581140</wp:posOffset>
            </wp:positionH>
            <wp:positionV relativeFrom="paragraph">
              <wp:posOffset>-412115</wp:posOffset>
            </wp:positionV>
            <wp:extent cx="939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-137795</wp:posOffset>
            </wp:positionV>
            <wp:extent cx="12001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I-28</w:t>
      </w:r>
    </w:p>
    <w:p>
      <w:pPr>
        <w:sectPr>
          <w:pgSz w:w="11900" w:h="16838" w:orient="portrait"/>
          <w:cols w:equalWidth="0" w:num="1">
            <w:col w:w="10960"/>
          </w:cols>
          <w:pgMar w:left="440" w:top="274" w:right="49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Daily Simple</w:t>
      </w:r>
      <w:r>
        <w:rPr>
          <w:rFonts w:ascii="Arial" w:cs="Arial" w:eastAsia="Arial" w:hAnsi="Arial"/>
          <w:sz w:val="18"/>
          <w:szCs w:val="18"/>
          <w:color w:val="FF0000"/>
        </w:rPr>
        <w:t xml:space="preserve"> </w:t>
      </w:r>
      <w:r>
        <w:rPr>
          <w:rFonts w:ascii="Arial" w:cs="Arial" w:eastAsia="Arial" w:hAnsi="Arial"/>
          <w:sz w:val="18"/>
          <w:szCs w:val="18"/>
          <w:color w:val="000000"/>
        </w:rPr>
        <w:t>SOFR or with respect to any alternative or successor rate thereto, or replacement rate therefor.</w:t>
      </w:r>
    </w:p>
    <w:p>
      <w:pPr>
        <w:spacing w:after="0" w:line="225" w:lineRule="exact"/>
        <w:rPr>
          <w:sz w:val="20"/>
          <w:szCs w:val="20"/>
          <w:color w:val="auto"/>
        </w:rPr>
      </w:pPr>
    </w:p>
    <w:p>
      <w:pPr>
        <w:ind w:firstLine="436"/>
        <w:spacing w:after="0" w:line="296" w:lineRule="auto"/>
        <w:tabs>
          <w:tab w:leader="none" w:pos="685" w:val="left"/>
        </w:tabs>
        <w:numPr>
          <w:ilvl w:val="0"/>
          <w:numId w:val="31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Conforming Changes Relating to SOFR</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or</w:t>
      </w:r>
      <w:r>
        <w:rPr>
          <w:rFonts w:ascii="Arial" w:cs="Arial" w:eastAsia="Arial" w:hAnsi="Arial"/>
          <w:sz w:val="16"/>
          <w:szCs w:val="16"/>
          <w:color w:val="auto"/>
        </w:rPr>
        <w:t xml:space="preserve"> </w:t>
      </w:r>
      <w:r>
        <w:rPr>
          <w:rFonts w:ascii="Arial" w:cs="Arial" w:eastAsia="Arial" w:hAnsi="Arial"/>
          <w:sz w:val="16"/>
          <w:szCs w:val="16"/>
          <w:u w:val="single" w:color="auto"/>
          <w:color w:val="auto"/>
        </w:rPr>
        <w:t>Daily Resetting</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SOFR or Daily Simple</w:t>
      </w:r>
      <w:r>
        <w:rPr>
          <w:rFonts w:ascii="Arial" w:cs="Arial" w:eastAsia="Arial" w:hAnsi="Arial"/>
          <w:sz w:val="16"/>
          <w:szCs w:val="16"/>
          <w:color w:val="auto"/>
        </w:rPr>
        <w:t xml:space="preserve"> </w:t>
      </w:r>
      <w:r>
        <w:rPr>
          <w:rFonts w:ascii="Arial" w:cs="Arial" w:eastAsia="Arial" w:hAnsi="Arial"/>
          <w:sz w:val="16"/>
          <w:szCs w:val="16"/>
          <w:u w:val="single" w:color="auto"/>
          <w:color w:val="auto"/>
        </w:rPr>
        <w:t>SOFR.</w:t>
      </w:r>
      <w:r>
        <w:rPr>
          <w:rFonts w:ascii="Arial" w:cs="Arial" w:eastAsia="Arial" w:hAnsi="Arial"/>
          <w:sz w:val="16"/>
          <w:szCs w:val="16"/>
          <w:color w:val="auto"/>
        </w:rPr>
        <w:t xml:space="preserve"> The Administrator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such amendment effected, the Administrator shall provide notice to the Seller and the Purchasers each such amendment implementing such Conforming Changes reasonably promptly after such amendment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2289175</wp:posOffset>
            </wp:positionH>
            <wp:positionV relativeFrom="paragraph">
              <wp:posOffset>-599440</wp:posOffset>
            </wp:positionV>
            <wp:extent cx="2857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-565150</wp:posOffset>
            </wp:positionV>
            <wp:extent cx="946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I-29</w:t>
      </w:r>
    </w:p>
    <w:p>
      <w:pPr>
        <w:sectPr>
          <w:pgSz w:w="11900" w:h="16838" w:orient="portrait"/>
          <w:cols w:equalWidth="0" w:num="1">
            <w:col w:w="10840"/>
          </w:cols>
          <w:pgMar w:left="440" w:top="274" w:right="619" w:bottom="1440" w:gutter="0" w:footer="0" w:header="0"/>
        </w:sectPr>
      </w:pPr>
    </w:p>
    <w:bookmarkStart w:id="276" w:name="page277"/>
    <w:bookmarkEnd w:id="27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PRECEDENT</w:t>
      </w:r>
    </w:p>
    <w:p>
      <w:pPr>
        <w:spacing w:after="0" w:line="225" w:lineRule="exact"/>
        <w:rPr>
          <w:sz w:val="20"/>
          <w:szCs w:val="20"/>
          <w:color w:val="auto"/>
        </w:rPr>
      </w:pPr>
    </w:p>
    <w:p>
      <w:pPr>
        <w:ind w:left="-20" w:right="140" w:firstLine="436"/>
        <w:spacing w:after="0" w:line="263" w:lineRule="auto"/>
        <w:tabs>
          <w:tab w:leader="none" w:pos="60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Conditions Precedent to Initial Purchase</w:t>
      </w:r>
      <w:r>
        <w:rPr>
          <w:rFonts w:ascii="Arial" w:cs="Arial" w:eastAsia="Arial" w:hAnsi="Arial"/>
          <w:sz w:val="18"/>
          <w:szCs w:val="18"/>
          <w:color w:val="auto"/>
        </w:rPr>
        <w:t>. The effectiveness of this Agreement is subject to the conditions precedent that the Administrator and each Purchaser Agent shall have received the following items, each in form and substance (including the date thereof) reasonably satisfactory to the Administrator and each such Purchaser Agent:</w:t>
      </w:r>
    </w:p>
    <w:p>
      <w:pPr>
        <w:spacing w:after="0" w:line="76" w:lineRule="exact"/>
        <w:rPr>
          <w:sz w:val="20"/>
          <w:szCs w:val="20"/>
          <w:color w:val="auto"/>
        </w:rPr>
      </w:pPr>
    </w:p>
    <w:p>
      <w:pPr>
        <w:ind w:left="-20" w:right="560" w:firstLine="436"/>
        <w:spacing w:after="0" w:line="277" w:lineRule="auto"/>
        <w:tabs>
          <w:tab w:leader="none" w:pos="66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Each of the documents, agreements (in fully executed form), opinions of counsel, lien search results, UCC filings, certificates and other deliverables listed on the closing memorandum attached as Schedule XI hereto.</w:t>
      </w:r>
    </w:p>
    <w:p>
      <w:pPr>
        <w:spacing w:after="0" w:line="170" w:lineRule="exact"/>
        <w:rPr>
          <w:rFonts w:ascii="Arial" w:cs="Arial" w:eastAsia="Arial" w:hAnsi="Arial"/>
          <w:sz w:val="18"/>
          <w:szCs w:val="18"/>
          <w:color w:val="auto"/>
        </w:rPr>
      </w:pPr>
    </w:p>
    <w:p>
      <w:pPr>
        <w:ind w:left="680" w:hanging="264"/>
        <w:spacing w:after="0"/>
        <w:tabs>
          <w:tab w:leader="none" w:pos="68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Each of the conditions set forth in Exhibit C to the Commitment Letter has been, or substantially concurrently herewith will be, satisfied.</w:t>
      </w:r>
    </w:p>
    <w:p>
      <w:pPr>
        <w:spacing w:after="0" w:line="236" w:lineRule="exact"/>
        <w:rPr>
          <w:rFonts w:ascii="Arial" w:cs="Arial" w:eastAsia="Arial" w:hAnsi="Arial"/>
          <w:sz w:val="17"/>
          <w:szCs w:val="17"/>
          <w:color w:val="auto"/>
        </w:rPr>
      </w:pPr>
    </w:p>
    <w:p>
      <w:pPr>
        <w:ind w:left="-20" w:right="200" w:firstLine="436"/>
        <w:spacing w:after="0" w:line="259" w:lineRule="auto"/>
        <w:tabs>
          <w:tab w:leader="none" w:pos="66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Evidence of payment by the Seller of all accrued and unpaid fees (including those contemplated by each Purchaser Group Fee Letter and the Commitment Letter), costs and expenses to the extent then due and payable on the Closing Date, including any such costs, fees and expenses arising under or referenced in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of this Agreement, the Commitment Letter and the Purchaser Group Fee Letter, to the extent invoiced at least two Business Days prior to the Closing Date.</w:t>
      </w:r>
    </w:p>
    <w:p>
      <w:pPr>
        <w:spacing w:after="0" w:line="186" w:lineRule="exact"/>
        <w:rPr>
          <w:rFonts w:ascii="Arial" w:cs="Arial" w:eastAsia="Arial" w:hAnsi="Arial"/>
          <w:sz w:val="18"/>
          <w:szCs w:val="18"/>
          <w:color w:val="auto"/>
        </w:rPr>
      </w:pPr>
    </w:p>
    <w:p>
      <w:pPr>
        <w:ind w:left="-20" w:right="940" w:firstLine="436"/>
        <w:spacing w:after="0" w:line="277" w:lineRule="auto"/>
        <w:tabs>
          <w:tab w:leader="none" w:pos="67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Anixter Acquisition (as defined in the Credit Agreement) shall have been consummated or will be consummated substantially concurrently with any Purchase made hereunder on the Closing Date.</w:t>
      </w:r>
    </w:p>
    <w:p>
      <w:pPr>
        <w:spacing w:after="0" w:line="170" w:lineRule="exact"/>
        <w:rPr>
          <w:rFonts w:ascii="Arial" w:cs="Arial" w:eastAsia="Arial" w:hAnsi="Arial"/>
          <w:sz w:val="18"/>
          <w:szCs w:val="18"/>
          <w:color w:val="auto"/>
        </w:rPr>
      </w:pPr>
    </w:p>
    <w:p>
      <w:pPr>
        <w:ind w:left="-20" w:right="20" w:firstLine="436"/>
        <w:spacing w:after="0" w:line="277" w:lineRule="auto"/>
        <w:tabs>
          <w:tab w:leader="none" w:pos="66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 completed pro forma Information Package after giving effect to the transactions contemplated by the Transaction Documents to occur on the Closing Date.</w:t>
      </w:r>
    </w:p>
    <w:p>
      <w:pPr>
        <w:spacing w:after="0" w:line="170" w:lineRule="exact"/>
        <w:rPr>
          <w:sz w:val="20"/>
          <w:szCs w:val="20"/>
          <w:color w:val="auto"/>
        </w:rPr>
      </w:pPr>
    </w:p>
    <w:p>
      <w:pPr>
        <w:ind w:left="-20" w:right="540" w:firstLine="436"/>
        <w:spacing w:after="0" w:line="277" w:lineRule="auto"/>
        <w:tabs>
          <w:tab w:leader="none" w:pos="60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Conditions Precedent to All Purchases and Reinvestments</w:t>
      </w:r>
      <w:r>
        <w:rPr>
          <w:rFonts w:ascii="Arial" w:cs="Arial" w:eastAsia="Arial" w:hAnsi="Arial"/>
          <w:sz w:val="18"/>
          <w:szCs w:val="18"/>
          <w:color w:val="auto"/>
        </w:rPr>
        <w:t>. Each Purchase (including the initial Purchase) and each reinvestment shall be subject to the further conditions precedent that:</w:t>
      </w:r>
    </w:p>
    <w:p>
      <w:pPr>
        <w:spacing w:after="0" w:line="62" w:lineRule="exact"/>
        <w:rPr>
          <w:sz w:val="20"/>
          <w:szCs w:val="20"/>
          <w:color w:val="auto"/>
        </w:rPr>
      </w:pPr>
    </w:p>
    <w:p>
      <w:pPr>
        <w:ind w:left="-20" w:right="240" w:firstLine="436"/>
        <w:spacing w:after="0" w:line="286" w:lineRule="auto"/>
        <w:tabs>
          <w:tab w:leader="none" w:pos="665" w:val="left"/>
        </w:tabs>
        <w:numPr>
          <w:ilvl w:val="0"/>
          <w:numId w:val="319"/>
        </w:numPr>
        <w:rPr>
          <w:rFonts w:ascii="Arial" w:cs="Arial" w:eastAsia="Arial" w:hAnsi="Arial"/>
          <w:sz w:val="17"/>
          <w:szCs w:val="17"/>
          <w:color w:val="auto"/>
        </w:rPr>
      </w:pPr>
      <w:r>
        <w:rPr>
          <w:rFonts w:ascii="Arial" w:cs="Arial" w:eastAsia="Arial" w:hAnsi="Arial"/>
          <w:sz w:val="17"/>
          <w:szCs w:val="17"/>
          <w:color w:val="auto"/>
        </w:rPr>
        <w:t>in the case of each purchase, the Servicer shall have delivered to the Administrator and each Purchaser Agent on or before such purchase, in form and substance satisfactory to the Administrator and such Purchaser Agent, a completed pro forma Information Package to reflect the level of Investment with respect to each Purchaser Group and related reserves after such subsequent purchase; and</w:t>
      </w:r>
    </w:p>
    <w:p>
      <w:pPr>
        <w:spacing w:after="0" w:line="165" w:lineRule="exact"/>
        <w:rPr>
          <w:rFonts w:ascii="Arial" w:cs="Arial" w:eastAsia="Arial" w:hAnsi="Arial"/>
          <w:sz w:val="17"/>
          <w:szCs w:val="17"/>
          <w:color w:val="auto"/>
        </w:rPr>
      </w:pPr>
    </w:p>
    <w:p>
      <w:pPr>
        <w:ind w:left="-20" w:right="560" w:firstLine="436"/>
        <w:spacing w:after="0" w:line="277" w:lineRule="auto"/>
        <w:tabs>
          <w:tab w:leader="none" w:pos="67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on the date of such purchase or reinvestment the following statements shall be true (and acceptance of the proceeds of such purchase or reinvestment shall be deemed a representation and warranty by the Seller that such statements are then true):</w:t>
      </w:r>
    </w:p>
    <w:p>
      <w:pPr>
        <w:spacing w:after="0" w:line="170" w:lineRule="exact"/>
        <w:rPr>
          <w:sz w:val="20"/>
          <w:szCs w:val="20"/>
          <w:color w:val="auto"/>
        </w:rPr>
      </w:pPr>
    </w:p>
    <w:p>
      <w:pPr>
        <w:ind w:left="-20" w:firstLine="436"/>
        <w:spacing w:after="0" w:line="308" w:lineRule="auto"/>
        <w:tabs>
          <w:tab w:leader="none" w:pos="635" w:val="left"/>
        </w:tabs>
        <w:numPr>
          <w:ilvl w:val="0"/>
          <w:numId w:val="320"/>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contained in </w:t>
      </w:r>
      <w:r>
        <w:rPr>
          <w:rFonts w:ascii="Arial" w:cs="Arial" w:eastAsia="Arial" w:hAnsi="Arial"/>
          <w:sz w:val="17"/>
          <w:szCs w:val="17"/>
          <w:u w:val="single" w:color="auto"/>
          <w:color w:val="auto"/>
        </w:rPr>
        <w:t>Exhibit III</w:t>
      </w:r>
      <w:r>
        <w:rPr>
          <w:rFonts w:ascii="Arial" w:cs="Arial" w:eastAsia="Arial" w:hAnsi="Arial"/>
          <w:sz w:val="17"/>
          <w:szCs w:val="17"/>
          <w:color w:val="auto"/>
        </w:rPr>
        <w:t xml:space="preserve"> to this Agreement are true and correct in all material respects on and as of the date of such purchase or reinvestment as though made on and as of such date; provided that if such representation and warranty relates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980"/>
          </w:cols>
          <w:pgMar w:left="460" w:top="274" w:right="45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solely to an earlier date, such representation and warranty was true and correct in all material respects as of such earlier date;</w:t>
      </w:r>
    </w:p>
    <w:p>
      <w:pPr>
        <w:spacing w:after="0" w:line="225" w:lineRule="exact"/>
        <w:rPr>
          <w:sz w:val="20"/>
          <w:szCs w:val="20"/>
          <w:color w:val="auto"/>
        </w:rPr>
      </w:pPr>
    </w:p>
    <w:p>
      <w:pPr>
        <w:ind w:firstLine="436"/>
        <w:spacing w:after="0" w:line="277" w:lineRule="auto"/>
        <w:tabs>
          <w:tab w:leader="none" w:pos="70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purchase or reinvestment, that constitutes a Termination Event or an Unmatured Termination Event;</w:t>
      </w:r>
    </w:p>
    <w:p>
      <w:pPr>
        <w:spacing w:after="0" w:line="170" w:lineRule="exact"/>
        <w:rPr>
          <w:rFonts w:ascii="Arial" w:cs="Arial" w:eastAsia="Arial" w:hAnsi="Arial"/>
          <w:sz w:val="18"/>
          <w:szCs w:val="18"/>
          <w:color w:val="auto"/>
        </w:rPr>
      </w:pPr>
    </w:p>
    <w:p>
      <w:pPr>
        <w:ind w:left="760" w:hanging="324"/>
        <w:spacing w:after="0"/>
        <w:tabs>
          <w:tab w:leader="none" w:pos="7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Aggregate Investment shall not exceed the Purchase Limit, and the Purchased Interest shall not exceed 100%; and</w:t>
      </w:r>
    </w:p>
    <w:p>
      <w:pPr>
        <w:spacing w:after="0" w:line="225" w:lineRule="exact"/>
        <w:rPr>
          <w:rFonts w:ascii="Arial" w:cs="Arial" w:eastAsia="Arial" w:hAnsi="Arial"/>
          <w:sz w:val="18"/>
          <w:szCs w:val="18"/>
          <w:color w:val="auto"/>
        </w:rPr>
      </w:pPr>
    </w:p>
    <w:p>
      <w:pPr>
        <w:ind w:left="740" w:hanging="304"/>
        <w:spacing w:after="0"/>
        <w:tabs>
          <w:tab w:leader="none" w:pos="7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Facility Termination Date has not occurred.</w:t>
      </w:r>
    </w:p>
    <w:p>
      <w:pPr>
        <w:spacing w:after="0" w:line="200" w:lineRule="exact"/>
        <w:rPr>
          <w:sz w:val="20"/>
          <w:szCs w:val="20"/>
          <w:color w:val="auto"/>
        </w:rPr>
      </w:pPr>
    </w:p>
    <w:p>
      <w:pPr>
        <w:spacing w:after="0" w:line="32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0460"/>
          </w:cols>
          <w:pgMar w:left="440" w:top="274" w:right="999" w:bottom="1440" w:gutter="0" w:footer="0" w:header="0"/>
        </w:sectPr>
      </w:pPr>
    </w:p>
    <w:bookmarkStart w:id="278" w:name="page279"/>
    <w:bookmarkEnd w:id="278"/>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Representations and Warranties of the Seller</w:t>
      </w:r>
      <w:r>
        <w:rPr>
          <w:rFonts w:ascii="Arial" w:cs="Arial" w:eastAsia="Arial" w:hAnsi="Arial"/>
          <w:sz w:val="18"/>
          <w:szCs w:val="18"/>
          <w:color w:val="auto"/>
        </w:rPr>
        <w:t>. The Seller represents and warrants as follows:</w:t>
      </w:r>
    </w:p>
    <w:p>
      <w:pPr>
        <w:spacing w:after="0" w:line="117" w:lineRule="exact"/>
        <w:rPr>
          <w:sz w:val="20"/>
          <w:szCs w:val="20"/>
          <w:color w:val="auto"/>
        </w:rPr>
      </w:pPr>
    </w:p>
    <w:p>
      <w:pPr>
        <w:ind w:left="4" w:right="580" w:firstLine="436"/>
        <w:spacing w:after="0" w:line="286" w:lineRule="auto"/>
        <w:tabs>
          <w:tab w:leader="none" w:pos="689" w:val="left"/>
        </w:tabs>
        <w:numPr>
          <w:ilvl w:val="1"/>
          <w:numId w:val="322"/>
        </w:numPr>
        <w:rPr>
          <w:rFonts w:ascii="Arial" w:cs="Arial" w:eastAsia="Arial" w:hAnsi="Arial"/>
          <w:sz w:val="17"/>
          <w:szCs w:val="17"/>
          <w:color w:val="auto"/>
        </w:rPr>
      </w:pPr>
      <w:r>
        <w:rPr>
          <w:rFonts w:ascii="Arial" w:cs="Arial" w:eastAsia="Arial" w:hAnsi="Arial"/>
          <w:sz w:val="17"/>
          <w:szCs w:val="17"/>
          <w:color w:val="auto"/>
        </w:rPr>
        <w:t>The Seller is a corporation duly incorporated, validly existing and in good standing under the laws of the State of Delaware, and is duly qualified to do business and is in good standing as a foreign corporation in every jurisdiction where the nature of its business requires it to be so qualified, except where the failure to be so qualified would not have a Material Adverse Effect.</w:t>
      </w:r>
    </w:p>
    <w:p>
      <w:pPr>
        <w:spacing w:after="0" w:line="165" w:lineRule="exact"/>
        <w:rPr>
          <w:rFonts w:ascii="Arial" w:cs="Arial" w:eastAsia="Arial" w:hAnsi="Arial"/>
          <w:sz w:val="17"/>
          <w:szCs w:val="17"/>
          <w:color w:val="auto"/>
        </w:rPr>
      </w:pPr>
    </w:p>
    <w:p>
      <w:pPr>
        <w:ind w:left="4" w:right="40" w:firstLine="436"/>
        <w:spacing w:after="0" w:line="287" w:lineRule="auto"/>
        <w:tabs>
          <w:tab w:leader="none" w:pos="699" w:val="left"/>
        </w:tabs>
        <w:numPr>
          <w:ilvl w:val="1"/>
          <w:numId w:val="322"/>
        </w:numPr>
        <w:rPr>
          <w:rFonts w:ascii="Arial" w:cs="Arial" w:eastAsia="Arial" w:hAnsi="Arial"/>
          <w:sz w:val="16"/>
          <w:szCs w:val="16"/>
          <w:color w:val="auto"/>
        </w:rPr>
      </w:pPr>
      <w:r>
        <w:rPr>
          <w:rFonts w:ascii="Arial" w:cs="Arial" w:eastAsia="Arial" w:hAnsi="Arial"/>
          <w:sz w:val="16"/>
          <w:szCs w:val="16"/>
          <w:color w:val="auto"/>
        </w:rPr>
        <w:t>The execution, delivery and performance by the Seller of this Agreement and the other Transaction Documents to which it is a party, including its use of the proceeds of purchases and reinvestments: (i) are within its corporate powers; (ii) have been duly authorized by all necessary corporate action; (iii) do not contravene or result in a default under or conflict with: (A) its charter or by-laws, (B) any law, rule or regulation applicable to it,</w:t>
      </w:r>
    </w:p>
    <w:p>
      <w:pPr>
        <w:spacing w:after="0" w:line="2" w:lineRule="exact"/>
        <w:rPr>
          <w:rFonts w:ascii="Arial" w:cs="Arial" w:eastAsia="Arial" w:hAnsi="Arial"/>
          <w:sz w:val="16"/>
          <w:szCs w:val="16"/>
          <w:color w:val="auto"/>
        </w:rPr>
      </w:pPr>
    </w:p>
    <w:p>
      <w:pPr>
        <w:ind w:left="284" w:hanging="284"/>
        <w:spacing w:after="0"/>
        <w:tabs>
          <w:tab w:leader="none" w:pos="284" w:val="left"/>
        </w:tabs>
        <w:numPr>
          <w:ilvl w:val="0"/>
          <w:numId w:val="323"/>
        </w:numPr>
        <w:rPr>
          <w:rFonts w:ascii="Arial" w:cs="Arial" w:eastAsia="Arial" w:hAnsi="Arial"/>
          <w:sz w:val="16"/>
          <w:szCs w:val="16"/>
          <w:color w:val="auto"/>
        </w:rPr>
      </w:pPr>
      <w:r>
        <w:rPr>
          <w:rFonts w:ascii="Arial" w:cs="Arial" w:eastAsia="Arial" w:hAnsi="Arial"/>
          <w:sz w:val="16"/>
          <w:szCs w:val="16"/>
          <w:color w:val="auto"/>
        </w:rPr>
        <w:t>any indenture, loan agreement, mortgage, deed of trust or other material agreement or instrument to which it is a party or by which it is bound, or</w:t>
      </w:r>
    </w:p>
    <w:p>
      <w:pPr>
        <w:spacing w:after="0" w:line="32" w:lineRule="exact"/>
        <w:rPr>
          <w:rFonts w:ascii="Arial" w:cs="Arial" w:eastAsia="Arial" w:hAnsi="Arial"/>
          <w:sz w:val="16"/>
          <w:szCs w:val="16"/>
          <w:color w:val="auto"/>
        </w:rPr>
      </w:pPr>
    </w:p>
    <w:p>
      <w:pPr>
        <w:ind w:left="4" w:hanging="4"/>
        <w:spacing w:after="0" w:line="255" w:lineRule="auto"/>
        <w:tabs>
          <w:tab w:leader="none" w:pos="29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order, writ, judgment, award, injunction or decree binding on or affecting it or any of its property; and (iv) do not result in or require the creation of any Adverse Claim upon or with respect to any of its properties. This Agreement and the other Transaction Documents to which it is a party have been duly executed and delivered by the Seller.</w:t>
      </w:r>
    </w:p>
    <w:p>
      <w:pPr>
        <w:spacing w:after="0" w:line="189" w:lineRule="exact"/>
        <w:rPr>
          <w:rFonts w:ascii="Arial" w:cs="Arial" w:eastAsia="Arial" w:hAnsi="Arial"/>
          <w:sz w:val="18"/>
          <w:szCs w:val="18"/>
          <w:color w:val="auto"/>
        </w:rPr>
      </w:pPr>
    </w:p>
    <w:p>
      <w:pPr>
        <w:ind w:left="4" w:right="240" w:firstLine="436"/>
        <w:spacing w:after="0" w:line="259" w:lineRule="auto"/>
        <w:tabs>
          <w:tab w:leader="none" w:pos="689" w:val="left"/>
        </w:tabs>
        <w:numPr>
          <w:ilvl w:val="1"/>
          <w:numId w:val="323"/>
        </w:numPr>
        <w:rPr>
          <w:rFonts w:ascii="Arial" w:cs="Arial" w:eastAsia="Arial" w:hAnsi="Arial"/>
          <w:sz w:val="18"/>
          <w:szCs w:val="18"/>
          <w:color w:val="auto"/>
        </w:rPr>
      </w:pPr>
      <w:r>
        <w:rPr>
          <w:rFonts w:ascii="Arial" w:cs="Arial" w:eastAsia="Arial" w:hAnsi="Arial"/>
          <w:sz w:val="18"/>
          <w:szCs w:val="18"/>
          <w:color w:val="auto"/>
        </w:rPr>
        <w:t xml:space="preserve">No authorization, approval or other action by, and no notice to or filing with, any Governmental Authority or other Person is required for its due execution, delivery and performance by the Seller of this Agreement or any other Transaction Document to which it is a party, other than the Uniform Commercial Code filings referred to in </w:t>
      </w:r>
      <w:r>
        <w:rPr>
          <w:rFonts w:ascii="Arial" w:cs="Arial" w:eastAsia="Arial" w:hAnsi="Arial"/>
          <w:sz w:val="18"/>
          <w:szCs w:val="18"/>
          <w:u w:val="single" w:color="auto"/>
          <w:color w:val="auto"/>
        </w:rPr>
        <w:t>Exhibit II</w:t>
      </w:r>
      <w:r>
        <w:rPr>
          <w:rFonts w:ascii="Arial" w:cs="Arial" w:eastAsia="Arial" w:hAnsi="Arial"/>
          <w:sz w:val="18"/>
          <w:szCs w:val="18"/>
          <w:color w:val="auto"/>
        </w:rPr>
        <w:t xml:space="preserve"> to this Agreement, all of which shall have been filed on or before the date of the first purchase hereunder.</w:t>
      </w:r>
    </w:p>
    <w:p>
      <w:pPr>
        <w:spacing w:after="0" w:line="186" w:lineRule="exact"/>
        <w:rPr>
          <w:rFonts w:ascii="Arial" w:cs="Arial" w:eastAsia="Arial" w:hAnsi="Arial"/>
          <w:sz w:val="18"/>
          <w:szCs w:val="18"/>
          <w:color w:val="auto"/>
        </w:rPr>
      </w:pPr>
    </w:p>
    <w:p>
      <w:pPr>
        <w:ind w:left="4" w:right="20" w:firstLine="436"/>
        <w:spacing w:after="0" w:line="259" w:lineRule="auto"/>
        <w:tabs>
          <w:tab w:leader="none" w:pos="699" w:val="left"/>
        </w:tabs>
        <w:numPr>
          <w:ilvl w:val="1"/>
          <w:numId w:val="323"/>
        </w:numPr>
        <w:rPr>
          <w:rFonts w:ascii="Arial" w:cs="Arial" w:eastAsia="Arial" w:hAnsi="Arial"/>
          <w:sz w:val="18"/>
          <w:szCs w:val="18"/>
          <w:color w:val="auto"/>
        </w:rPr>
      </w:pPr>
      <w:r>
        <w:rPr>
          <w:rFonts w:ascii="Arial" w:cs="Arial" w:eastAsia="Arial" w:hAnsi="Arial"/>
          <w:sz w:val="18"/>
          <w:szCs w:val="18"/>
          <w:color w:val="auto"/>
        </w:rPr>
        <w:t>Each of this Agreement and the other Transaction Documents to which the Seller is a party constitutes its legal, valid and binding obligation of the Seller enforceable against the Seller in accordance with its terms, except as enforceability may be limited by bankruptcy, insolvency, reorganization or other similar laws from time to time in effect affecting the enforcement of creditors’ rights generally and by general principles of equity, regardless of whether such enforceability is considered in a proceeding in equity or at law.</w:t>
      </w:r>
    </w:p>
    <w:p>
      <w:pPr>
        <w:spacing w:after="0" w:line="186" w:lineRule="exact"/>
        <w:rPr>
          <w:rFonts w:ascii="Arial" w:cs="Arial" w:eastAsia="Arial" w:hAnsi="Arial"/>
          <w:sz w:val="18"/>
          <w:szCs w:val="18"/>
          <w:color w:val="auto"/>
        </w:rPr>
      </w:pPr>
    </w:p>
    <w:p>
      <w:pPr>
        <w:ind w:left="4" w:right="720" w:firstLine="436"/>
        <w:spacing w:after="0" w:line="277" w:lineRule="auto"/>
        <w:tabs>
          <w:tab w:leader="none" w:pos="689"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There is no pending or, to Seller’s best knowledge, threatened action or proceeding affecting Seller or any of its properties before any Governmental Authority or arbitrator.</w:t>
      </w:r>
    </w:p>
    <w:p>
      <w:pPr>
        <w:spacing w:after="0" w:line="170" w:lineRule="exact"/>
        <w:rPr>
          <w:rFonts w:ascii="Arial" w:cs="Arial" w:eastAsia="Arial" w:hAnsi="Arial"/>
          <w:sz w:val="18"/>
          <w:szCs w:val="18"/>
          <w:color w:val="auto"/>
        </w:rPr>
      </w:pPr>
    </w:p>
    <w:p>
      <w:pPr>
        <w:ind w:left="4" w:right="180" w:firstLine="436"/>
        <w:spacing w:after="0" w:line="277" w:lineRule="auto"/>
        <w:tabs>
          <w:tab w:leader="none" w:pos="669" w:val="left"/>
        </w:tabs>
        <w:numPr>
          <w:ilvl w:val="1"/>
          <w:numId w:val="323"/>
        </w:numPr>
        <w:rPr>
          <w:rFonts w:ascii="Arial" w:cs="Arial" w:eastAsia="Arial" w:hAnsi="Arial"/>
          <w:sz w:val="18"/>
          <w:szCs w:val="18"/>
          <w:color w:val="auto"/>
        </w:rPr>
      </w:pPr>
      <w:r>
        <w:rPr>
          <w:rFonts w:ascii="Arial" w:cs="Arial" w:eastAsia="Arial" w:hAnsi="Arial"/>
          <w:sz w:val="18"/>
          <w:szCs w:val="18"/>
          <w:color w:val="auto"/>
        </w:rPr>
        <w:t>No proceeds of any Purchase or reinvestment will be used to acquire any equity security of a class that is registered pursuant to Section 12 of the Securities Exchange Act of 1934.</w:t>
      </w:r>
    </w:p>
    <w:p>
      <w:pPr>
        <w:spacing w:after="0" w:line="170" w:lineRule="exact"/>
        <w:rPr>
          <w:rFonts w:ascii="Arial" w:cs="Arial" w:eastAsia="Arial" w:hAnsi="Arial"/>
          <w:sz w:val="18"/>
          <w:szCs w:val="18"/>
          <w:color w:val="auto"/>
        </w:rPr>
      </w:pPr>
    </w:p>
    <w:p>
      <w:pPr>
        <w:ind w:left="4" w:right="340" w:firstLine="436"/>
        <w:spacing w:after="0" w:line="259" w:lineRule="auto"/>
        <w:tabs>
          <w:tab w:leader="none" w:pos="699"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Seller is the legal and beneficial owner of the Pool Receivables and Related Security, free and clear of any Adverse Claim. Upon each purchase or reinvestment, Administrator (for the benefit of each Purchaser) shall acquire a valid and enforceable perfected undivided percentage ownership or security interest, to the extent of the Purchased Interest, in each Pool Receivable then existing or thereafter arising and in the Related Security, Collections and other</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1004"/>
          </w:cols>
          <w:pgMar w:left="436" w:top="274" w:right="459" w:bottom="1440" w:gutter="0" w:footer="0" w:header="0"/>
        </w:sectPr>
      </w:pPr>
    </w:p>
    <w:bookmarkStart w:id="279" w:name="page280"/>
    <w:bookmarkEnd w:id="279"/>
    <w:p>
      <w:pPr>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proceeds with respect thereto, free and clear of any Adverse Claim. This Agreement creates a security interest in favor of the Administrator (for the benefit of each Purchaser) in the Pool Assets, and the Administrator (for the benefit of each Purchaser) has a first priority perfected security interest in the Pool Assets, free and clear of any Adverse Claims. No effective financing statement or other instrument similar in effect covering any Pool Asset is on file in any recording office, except those filed in favor of the Seller pursuant to the Sale Agreement and the Administrator (for the benefit of each Purchaser) relating to this Agreement, or in respect of which the Administrator has received evidence satisfactory to the Administrator of acknowledgment copies, or time-stamped receipt copies, of proper financing statements releasing or terminating, as applicable, all security interests and other rights of any Person in such Pool Asset.</w:t>
      </w:r>
    </w:p>
    <w:p>
      <w:pPr>
        <w:spacing w:after="0" w:line="177" w:lineRule="exact"/>
        <w:rPr>
          <w:sz w:val="20"/>
          <w:szCs w:val="20"/>
          <w:color w:val="auto"/>
        </w:rPr>
      </w:pPr>
    </w:p>
    <w:p>
      <w:pPr>
        <w:ind w:left="4" w:firstLine="436"/>
        <w:spacing w:after="0" w:line="293" w:lineRule="auto"/>
        <w:tabs>
          <w:tab w:leader="none" w:pos="699" w:val="left"/>
        </w:tabs>
        <w:numPr>
          <w:ilvl w:val="1"/>
          <w:numId w:val="324"/>
        </w:numPr>
        <w:rPr>
          <w:rFonts w:ascii="Arial" w:cs="Arial" w:eastAsia="Arial" w:hAnsi="Arial"/>
          <w:sz w:val="16"/>
          <w:szCs w:val="16"/>
          <w:color w:val="auto"/>
        </w:rPr>
      </w:pPr>
      <w:r>
        <w:rPr>
          <w:rFonts w:ascii="Arial" w:cs="Arial" w:eastAsia="Arial" w:hAnsi="Arial"/>
          <w:sz w:val="16"/>
          <w:szCs w:val="16"/>
          <w:color w:val="auto"/>
        </w:rPr>
        <w:t>Each Information Package or Daily Report (if prepared by the Seller or one of its Affiliates, or to the extent that information contained therein is supplied by the Seller or an Affiliate), information, exhibit, financial statement, document, book, record or report furnished or to be furnished at any time by or on behalf of the Seller to the Administrator or any Purchaser Agent in connection with this Agreement or any other Transaction Document to which it is a party is or will be, when taken as a whole, complete and accurate in all material respects as of its date or as of the date so furnished, and does not and will not, when taken as a whole, contain any material misstatement of fact or omit to state a material fact or any fact necessary to make the statements contained therein, in light of the circumstances under which they were made, not materially misleading.</w:t>
      </w:r>
    </w:p>
    <w:p>
      <w:pPr>
        <w:spacing w:after="0" w:line="164" w:lineRule="exact"/>
        <w:rPr>
          <w:rFonts w:ascii="Arial" w:cs="Arial" w:eastAsia="Arial" w:hAnsi="Arial"/>
          <w:sz w:val="16"/>
          <w:szCs w:val="16"/>
          <w:color w:val="auto"/>
        </w:rPr>
      </w:pPr>
    </w:p>
    <w:p>
      <w:pPr>
        <w:ind w:left="664" w:hanging="224"/>
        <w:spacing w:after="0"/>
        <w:tabs>
          <w:tab w:leader="none" w:pos="664" w:val="left"/>
        </w:tabs>
        <w:numPr>
          <w:ilvl w:val="1"/>
          <w:numId w:val="324"/>
        </w:numPr>
        <w:rPr>
          <w:rFonts w:ascii="Arial" w:cs="Arial" w:eastAsia="Arial" w:hAnsi="Arial"/>
          <w:sz w:val="16"/>
          <w:szCs w:val="16"/>
          <w:color w:val="auto"/>
        </w:rPr>
      </w:pPr>
      <w:r>
        <w:rPr>
          <w:rFonts w:ascii="Arial" w:cs="Arial" w:eastAsia="Arial" w:hAnsi="Arial"/>
          <w:sz w:val="16"/>
          <w:szCs w:val="16"/>
          <w:color w:val="auto"/>
        </w:rPr>
        <w:t>The Seller’s (x) principal place of business and chief executive office and the office where it keeps its records concerning the Receivables and</w:t>
      </w:r>
    </w:p>
    <w:p>
      <w:pPr>
        <w:spacing w:after="0" w:line="46" w:lineRule="exact"/>
        <w:rPr>
          <w:rFonts w:ascii="Arial" w:cs="Arial" w:eastAsia="Arial" w:hAnsi="Arial"/>
          <w:sz w:val="16"/>
          <w:szCs w:val="16"/>
          <w:color w:val="auto"/>
        </w:rPr>
      </w:pPr>
    </w:p>
    <w:p>
      <w:pPr>
        <w:ind w:left="4" w:right="300" w:hanging="4"/>
        <w:spacing w:after="0" w:line="260" w:lineRule="auto"/>
        <w:tabs>
          <w:tab w:leader="none" w:pos="259"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“location” (as such term is used in the UCC), are, in each case, located at the addresses referred to in </w:t>
      </w:r>
      <w:r>
        <w:rPr>
          <w:rFonts w:ascii="Arial" w:cs="Arial" w:eastAsia="Arial" w:hAnsi="Arial"/>
          <w:sz w:val="18"/>
          <w:szCs w:val="18"/>
          <w:u w:val="single" w:color="auto"/>
          <w:color w:val="auto"/>
        </w:rPr>
        <w:t>Sections 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IV</w:t>
      </w:r>
      <w:r>
        <w:rPr>
          <w:rFonts w:ascii="Arial" w:cs="Arial" w:eastAsia="Arial" w:hAnsi="Arial"/>
          <w:sz w:val="18"/>
          <w:szCs w:val="18"/>
          <w:color w:val="auto"/>
        </w:rPr>
        <w:t xml:space="preserve"> to this Agreement.</w:t>
      </w:r>
    </w:p>
    <w:p>
      <w:pPr>
        <w:spacing w:after="0" w:line="185" w:lineRule="exact"/>
        <w:rPr>
          <w:rFonts w:ascii="Arial" w:cs="Arial" w:eastAsia="Arial" w:hAnsi="Arial"/>
          <w:sz w:val="18"/>
          <w:szCs w:val="18"/>
          <w:color w:val="auto"/>
        </w:rPr>
      </w:pPr>
    </w:p>
    <w:p>
      <w:pPr>
        <w:ind w:left="4" w:right="40" w:firstLine="436"/>
        <w:spacing w:after="0" w:line="271" w:lineRule="auto"/>
        <w:tabs>
          <w:tab w:leader="none" w:pos="659" w:val="left"/>
        </w:tabs>
        <w:numPr>
          <w:ilvl w:val="1"/>
          <w:numId w:val="325"/>
        </w:numPr>
        <w:rPr>
          <w:rFonts w:ascii="Arial" w:cs="Arial" w:eastAsia="Arial" w:hAnsi="Arial"/>
          <w:sz w:val="17"/>
          <w:szCs w:val="17"/>
          <w:color w:val="auto"/>
        </w:rPr>
      </w:pPr>
      <w:r>
        <w:rPr>
          <w:rFonts w:ascii="Arial" w:cs="Arial" w:eastAsia="Arial" w:hAnsi="Arial"/>
          <w:sz w:val="17"/>
          <w:szCs w:val="17"/>
          <w:color w:val="auto"/>
        </w:rPr>
        <w:t xml:space="preserve">The names and addresses of all the Lock-Box Banks, together with the account numbers of the Lock-Box Accounts at such Lock-Box Banks, are specified in the Lock-Box Schedule Letter Agreement (or at such other Lock-Box Banks and/or with such other Lock-Box Accounts as have been notified to the Administrator in accordance with this Agreement) and all Lock-Box Accounts are subject to Lock-Box Agreements (except as otherwise agreed to in writing by the Administrator);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so long as the Exception Account Conditions are then satisfied with respect to an Exception Account, such Exception Account need not be subject to a Lock-Box Agreement. Seller has not granted to any Person, other than the Administrator as contemplated by this Agreement, dominion and control of any Lock-Box Account, or the right to take dominion and control of any such account at a future time or upon the occurrence of a future event. No Lock-Box Account is subject to any Adverse Claim. The Seller is not in violation of any order of any court, arbitrator or Governmental Authority.</w:t>
      </w:r>
    </w:p>
    <w:p>
      <w:pPr>
        <w:spacing w:after="0" w:line="178" w:lineRule="exact"/>
        <w:rPr>
          <w:rFonts w:ascii="Arial" w:cs="Arial" w:eastAsia="Arial" w:hAnsi="Arial"/>
          <w:sz w:val="17"/>
          <w:szCs w:val="17"/>
          <w:color w:val="auto"/>
        </w:rPr>
      </w:pPr>
    </w:p>
    <w:p>
      <w:pPr>
        <w:ind w:left="704" w:hanging="264"/>
        <w:spacing w:after="0"/>
        <w:tabs>
          <w:tab w:leader="none" w:pos="704" w:val="left"/>
        </w:tabs>
        <w:numPr>
          <w:ilvl w:val="1"/>
          <w:numId w:val="325"/>
        </w:numPr>
        <w:rPr>
          <w:rFonts w:ascii="Arial" w:cs="Arial" w:eastAsia="Arial" w:hAnsi="Arial"/>
          <w:sz w:val="18"/>
          <w:szCs w:val="18"/>
          <w:color w:val="auto"/>
        </w:rPr>
      </w:pPr>
      <w:r>
        <w:rPr>
          <w:rFonts w:ascii="Arial" w:cs="Arial" w:eastAsia="Arial" w:hAnsi="Arial"/>
          <w:sz w:val="18"/>
          <w:szCs w:val="18"/>
          <w:color w:val="auto"/>
        </w:rPr>
        <w:t>Neither the Seller nor any of its Affiliates has any direct or indirect ownership or other financial interest in any Purchaser.</w:t>
      </w:r>
    </w:p>
    <w:p>
      <w:pPr>
        <w:spacing w:after="0" w:line="225" w:lineRule="exact"/>
        <w:rPr>
          <w:rFonts w:ascii="Arial" w:cs="Arial" w:eastAsia="Arial" w:hAnsi="Arial"/>
          <w:sz w:val="18"/>
          <w:szCs w:val="18"/>
          <w:color w:val="auto"/>
        </w:rPr>
      </w:pPr>
    </w:p>
    <w:p>
      <w:pPr>
        <w:jc w:val="both"/>
        <w:ind w:left="4" w:right="240" w:firstLine="436"/>
        <w:spacing w:after="0" w:line="263" w:lineRule="auto"/>
        <w:tabs>
          <w:tab w:leader="none" w:pos="659" w:val="left"/>
        </w:tabs>
        <w:numPr>
          <w:ilvl w:val="1"/>
          <w:numId w:val="325"/>
        </w:numPr>
        <w:rPr>
          <w:rFonts w:ascii="Arial" w:cs="Arial" w:eastAsia="Arial" w:hAnsi="Arial"/>
          <w:sz w:val="18"/>
          <w:szCs w:val="18"/>
          <w:color w:val="auto"/>
        </w:rPr>
      </w:pPr>
      <w:r>
        <w:rPr>
          <w:rFonts w:ascii="Arial" w:cs="Arial" w:eastAsia="Arial" w:hAnsi="Arial"/>
          <w:sz w:val="18"/>
          <w:szCs w:val="18"/>
          <w:color w:val="auto"/>
        </w:rPr>
        <w:t>No proceeds of any Purchase or reinvestment will be used for any purpose that violates any Applicable Law. No part of the proceeds of any Purchase or reinvestment will be used, whether directly or indirectly, for any purpose that entails a violation of any of the Regulations of the Federal Reserve Board, including Regulations T, U and X.</w:t>
      </w:r>
    </w:p>
    <w:p>
      <w:pPr>
        <w:spacing w:after="0" w:line="11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III-2</w:t>
      </w:r>
    </w:p>
    <w:p>
      <w:pPr>
        <w:sectPr>
          <w:pgSz w:w="11900" w:h="16838" w:orient="portrait"/>
          <w:cols w:equalWidth="0" w:num="1">
            <w:col w:w="10944"/>
          </w:cols>
          <w:pgMar w:left="436" w:top="274" w:right="519" w:bottom="1440" w:gutter="0" w:footer="0" w:header="0"/>
        </w:sectPr>
      </w:pPr>
    </w:p>
    <w:bookmarkStart w:id="280" w:name="page281"/>
    <w:bookmarkEnd w:id="280"/>
    <w:p>
      <w:pPr>
        <w:ind w:left="740" w:hanging="304"/>
        <w:spacing w:after="0"/>
        <w:tabs>
          <w:tab w:leader="none" w:pos="740" w:val="left"/>
        </w:tabs>
        <w:numPr>
          <w:ilvl w:val="0"/>
          <w:numId w:val="3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Pool Receivable included as an Eligible Receivable in the calculation of the Net Receivables Pool Balance is an Eligible Receivable.</w:t>
      </w:r>
    </w:p>
    <w:p>
      <w:pPr>
        <w:spacing w:after="0" w:line="248" w:lineRule="exact"/>
        <w:rPr>
          <w:rFonts w:ascii="Arial" w:cs="Arial" w:eastAsia="Arial" w:hAnsi="Arial"/>
          <w:sz w:val="16"/>
          <w:szCs w:val="16"/>
          <w:color w:val="auto"/>
        </w:rPr>
      </w:pPr>
    </w:p>
    <w:p>
      <w:pPr>
        <w:jc w:val="both"/>
        <w:ind w:right="220" w:firstLine="436"/>
        <w:spacing w:after="0" w:line="263" w:lineRule="auto"/>
        <w:tabs>
          <w:tab w:leader="none" w:pos="69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No event has occurred and is continuing that constitutes a Termination Event or an Unmatured Termination Event and no event would result from a purchase in respect of, or reinvestment in respect of, the Purchased Interest or from the application of the proceeds therefrom that constitutes a Termination Event or an Unmatured Termination Event.</w:t>
      </w:r>
    </w:p>
    <w:p>
      <w:pPr>
        <w:spacing w:after="0" w:line="183" w:lineRule="exact"/>
        <w:rPr>
          <w:rFonts w:ascii="Arial" w:cs="Arial" w:eastAsia="Arial" w:hAnsi="Arial"/>
          <w:sz w:val="18"/>
          <w:szCs w:val="18"/>
          <w:color w:val="auto"/>
        </w:rPr>
      </w:pPr>
    </w:p>
    <w:p>
      <w:pPr>
        <w:ind w:right="380" w:firstLine="436"/>
        <w:spacing w:after="0" w:line="277" w:lineRule="auto"/>
        <w:tabs>
          <w:tab w:leader="none" w:pos="69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Seller has accounted for each sale of undivided percentage ownership interests in Receivables in its books and financial statements as sales, consistent with generally accepted accounting principles.</w:t>
      </w:r>
    </w:p>
    <w:p>
      <w:pPr>
        <w:spacing w:after="0" w:line="170" w:lineRule="exact"/>
        <w:rPr>
          <w:rFonts w:ascii="Arial" w:cs="Arial" w:eastAsia="Arial" w:hAnsi="Arial"/>
          <w:sz w:val="18"/>
          <w:szCs w:val="18"/>
          <w:color w:val="auto"/>
        </w:rPr>
      </w:pPr>
    </w:p>
    <w:p>
      <w:pPr>
        <w:ind w:right="540" w:firstLine="436"/>
        <w:spacing w:after="0" w:line="277" w:lineRule="auto"/>
        <w:tabs>
          <w:tab w:leader="none" w:pos="69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Seller has complied in all material respects with the Credit and Collection Policy of each Originator with regard to each Receivable originated by such Originator.</w:t>
      </w:r>
    </w:p>
    <w:p>
      <w:pPr>
        <w:spacing w:after="0" w:line="170" w:lineRule="exact"/>
        <w:rPr>
          <w:rFonts w:ascii="Arial" w:cs="Arial" w:eastAsia="Arial" w:hAnsi="Arial"/>
          <w:sz w:val="18"/>
          <w:szCs w:val="18"/>
          <w:color w:val="auto"/>
        </w:rPr>
      </w:pPr>
    </w:p>
    <w:p>
      <w:pPr>
        <w:ind w:right="360" w:firstLine="436"/>
        <w:spacing w:after="0" w:line="277" w:lineRule="auto"/>
        <w:tabs>
          <w:tab w:leader="none" w:pos="69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Seller has complied in all material respects with all of the terms, covenants and agreements contained in this Agreement and the other Transaction Documents that are applicable to it and all laws, rules, regulations and orders that are applicable to it.</w:t>
      </w:r>
    </w:p>
    <w:p>
      <w:pPr>
        <w:spacing w:after="0" w:line="170" w:lineRule="exact"/>
        <w:rPr>
          <w:rFonts w:ascii="Arial" w:cs="Arial" w:eastAsia="Arial" w:hAnsi="Arial"/>
          <w:sz w:val="18"/>
          <w:szCs w:val="18"/>
          <w:color w:val="auto"/>
        </w:rPr>
      </w:pPr>
    </w:p>
    <w:p>
      <w:pPr>
        <w:ind w:right="20" w:firstLine="436"/>
        <w:spacing w:after="0" w:line="259" w:lineRule="auto"/>
        <w:tabs>
          <w:tab w:leader="none" w:pos="66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The Seller’s complete corporate name is set forth in the preamble to this Agreement, and it does not use and has not during the last five years used any other corporate name, trade name, doing-business name or fictitious name, except as set forth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to this Agreement and except for names first used after the date of this Agreement and set forth in a notice delivered to the Administrator pursuant to </w:t>
      </w:r>
      <w:r>
        <w:rPr>
          <w:rFonts w:ascii="Arial" w:cs="Arial" w:eastAsia="Arial" w:hAnsi="Arial"/>
          <w:sz w:val="18"/>
          <w:szCs w:val="18"/>
          <w:u w:val="single" w:color="auto"/>
          <w:color w:val="auto"/>
        </w:rPr>
        <w:t>Section 1(k)(iv)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IV</w:t>
      </w:r>
      <w:r>
        <w:rPr>
          <w:rFonts w:ascii="Arial" w:cs="Arial" w:eastAsia="Arial" w:hAnsi="Arial"/>
          <w:sz w:val="18"/>
          <w:szCs w:val="18"/>
          <w:color w:val="auto"/>
        </w:rPr>
        <w:t xml:space="preserve"> to this Agreement.</w:t>
      </w:r>
    </w:p>
    <w:p>
      <w:pPr>
        <w:spacing w:after="0" w:line="186" w:lineRule="exact"/>
        <w:rPr>
          <w:rFonts w:ascii="Arial" w:cs="Arial" w:eastAsia="Arial" w:hAnsi="Arial"/>
          <w:sz w:val="18"/>
          <w:szCs w:val="18"/>
          <w:color w:val="auto"/>
        </w:rPr>
      </w:pPr>
    </w:p>
    <w:p>
      <w:pPr>
        <w:ind w:right="300" w:firstLine="436"/>
        <w:spacing w:after="0" w:line="257" w:lineRule="auto"/>
        <w:tabs>
          <w:tab w:leader="none" w:pos="672"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Seller is not an “investment company,” or a company “controlled” by an “investment company” within the meaning of the Investment Company Act of 1940, as amended. The Seller is not a “covered fund” under Section 619 of the Dodd-Frank Wall Street Reform and Consumer Protection Act and the regulations implemented thereunder (the “</w:t>
      </w:r>
      <w:r>
        <w:rPr>
          <w:rFonts w:ascii="Arial" w:cs="Arial" w:eastAsia="Arial" w:hAnsi="Arial"/>
          <w:sz w:val="18"/>
          <w:szCs w:val="18"/>
          <w:u w:val="single" w:color="auto"/>
          <w:color w:val="auto"/>
        </w:rPr>
        <w:t>Volcker Rule</w:t>
      </w:r>
      <w:r>
        <w:rPr>
          <w:rFonts w:ascii="Arial" w:cs="Arial" w:eastAsia="Arial" w:hAnsi="Arial"/>
          <w:sz w:val="18"/>
          <w:szCs w:val="18"/>
          <w:color w:val="auto"/>
        </w:rPr>
        <w:t>”). In determining that the Seller is not a “covered fund” under the Volcker Rule, the Seller is entitled to rely on the exemption from the definition of “investment company” set forth in Section 3(c)(5)(A) or (B) of the Investment Company Act of 1940, as amended.</w:t>
      </w:r>
    </w:p>
    <w:p>
      <w:pPr>
        <w:spacing w:after="0" w:line="187" w:lineRule="exact"/>
        <w:rPr>
          <w:rFonts w:ascii="Arial" w:cs="Arial" w:eastAsia="Arial" w:hAnsi="Arial"/>
          <w:sz w:val="18"/>
          <w:szCs w:val="18"/>
          <w:color w:val="auto"/>
        </w:rPr>
      </w:pPr>
    </w:p>
    <w:p>
      <w:pPr>
        <w:jc w:val="both"/>
        <w:ind w:right="40" w:firstLine="436"/>
        <w:spacing w:after="0" w:line="311" w:lineRule="auto"/>
        <w:tabs>
          <w:tab w:leader="none" w:pos="655" w:val="left"/>
        </w:tabs>
        <w:numPr>
          <w:ilvl w:val="0"/>
          <w:numId w:val="326"/>
        </w:numPr>
        <w:rPr>
          <w:rFonts w:ascii="Arial" w:cs="Arial" w:eastAsia="Arial" w:hAnsi="Arial"/>
          <w:sz w:val="16"/>
          <w:szCs w:val="16"/>
          <w:color w:val="auto"/>
        </w:rPr>
      </w:pPr>
      <w:r>
        <w:rPr>
          <w:rFonts w:ascii="Arial" w:cs="Arial" w:eastAsia="Arial" w:hAnsi="Arial"/>
          <w:sz w:val="16"/>
          <w:szCs w:val="16"/>
          <w:color w:val="auto"/>
        </w:rPr>
        <w:t xml:space="preserve">None of the consignments, inventory financings, or other arrangements covered by the financing statement specified in </w:t>
      </w:r>
      <w:r>
        <w:rPr>
          <w:rFonts w:ascii="Arial" w:cs="Arial" w:eastAsia="Arial" w:hAnsi="Arial"/>
          <w:sz w:val="16"/>
          <w:szCs w:val="16"/>
          <w:u w:val="single" w:color="auto"/>
          <w:color w:val="auto"/>
        </w:rPr>
        <w:t>Schedule VIII</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Subject UCC</w:t>
      </w:r>
      <w:r>
        <w:rPr>
          <w:rFonts w:ascii="Arial" w:cs="Arial" w:eastAsia="Arial" w:hAnsi="Arial"/>
          <w:sz w:val="16"/>
          <w:szCs w:val="16"/>
          <w:color w:val="auto"/>
        </w:rPr>
        <w:t>”) relates or will relate to commingled goods or inventory the sale of which gives rise to any Receivable. The secured party set forth on the Subject UCC does not have, nor will it have, any Adverse Claim on, or with respect to, any Pool Receivables or Related Assets.</w:t>
      </w:r>
    </w:p>
    <w:p>
      <w:pPr>
        <w:spacing w:after="0" w:line="148" w:lineRule="exact"/>
        <w:rPr>
          <w:rFonts w:ascii="Arial" w:cs="Arial" w:eastAsia="Arial" w:hAnsi="Arial"/>
          <w:sz w:val="16"/>
          <w:szCs w:val="16"/>
          <w:color w:val="auto"/>
        </w:rPr>
      </w:pPr>
    </w:p>
    <w:p>
      <w:pPr>
        <w:ind w:firstLine="436"/>
        <w:spacing w:after="0" w:line="263" w:lineRule="auto"/>
        <w:tabs>
          <w:tab w:leader="none" w:pos="69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With respect to each Receivable transferred to the Seller under the Sale Agreement, Seller has given reasonably equivalent value to the Originator thereof in consideration therefor and such transfer was not made for or on account of an antecedent debt. No transfer by any Originator of any Receivable under the Sale Agreement is or may be voidable under any Section of the Bankruptcy Code.</w:t>
      </w:r>
    </w:p>
    <w:p>
      <w:pPr>
        <w:spacing w:after="0" w:line="183" w:lineRule="exact"/>
        <w:rPr>
          <w:rFonts w:ascii="Arial" w:cs="Arial" w:eastAsia="Arial" w:hAnsi="Arial"/>
          <w:sz w:val="18"/>
          <w:szCs w:val="18"/>
          <w:color w:val="auto"/>
        </w:rPr>
      </w:pPr>
    </w:p>
    <w:p>
      <w:pPr>
        <w:ind w:right="580" w:firstLine="436"/>
        <w:spacing w:after="0" w:line="342" w:lineRule="auto"/>
        <w:tabs>
          <w:tab w:leader="none" w:pos="695" w:val="left"/>
        </w:tabs>
        <w:numPr>
          <w:ilvl w:val="0"/>
          <w:numId w:val="326"/>
        </w:numPr>
        <w:rPr>
          <w:rFonts w:ascii="Arial" w:cs="Arial" w:eastAsia="Arial" w:hAnsi="Arial"/>
          <w:sz w:val="16"/>
          <w:szCs w:val="16"/>
          <w:color w:val="auto"/>
        </w:rPr>
      </w:pPr>
      <w:r>
        <w:rPr>
          <w:rFonts w:ascii="Arial" w:cs="Arial" w:eastAsia="Arial" w:hAnsi="Arial"/>
          <w:sz w:val="16"/>
          <w:szCs w:val="16"/>
          <w:color w:val="auto"/>
        </w:rPr>
        <w:t>Each Contract with respect to each Receivable is effective to create, and has created, a legal, valid and binding obligation of the related Obligor to pay the Outstanding Balance of the Receivable created thereunder and any accrued interest thereon, enforceable against the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III-3</w:t>
      </w:r>
    </w:p>
    <w:p>
      <w:pPr>
        <w:sectPr>
          <w:pgSz w:w="11900" w:h="16838" w:orient="portrait"/>
          <w:cols w:equalWidth="0" w:num="1">
            <w:col w:w="11000"/>
          </w:cols>
          <w:pgMar w:left="440" w:top="274" w:right="459" w:bottom="1440" w:gutter="0" w:footer="0" w:header="0"/>
        </w:sectPr>
      </w:pPr>
    </w:p>
    <w:bookmarkStart w:id="281" w:name="page282"/>
    <w:bookmarkEnd w:id="281"/>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Obligor in accordance with its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spacing w:after="0" w:line="184" w:lineRule="exact"/>
        <w:rPr>
          <w:sz w:val="20"/>
          <w:szCs w:val="20"/>
          <w:color w:val="auto"/>
        </w:rPr>
      </w:pPr>
    </w:p>
    <w:p>
      <w:pPr>
        <w:ind w:firstLine="436"/>
        <w:spacing w:after="0" w:line="311" w:lineRule="auto"/>
        <w:tabs>
          <w:tab w:leader="none" w:pos="735" w:val="left"/>
        </w:tabs>
        <w:numPr>
          <w:ilvl w:val="0"/>
          <w:numId w:val="327"/>
        </w:numPr>
        <w:rPr>
          <w:rFonts w:ascii="Arial" w:cs="Arial" w:eastAsia="Arial" w:hAnsi="Arial"/>
          <w:sz w:val="16"/>
          <w:szCs w:val="16"/>
          <w:color w:val="auto"/>
        </w:rPr>
      </w:pPr>
      <w:r>
        <w:rPr>
          <w:rFonts w:ascii="Arial" w:cs="Arial" w:eastAsia="Arial" w:hAnsi="Arial"/>
          <w:sz w:val="16"/>
          <w:szCs w:val="16"/>
          <w:color w:val="auto"/>
        </w:rPr>
        <w:t>Since its most recent fiscal year end, there has been no change in the business, operations, financial condition, properties or assets of the Seller which would have a Material Adverse Effect on its ability to perform its obligations under this Agreement or any other Transaction Document to which it is a party or materially and adversely affect the transactions contemplated under this Agreement or such other Transaction Documents.</w:t>
      </w:r>
    </w:p>
    <w:p>
      <w:pPr>
        <w:spacing w:after="0" w:line="148" w:lineRule="exact"/>
        <w:rPr>
          <w:rFonts w:ascii="Arial" w:cs="Arial" w:eastAsia="Arial" w:hAnsi="Arial"/>
          <w:sz w:val="16"/>
          <w:szCs w:val="16"/>
          <w:color w:val="auto"/>
        </w:rPr>
      </w:pPr>
    </w:p>
    <w:p>
      <w:pPr>
        <w:ind w:left="700" w:hanging="264"/>
        <w:spacing w:after="0"/>
        <w:tabs>
          <w:tab w:leader="none" w:pos="7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400" w:firstLine="436"/>
        <w:spacing w:after="0" w:line="277" w:lineRule="auto"/>
        <w:tabs>
          <w:tab w:leader="none" w:pos="69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Seller has not issued any LCR Securities, and the Seller is a consolidated subsidiary of WESCO under generally accepted accounting principles.</w:t>
      </w:r>
    </w:p>
    <w:p>
      <w:pPr>
        <w:spacing w:after="0" w:line="170" w:lineRule="exact"/>
        <w:rPr>
          <w:rFonts w:ascii="Arial" w:cs="Arial" w:eastAsia="Arial" w:hAnsi="Arial"/>
          <w:sz w:val="18"/>
          <w:szCs w:val="18"/>
          <w:color w:val="auto"/>
        </w:rPr>
      </w:pPr>
    </w:p>
    <w:p>
      <w:pPr>
        <w:ind w:right="60" w:firstLine="436"/>
        <w:spacing w:after="0" w:line="259" w:lineRule="auto"/>
        <w:tabs>
          <w:tab w:leader="none" w:pos="68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As of the Closing Date, the Seller is an entity that is organized under the laws of the United States or of any state and at least 51% of whose common stock or analogous equity interest is owned directly or indirectly by a company listed on the New York Stock Exchange or the American Stock Exchange or designated as a NASDAQ National Market Security listed on the NASDAQ stock exchange and is excluded on that basis from the definition of “Legal Entity Customer” as defined in the Beneficial Ownership Regulation.</w:t>
      </w:r>
    </w:p>
    <w:p>
      <w:pPr>
        <w:spacing w:after="0" w:line="187" w:lineRule="exact"/>
        <w:rPr>
          <w:sz w:val="20"/>
          <w:szCs w:val="20"/>
          <w:color w:val="auto"/>
        </w:rPr>
      </w:pPr>
    </w:p>
    <w:p>
      <w:pPr>
        <w:ind w:right="80" w:firstLine="436"/>
        <w:spacing w:after="0" w:line="342" w:lineRule="auto"/>
        <w:tabs>
          <w:tab w:leader="none" w:pos="765"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secured party set forth on the Subject Anixter UCC does not have, nor will it have, any Adverse Claim on, or with respect to, any Pool Receivables or Related Assets. No amount is owed by Anixter Inc. to the secured party set forth on the Subject Anixter UCC (or any successor thereto).</w:t>
      </w:r>
    </w:p>
    <w:p>
      <w:pPr>
        <w:spacing w:after="0" w:line="123" w:lineRule="exact"/>
        <w:rPr>
          <w:rFonts w:ascii="Arial" w:cs="Arial" w:eastAsia="Arial" w:hAnsi="Arial"/>
          <w:sz w:val="16"/>
          <w:szCs w:val="16"/>
          <w:color w:val="auto"/>
        </w:rPr>
      </w:pPr>
    </w:p>
    <w:p>
      <w:pPr>
        <w:ind w:right="380" w:firstLine="436"/>
        <w:spacing w:after="0" w:line="301" w:lineRule="auto"/>
        <w:tabs>
          <w:tab w:leader="none" w:pos="785" w:val="left"/>
        </w:tabs>
        <w:numPr>
          <w:ilvl w:val="0"/>
          <w:numId w:val="328"/>
        </w:numPr>
        <w:rPr>
          <w:rFonts w:ascii="Arial" w:cs="Arial" w:eastAsia="Arial" w:hAnsi="Arial"/>
          <w:sz w:val="16"/>
          <w:szCs w:val="16"/>
          <w:color w:val="auto"/>
        </w:rPr>
      </w:pPr>
      <w:r>
        <w:rPr>
          <w:rFonts w:ascii="Arial" w:cs="Arial" w:eastAsia="Arial" w:hAnsi="Arial"/>
          <w:sz w:val="16"/>
          <w:szCs w:val="16"/>
          <w:color w:val="auto"/>
        </w:rPr>
        <w:t>No: (a) Covered Entity, nor any employees, officers, directors, affiliates of such Covered Entity, nor to the knowledge of Seller, any consultants, brokers, or agents acting on such Covered Entity’s behalf in connection with this Agreement: (i) is a Sanctioned Person; (ii) directly, or indirectly through any third party, is engaged in any transactions or other dealings with or for the benefit of any Sanctioned Person or Sanctioned Jurisdiction, or any transactions or other dealings that otherwise are prohibited by any Anti-Terrorism Laws; (b) Pool Asset is Embargoed Property.</w:t>
      </w:r>
    </w:p>
    <w:p>
      <w:pPr>
        <w:spacing w:after="0" w:line="157" w:lineRule="exact"/>
        <w:rPr>
          <w:rFonts w:ascii="Arial" w:cs="Arial" w:eastAsia="Arial" w:hAnsi="Arial"/>
          <w:sz w:val="16"/>
          <w:szCs w:val="16"/>
          <w:color w:val="auto"/>
        </w:rPr>
      </w:pPr>
    </w:p>
    <w:p>
      <w:pPr>
        <w:ind w:right="220" w:firstLine="436"/>
        <w:spacing w:after="0" w:line="263" w:lineRule="auto"/>
        <w:tabs>
          <w:tab w:leader="none" w:pos="76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Each Covered Entity has, in the reasonable business judgment of Seller, (a) conducted its business in compliance with all Anti-Corruption Laws and (b) implemented and maintains policies and procedures designed to ensure compliance with such Anti-Corruption Laws, in each case, in all material respects.</w:t>
      </w:r>
    </w:p>
    <w:p>
      <w:pPr>
        <w:spacing w:after="0" w:line="184" w:lineRule="exact"/>
        <w:rPr>
          <w:sz w:val="20"/>
          <w:szCs w:val="20"/>
          <w:color w:val="auto"/>
        </w:rPr>
      </w:pPr>
    </w:p>
    <w:p>
      <w:pPr>
        <w:ind w:right="80" w:firstLine="436"/>
        <w:spacing w:after="0" w:line="277" w:lineRule="auto"/>
        <w:tabs>
          <w:tab w:leader="none" w:pos="62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WESCO (including in its capacity as the Servicer)</w:t>
      </w:r>
      <w:r>
        <w:rPr>
          <w:rFonts w:ascii="Arial" w:cs="Arial" w:eastAsia="Arial" w:hAnsi="Arial"/>
          <w:sz w:val="18"/>
          <w:szCs w:val="18"/>
          <w:color w:val="auto"/>
        </w:rPr>
        <w:t>. WESCO, individually and in its capacity as the Servicer, represents and warrants as follows:</w:t>
      </w:r>
    </w:p>
    <w:p>
      <w:pPr>
        <w:spacing w:after="0" w:line="170" w:lineRule="exact"/>
        <w:rPr>
          <w:sz w:val="20"/>
          <w:szCs w:val="20"/>
          <w:color w:val="auto"/>
        </w:rPr>
      </w:pPr>
    </w:p>
    <w:p>
      <w:pPr>
        <w:ind w:firstLine="436"/>
        <w:spacing w:after="0" w:line="263" w:lineRule="auto"/>
        <w:tabs>
          <w:tab w:leader="none" w:pos="68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WESCO is a corporation duly incorporated, validly existing and in good standing under the laws of the State of Delaware, and is duly qualified to do business and is in good standing as a foreign corporation in every jurisdiction where the nature of its business requires it to be so qualified, except where the failure to be so qualified would not have a Material Adverse Effect.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III-4</w:t>
      </w:r>
    </w:p>
    <w:p>
      <w:pPr>
        <w:sectPr>
          <w:pgSz w:w="11900" w:h="16838" w:orient="portrait"/>
          <w:cols w:equalWidth="0" w:num="1">
            <w:col w:w="11000"/>
          </w:cols>
          <w:pgMar w:left="440" w:top="274" w:right="459" w:bottom="1440" w:gutter="0" w:footer="0" w:header="0"/>
        </w:sectPr>
      </w:pPr>
    </w:p>
    <w:bookmarkStart w:id="282" w:name="page283"/>
    <w:bookmarkEnd w:id="282"/>
    <w:p>
      <w:pPr>
        <w:ind w:left="-20" w:right="60" w:firstLine="436"/>
        <w:spacing w:after="0" w:line="272" w:lineRule="auto"/>
        <w:tabs>
          <w:tab w:leader="none" w:pos="675" w:val="left"/>
        </w:tabs>
        <w:numPr>
          <w:ilvl w:val="0"/>
          <w:numId w:val="3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execution, delivery and performance by WESCO of this Agreement and the other Transaction Documents to which it is a party, including the Servicer’s use of the proceeds of purchases and reinvestments: (i) are within its corporate powers; (ii) have been duly authorized by all necessary corporate action; (iii) do not contravene or result in a default under or conflict with: (A) its charter or by-laws, (B) any law, rule or regulation applicable to it, (C) any indenture, loan agreement, mortgage, deed of trust or other material agreement or instrument to which it is a party or by which it is bound, or (D) any order, writ, judgment, award, injunction or decree binding on or affecting it or any of its property; and (iv) do not result in or require the creation of any Adverse Claim upon or with respect to any of its properties. This Agreement and the other Transaction Documents to which WESCO is a party have been duly executed and delivered by WESCO.</w:t>
      </w:r>
    </w:p>
    <w:p>
      <w:pPr>
        <w:spacing w:after="0" w:line="177" w:lineRule="exact"/>
        <w:rPr>
          <w:rFonts w:ascii="Arial" w:cs="Arial" w:eastAsia="Arial" w:hAnsi="Arial"/>
          <w:sz w:val="17"/>
          <w:szCs w:val="17"/>
          <w:color w:val="auto"/>
        </w:rPr>
      </w:pPr>
    </w:p>
    <w:p>
      <w:pPr>
        <w:ind w:left="-20" w:right="180" w:firstLine="436"/>
        <w:spacing w:after="0" w:line="308" w:lineRule="auto"/>
        <w:tabs>
          <w:tab w:leader="none" w:pos="665" w:val="left"/>
        </w:tabs>
        <w:numPr>
          <w:ilvl w:val="0"/>
          <w:numId w:val="331"/>
        </w:numPr>
        <w:rPr>
          <w:rFonts w:ascii="Arial" w:cs="Arial" w:eastAsia="Arial" w:hAnsi="Arial"/>
          <w:sz w:val="17"/>
          <w:szCs w:val="17"/>
          <w:color w:val="auto"/>
        </w:rPr>
      </w:pPr>
      <w:r>
        <w:rPr>
          <w:rFonts w:ascii="Arial" w:cs="Arial" w:eastAsia="Arial" w:hAnsi="Arial"/>
          <w:sz w:val="17"/>
          <w:szCs w:val="17"/>
          <w:color w:val="auto"/>
        </w:rPr>
        <w:t>No authorization, approval or other action by, and no notice to or filing with any Governmental Authority or other Person, is required for the due execution, delivery and performance by WESCO of this Agreement or any other Transaction Document to which it is a party.</w:t>
      </w:r>
    </w:p>
    <w:p>
      <w:pPr>
        <w:spacing w:after="0" w:line="146" w:lineRule="exact"/>
        <w:rPr>
          <w:rFonts w:ascii="Arial" w:cs="Arial" w:eastAsia="Arial" w:hAnsi="Arial"/>
          <w:sz w:val="17"/>
          <w:szCs w:val="17"/>
          <w:color w:val="auto"/>
        </w:rPr>
      </w:pPr>
    </w:p>
    <w:p>
      <w:pPr>
        <w:jc w:val="both"/>
        <w:ind w:left="-20" w:firstLine="436"/>
        <w:spacing w:after="0" w:line="259" w:lineRule="auto"/>
        <w:tabs>
          <w:tab w:leader="none" w:pos="67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Each of this Agreement and the other Transaction Documents to which WESCO is a party constitutes the legal, valid and binding obligation of WESCO enforceable against WESCO in accordance with its terms, except as enforceability may be limited by bankruptcy, insolvency, reorganization or other similar laws from time to time in effect affecting the enforcement of creditors’ rights generally and by general principles of equity, regardless of whether such enforceability is considered in a proceeding in equity or at law.</w:t>
      </w:r>
    </w:p>
    <w:p>
      <w:pPr>
        <w:spacing w:after="0" w:line="186" w:lineRule="exact"/>
        <w:rPr>
          <w:rFonts w:ascii="Arial" w:cs="Arial" w:eastAsia="Arial" w:hAnsi="Arial"/>
          <w:sz w:val="18"/>
          <w:szCs w:val="18"/>
          <w:color w:val="auto"/>
        </w:rPr>
      </w:pPr>
    </w:p>
    <w:p>
      <w:pPr>
        <w:ind w:left="-20" w:right="100" w:firstLine="436"/>
        <w:spacing w:after="0" w:line="275" w:lineRule="auto"/>
        <w:tabs>
          <w:tab w:leader="none" w:pos="665" w:val="left"/>
        </w:tabs>
        <w:numPr>
          <w:ilvl w:val="0"/>
          <w:numId w:val="331"/>
        </w:numPr>
        <w:rPr>
          <w:rFonts w:ascii="Arial" w:cs="Arial" w:eastAsia="Arial" w:hAnsi="Arial"/>
          <w:sz w:val="17"/>
          <w:szCs w:val="17"/>
          <w:color w:val="auto"/>
        </w:rPr>
      </w:pPr>
      <w:r>
        <w:rPr>
          <w:rFonts w:ascii="Arial" w:cs="Arial" w:eastAsia="Arial" w:hAnsi="Arial"/>
          <w:sz w:val="17"/>
          <w:szCs w:val="17"/>
          <w:color w:val="auto"/>
        </w:rPr>
        <w:t>The balance sheets of Holdings and its consolidated Subsidiaries as at March 31, 2020, and the related statements of income and retained earnings for the fiscal year then ended, copies of which have been furnished to the Administrator and each Purchaser Agent, fairly present the financial condition of Holdings and its consolidated Subsidiaries as at such date and the results of the operations of Holdings and its Subsidiaries for the period ended on such date, all in accordance with generally accepted accounting principles consistently applied, and since March 31, 2020 there has been no event or circumstances which have had a Material Adverse Effect.</w:t>
      </w:r>
    </w:p>
    <w:p>
      <w:pPr>
        <w:spacing w:after="0" w:line="176" w:lineRule="exact"/>
        <w:rPr>
          <w:rFonts w:ascii="Arial" w:cs="Arial" w:eastAsia="Arial" w:hAnsi="Arial"/>
          <w:sz w:val="17"/>
          <w:szCs w:val="17"/>
          <w:color w:val="auto"/>
        </w:rPr>
      </w:pPr>
    </w:p>
    <w:p>
      <w:pPr>
        <w:jc w:val="both"/>
        <w:ind w:left="-20" w:firstLine="436"/>
        <w:spacing w:after="0" w:line="263" w:lineRule="auto"/>
        <w:tabs>
          <w:tab w:leader="none" w:pos="64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Except as disclosed in the most recent audited financial statements of Holdings and its consolidated Subsidiaries furnished to the Administrator and each Purchaser Agent, there is no pending or, to its best knowledge, threatened action or proceeding affecting it or any of its Subsidiaries before any Governmental Authority or arbitrator that could have a Material Adverse Effect.</w:t>
      </w:r>
    </w:p>
    <w:p>
      <w:pPr>
        <w:spacing w:after="0" w:line="183" w:lineRule="exact"/>
        <w:rPr>
          <w:rFonts w:ascii="Arial" w:cs="Arial" w:eastAsia="Arial" w:hAnsi="Arial"/>
          <w:sz w:val="18"/>
          <w:szCs w:val="18"/>
          <w:color w:val="auto"/>
        </w:rPr>
      </w:pPr>
    </w:p>
    <w:p>
      <w:pPr>
        <w:ind w:left="-20" w:right="140" w:firstLine="436"/>
        <w:spacing w:after="0" w:line="277" w:lineRule="auto"/>
        <w:tabs>
          <w:tab w:leader="none" w:pos="67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No proceeds of any Purchase or reinvestment will be used to acquire any equity security of a class that is registered pursuant to Section 12 of the Securities Exchange Act of 1934.</w:t>
      </w:r>
    </w:p>
    <w:p>
      <w:pPr>
        <w:spacing w:after="0" w:line="170" w:lineRule="exact"/>
        <w:rPr>
          <w:rFonts w:ascii="Arial" w:cs="Arial" w:eastAsia="Arial" w:hAnsi="Arial"/>
          <w:sz w:val="18"/>
          <w:szCs w:val="18"/>
          <w:color w:val="auto"/>
        </w:rPr>
      </w:pPr>
    </w:p>
    <w:p>
      <w:pPr>
        <w:ind w:left="-20" w:right="120" w:firstLine="436"/>
        <w:spacing w:after="0" w:line="301" w:lineRule="auto"/>
        <w:tabs>
          <w:tab w:leader="none" w:pos="675" w:val="left"/>
        </w:tabs>
        <w:numPr>
          <w:ilvl w:val="0"/>
          <w:numId w:val="331"/>
        </w:numPr>
        <w:rPr>
          <w:rFonts w:ascii="Arial" w:cs="Arial" w:eastAsia="Arial" w:hAnsi="Arial"/>
          <w:sz w:val="16"/>
          <w:szCs w:val="16"/>
          <w:color w:val="auto"/>
        </w:rPr>
      </w:pPr>
      <w:r>
        <w:rPr>
          <w:rFonts w:ascii="Arial" w:cs="Arial" w:eastAsia="Arial" w:hAnsi="Arial"/>
          <w:sz w:val="16"/>
          <w:szCs w:val="16"/>
          <w:color w:val="auto"/>
        </w:rPr>
        <w:t>Each Information Package or Daily Report (if prepared by WESCO or one of its Affiliates, or to the extent that information contained therein is supplied by WESCO or an Affiliate), information, exhibit, financial statement, document, book, record or report furnished or to be furnished at any time by or on behalf of the Servicer to the Administrator, any Purchaser or any Purchaser Agent in connection with this Agreement is or will be complete and accurate in all material respects as of its date or as of the date so furnished and does not and will not contain 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III-5</w:t>
      </w:r>
    </w:p>
    <w:p>
      <w:pPr>
        <w:sectPr>
          <w:pgSz w:w="11900" w:h="16838" w:orient="portrait"/>
          <w:cols w:equalWidth="0" w:num="1">
            <w:col w:w="10960"/>
          </w:cols>
          <w:pgMar w:left="460" w:top="274" w:right="479" w:bottom="1440" w:gutter="0" w:footer="0" w:header="0"/>
        </w:sectPr>
      </w:pPr>
    </w:p>
    <w:bookmarkStart w:id="283" w:name="page284"/>
    <w:bookmarkEnd w:id="28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 misstatement of fact or omit to state a material fact or any fact necessary to make the statements contained therein not misleading.</w:t>
      </w:r>
    </w:p>
    <w:p>
      <w:pPr>
        <w:spacing w:after="0" w:line="237" w:lineRule="exact"/>
        <w:rPr>
          <w:sz w:val="20"/>
          <w:szCs w:val="20"/>
          <w:color w:val="auto"/>
        </w:rPr>
      </w:pPr>
    </w:p>
    <w:p>
      <w:pPr>
        <w:ind w:right="140" w:firstLine="436"/>
        <w:spacing w:after="0" w:line="277" w:lineRule="auto"/>
        <w:tabs>
          <w:tab w:leader="none" w:pos="65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The office where WESCO keeps its records concerning the Receivables are located at the address referred to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IV</w:t>
      </w:r>
      <w:r>
        <w:rPr>
          <w:rFonts w:ascii="Arial" w:cs="Arial" w:eastAsia="Arial" w:hAnsi="Arial"/>
          <w:sz w:val="18"/>
          <w:szCs w:val="18"/>
          <w:color w:val="auto"/>
        </w:rPr>
        <w:t xml:space="preserve"> to this Agreement.</w:t>
      </w:r>
    </w:p>
    <w:p>
      <w:pPr>
        <w:spacing w:after="0" w:line="170" w:lineRule="exact"/>
        <w:rPr>
          <w:rFonts w:ascii="Arial" w:cs="Arial" w:eastAsia="Arial" w:hAnsi="Arial"/>
          <w:sz w:val="18"/>
          <w:szCs w:val="18"/>
          <w:color w:val="auto"/>
        </w:rPr>
      </w:pPr>
    </w:p>
    <w:p>
      <w:pPr>
        <w:ind w:left="660" w:hanging="224"/>
        <w:spacing w:after="0"/>
        <w:tabs>
          <w:tab w:leader="none" w:pos="66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WESCO is not in violation of any order of any court, arbitrator or Governmental Authority, which could have a Material Adverse Effect.</w:t>
      </w:r>
    </w:p>
    <w:p>
      <w:pPr>
        <w:spacing w:after="0" w:line="236" w:lineRule="exact"/>
        <w:rPr>
          <w:rFonts w:ascii="Arial" w:cs="Arial" w:eastAsia="Arial" w:hAnsi="Arial"/>
          <w:sz w:val="17"/>
          <w:szCs w:val="17"/>
          <w:color w:val="auto"/>
        </w:rPr>
      </w:pPr>
    </w:p>
    <w:p>
      <w:pPr>
        <w:ind w:left="700" w:hanging="264"/>
        <w:spacing w:after="0"/>
        <w:tabs>
          <w:tab w:leader="none" w:pos="70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Neither WESCO nor any of its Affiliates has any direct or indirect ownership or other financial interest in any Purchaser.</w:t>
      </w:r>
    </w:p>
    <w:p>
      <w:pPr>
        <w:spacing w:after="0" w:line="225" w:lineRule="exact"/>
        <w:rPr>
          <w:rFonts w:ascii="Arial" w:cs="Arial" w:eastAsia="Arial" w:hAnsi="Arial"/>
          <w:sz w:val="18"/>
          <w:szCs w:val="18"/>
          <w:color w:val="auto"/>
        </w:rPr>
      </w:pPr>
    </w:p>
    <w:p>
      <w:pPr>
        <w:ind w:right="320" w:firstLine="436"/>
        <w:spacing w:after="0" w:line="277" w:lineRule="auto"/>
        <w:tabs>
          <w:tab w:leader="none" w:pos="65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Servicer has complied in all material respects with the Credit and Collection Policy of each Originator with regard to each Receivable originated by such Originator.</w:t>
      </w:r>
    </w:p>
    <w:p>
      <w:pPr>
        <w:spacing w:after="0" w:line="170" w:lineRule="exact"/>
        <w:rPr>
          <w:rFonts w:ascii="Arial" w:cs="Arial" w:eastAsia="Arial" w:hAnsi="Arial"/>
          <w:sz w:val="18"/>
          <w:szCs w:val="18"/>
          <w:color w:val="auto"/>
        </w:rPr>
      </w:pPr>
    </w:p>
    <w:p>
      <w:pPr>
        <w:ind w:right="340" w:firstLine="436"/>
        <w:spacing w:after="0" w:line="277" w:lineRule="auto"/>
        <w:tabs>
          <w:tab w:leader="none" w:pos="74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WESCO has complied in all material respects with all of the terms, covenants and agreements contained in this Agreement and the other Transaction Documents that are applicable to it.</w:t>
      </w:r>
    </w:p>
    <w:p>
      <w:pPr>
        <w:spacing w:after="0" w:line="170" w:lineRule="exact"/>
        <w:rPr>
          <w:rFonts w:ascii="Arial" w:cs="Arial" w:eastAsia="Arial" w:hAnsi="Arial"/>
          <w:sz w:val="18"/>
          <w:szCs w:val="18"/>
          <w:color w:val="auto"/>
        </w:rPr>
      </w:pPr>
    </w:p>
    <w:p>
      <w:pPr>
        <w:ind w:right="420" w:firstLine="436"/>
        <w:spacing w:after="0" w:line="277" w:lineRule="auto"/>
        <w:tabs>
          <w:tab w:leader="none" w:pos="69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WESCO is not an “investment company” or a company “controlled” by an “investment company” within the meaning of the Investment Company Act of 1940, as amended.</w:t>
      </w:r>
    </w:p>
    <w:p>
      <w:pPr>
        <w:spacing w:after="0" w:line="170" w:lineRule="exact"/>
        <w:rPr>
          <w:rFonts w:ascii="Arial" w:cs="Arial" w:eastAsia="Arial" w:hAnsi="Arial"/>
          <w:sz w:val="18"/>
          <w:szCs w:val="18"/>
          <w:color w:val="auto"/>
        </w:rPr>
      </w:pPr>
    </w:p>
    <w:p>
      <w:pPr>
        <w:ind w:right="120" w:firstLine="436"/>
        <w:spacing w:after="0" w:line="286" w:lineRule="auto"/>
        <w:tabs>
          <w:tab w:leader="none" w:pos="695" w:val="left"/>
        </w:tabs>
        <w:numPr>
          <w:ilvl w:val="0"/>
          <w:numId w:val="332"/>
        </w:numPr>
        <w:rPr>
          <w:rFonts w:ascii="Arial" w:cs="Arial" w:eastAsia="Arial" w:hAnsi="Arial"/>
          <w:sz w:val="17"/>
          <w:szCs w:val="17"/>
          <w:color w:val="auto"/>
        </w:rPr>
      </w:pPr>
      <w:r>
        <w:rPr>
          <w:rFonts w:ascii="Arial" w:cs="Arial" w:eastAsia="Arial" w:hAnsi="Arial"/>
          <w:sz w:val="17"/>
          <w:szCs w:val="17"/>
          <w:color w:val="auto"/>
        </w:rPr>
        <w:t>None of the consignments, inventory financings, or other arrangements covered by the financing statement specified in the Subject UCC relates or will relate to commingled goods or inventory the sale of which gives rise to any Receivable. The secured party set forth on the Subject UCC does not have, nor will it have, any Adverse Claim on, or with respect to, any Pool Receivables or Related Assets.</w:t>
      </w:r>
    </w:p>
    <w:p>
      <w:pPr>
        <w:spacing w:after="0" w:line="165" w:lineRule="exact"/>
        <w:rPr>
          <w:rFonts w:ascii="Arial" w:cs="Arial" w:eastAsia="Arial" w:hAnsi="Arial"/>
          <w:sz w:val="17"/>
          <w:szCs w:val="17"/>
          <w:color w:val="auto"/>
        </w:rPr>
      </w:pPr>
    </w:p>
    <w:p>
      <w:pPr>
        <w:ind w:right="40" w:firstLine="436"/>
        <w:spacing w:after="0" w:line="311" w:lineRule="auto"/>
        <w:tabs>
          <w:tab w:leader="none" w:pos="695" w:val="left"/>
        </w:tabs>
        <w:numPr>
          <w:ilvl w:val="0"/>
          <w:numId w:val="332"/>
        </w:numPr>
        <w:rPr>
          <w:rFonts w:ascii="Arial" w:cs="Arial" w:eastAsia="Arial" w:hAnsi="Arial"/>
          <w:sz w:val="16"/>
          <w:szCs w:val="16"/>
          <w:color w:val="auto"/>
        </w:rPr>
      </w:pPr>
      <w:r>
        <w:rPr>
          <w:rFonts w:ascii="Arial" w:cs="Arial" w:eastAsia="Arial" w:hAnsi="Arial"/>
          <w:sz w:val="16"/>
          <w:szCs w:val="16"/>
          <w:color w:val="auto"/>
        </w:rPr>
        <w:t>Since its most recent fiscal year end, there has been no change in the business, operations, financial condition, properties or assets of the Servicer which would have a Material Adverse Effect on its ability to perform its obligations under this Agreement or any other Transaction Document to which it is a party or materially and adversely affect the transactions contemplated under this Agreement or such other Transaction Documents.</w:t>
      </w:r>
    </w:p>
    <w:p>
      <w:pPr>
        <w:spacing w:after="0" w:line="148" w:lineRule="exact"/>
        <w:rPr>
          <w:rFonts w:ascii="Arial" w:cs="Arial" w:eastAsia="Arial" w:hAnsi="Arial"/>
          <w:sz w:val="16"/>
          <w:szCs w:val="16"/>
          <w:color w:val="auto"/>
        </w:rPr>
      </w:pPr>
    </w:p>
    <w:p>
      <w:pPr>
        <w:ind w:right="40" w:firstLine="436"/>
        <w:spacing w:after="0" w:line="277" w:lineRule="auto"/>
        <w:tabs>
          <w:tab w:leader="none" w:pos="69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No license or approval is required for the Administrator or any successor Servicer to use any program used by the Servicer in the servicing of the Receivables.</w:t>
      </w:r>
    </w:p>
    <w:p>
      <w:pPr>
        <w:spacing w:after="0" w:line="170" w:lineRule="exact"/>
        <w:rPr>
          <w:rFonts w:ascii="Arial" w:cs="Arial" w:eastAsia="Arial" w:hAnsi="Arial"/>
          <w:sz w:val="18"/>
          <w:szCs w:val="18"/>
          <w:color w:val="auto"/>
        </w:rPr>
      </w:pPr>
    </w:p>
    <w:p>
      <w:pPr>
        <w:ind w:left="660" w:hanging="224"/>
        <w:spacing w:after="0"/>
        <w:tabs>
          <w:tab w:leader="none" w:pos="6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436"/>
        <w:spacing w:after="0" w:line="342" w:lineRule="auto"/>
        <w:tabs>
          <w:tab w:leader="none" w:pos="675" w:val="left"/>
        </w:tabs>
        <w:numPr>
          <w:ilvl w:val="0"/>
          <w:numId w:val="332"/>
        </w:numPr>
        <w:rPr>
          <w:rFonts w:ascii="Arial" w:cs="Arial" w:eastAsia="Arial" w:hAnsi="Arial"/>
          <w:sz w:val="16"/>
          <w:szCs w:val="16"/>
          <w:color w:val="auto"/>
        </w:rPr>
      </w:pPr>
      <w:r>
        <w:rPr>
          <w:rFonts w:ascii="Arial" w:cs="Arial" w:eastAsia="Arial" w:hAnsi="Arial"/>
          <w:sz w:val="16"/>
          <w:szCs w:val="16"/>
          <w:color w:val="auto"/>
        </w:rPr>
        <w:t>The secured party set forth on the Subject Anixter UCC does not have, nor will it have, any Adverse Claim on, or with respect to, any Pool Receivables or Related Assets. No amount is owed by Anixter Inc. to the secured party set forth on the Subject Anixter UCC (or any successor thereto).</w:t>
      </w:r>
    </w:p>
    <w:p>
      <w:pPr>
        <w:spacing w:after="0" w:line="123" w:lineRule="exact"/>
        <w:rPr>
          <w:rFonts w:ascii="Arial" w:cs="Arial" w:eastAsia="Arial" w:hAnsi="Arial"/>
          <w:sz w:val="16"/>
          <w:szCs w:val="16"/>
          <w:color w:val="auto"/>
        </w:rPr>
      </w:pPr>
    </w:p>
    <w:p>
      <w:pPr>
        <w:ind w:right="300" w:firstLine="436"/>
        <w:spacing w:after="0" w:line="263" w:lineRule="auto"/>
        <w:tabs>
          <w:tab w:leader="none" w:pos="65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No: (a) Covered Entity, nor any employees, officers, directors, affiliates of such Covered Entity, nor, to the knowledge of WESCO, any consultants, brokers, or agents acting on such Covered Entity’s behalf in connection with this Agreement: (i) is a Sanctioned Person; (ii) directly, or indirectly through any third party, is engaged in any transactions or other dealings with</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III-6</w:t>
      </w:r>
    </w:p>
    <w:p>
      <w:pPr>
        <w:sectPr>
          <w:pgSz w:w="11900" w:h="16838" w:orient="portrait"/>
          <w:cols w:equalWidth="0" w:num="1">
            <w:col w:w="10920"/>
          </w:cols>
          <w:pgMar w:left="440" w:top="274" w:right="539" w:bottom="1440" w:gutter="0" w:footer="0" w:header="0"/>
        </w:sectPr>
      </w:pPr>
    </w:p>
    <w:bookmarkStart w:id="284" w:name="page285"/>
    <w:bookmarkEnd w:id="284"/>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for the benefit of any Sanctioned Person or Sanctioned Jurisdiction, or any transactions or other dealings that otherwise are prohibited by any Anti-Terrorism Laws; (b) Pool Asset is Embargoed Property.</w:t>
      </w:r>
    </w:p>
    <w:p>
      <w:pPr>
        <w:spacing w:after="0" w:line="170" w:lineRule="exact"/>
        <w:rPr>
          <w:sz w:val="20"/>
          <w:szCs w:val="20"/>
          <w:color w:val="auto"/>
        </w:rPr>
      </w:pPr>
    </w:p>
    <w:p>
      <w:pPr>
        <w:jc w:val="both"/>
        <w:ind w:right="80" w:firstLine="436"/>
        <w:spacing w:after="0" w:line="263" w:lineRule="auto"/>
        <w:tabs>
          <w:tab w:leader="none" w:pos="69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Each Covered Entity has, in the reasonable business judgment of WESCO, (a) conducted its business in compliance with all Anti-Corruption Laws and (b) implemented and maintains policies and procedures designed to ensure compliance with such Anti-Corruption Laws, in each case, in all material respects.</w:t>
      </w:r>
    </w:p>
    <w:p>
      <w:pPr>
        <w:spacing w:after="0" w:line="184" w:lineRule="exact"/>
        <w:rPr>
          <w:sz w:val="20"/>
          <w:szCs w:val="20"/>
          <w:color w:val="auto"/>
        </w:rPr>
      </w:pPr>
    </w:p>
    <w:p>
      <w:pPr>
        <w:jc w:val="both"/>
        <w:ind w:firstLine="436"/>
        <w:spacing w:after="0" w:line="259" w:lineRule="auto"/>
        <w:tabs>
          <w:tab w:leader="none" w:pos="62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xml:space="preserve"> Each of the Seller and the Purchasers represents and warrants, as to itself, that each remittance of Collections by or on behalf of the Seller to the Purchasers under this Agreement will have been (i) in payment of a debt incurred by the Seller in the ordinary course of business or financial affairs of the Seller and the Purchasers and (ii) made in the ordinary course of business or financial affairs of the Seller and the Purchasers.</w:t>
      </w: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III-7</w:t>
      </w:r>
    </w:p>
    <w:p>
      <w:pPr>
        <w:sectPr>
          <w:pgSz w:w="11900" w:h="16838" w:orient="portrait"/>
          <w:cols w:equalWidth="0" w:num="1">
            <w:col w:w="10920"/>
          </w:cols>
          <w:pgMar w:left="440" w:top="274" w:right="539" w:bottom="1440" w:gutter="0" w:footer="0" w:header="0"/>
        </w:sectPr>
      </w:pPr>
    </w:p>
    <w:bookmarkStart w:id="285" w:name="page286"/>
    <w:bookmarkEnd w:id="28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Covenants of the Seller</w:t>
      </w:r>
      <w:r>
        <w:rPr>
          <w:rFonts w:ascii="Arial" w:cs="Arial" w:eastAsia="Arial" w:hAnsi="Arial"/>
          <w:sz w:val="18"/>
          <w:szCs w:val="18"/>
          <w:color w:val="auto"/>
        </w:rPr>
        <w:t>. Until the Final Payout Date:</w:t>
      </w:r>
    </w:p>
    <w:p>
      <w:pPr>
        <w:spacing w:after="0" w:line="117" w:lineRule="exact"/>
        <w:rPr>
          <w:sz w:val="20"/>
          <w:szCs w:val="20"/>
          <w:color w:val="auto"/>
        </w:rPr>
      </w:pPr>
    </w:p>
    <w:p>
      <w:pPr>
        <w:jc w:val="both"/>
        <w:ind w:right="480" w:firstLine="436"/>
        <w:spacing w:after="0" w:line="286" w:lineRule="auto"/>
        <w:tabs>
          <w:tab w:leader="none" w:pos="685" w:val="left"/>
        </w:tabs>
        <w:numPr>
          <w:ilvl w:val="0"/>
          <w:numId w:val="335"/>
        </w:numPr>
        <w:rPr>
          <w:rFonts w:ascii="Arial" w:cs="Arial" w:eastAsia="Arial" w:hAnsi="Arial"/>
          <w:sz w:val="17"/>
          <w:szCs w:val="17"/>
          <w:color w:val="auto"/>
        </w:rPr>
      </w:pPr>
      <w:r>
        <w:rPr>
          <w:rFonts w:ascii="Arial" w:cs="Arial" w:eastAsia="Arial" w:hAnsi="Arial"/>
          <w:sz w:val="17"/>
          <w:szCs w:val="17"/>
          <w:u w:val="single" w:color="auto"/>
          <w:color w:val="auto"/>
        </w:rPr>
        <w:t>Compliance with Laws, Etc.</w:t>
      </w:r>
      <w:r>
        <w:rPr>
          <w:rFonts w:ascii="Arial" w:cs="Arial" w:eastAsia="Arial" w:hAnsi="Arial"/>
          <w:sz w:val="17"/>
          <w:szCs w:val="17"/>
          <w:color w:val="auto"/>
        </w:rPr>
        <w:t xml:space="preserve"> The Seller shall comply with all Applicable Laws, and preserve and maintain its corporate existence, rights, franchises, qualifications and privileges, except to the extent that the failure so to comply with such laws, rules and regulations or the failure so to preserve and maintain such rights, franchises, qualifications and privileges would not have a Material Adverse Effect.</w:t>
      </w:r>
    </w:p>
    <w:p>
      <w:pPr>
        <w:spacing w:after="0" w:line="165" w:lineRule="exact"/>
        <w:rPr>
          <w:rFonts w:ascii="Arial" w:cs="Arial" w:eastAsia="Arial" w:hAnsi="Arial"/>
          <w:sz w:val="17"/>
          <w:szCs w:val="17"/>
          <w:color w:val="auto"/>
        </w:rPr>
      </w:pPr>
    </w:p>
    <w:p>
      <w:pPr>
        <w:ind w:right="40" w:firstLine="436"/>
        <w:spacing w:after="0" w:line="267" w:lineRule="auto"/>
        <w:tabs>
          <w:tab w:leader="none" w:pos="695" w:val="left"/>
        </w:tabs>
        <w:numPr>
          <w:ilvl w:val="0"/>
          <w:numId w:val="335"/>
        </w:numPr>
        <w:rPr>
          <w:rFonts w:ascii="Arial" w:cs="Arial" w:eastAsia="Arial" w:hAnsi="Arial"/>
          <w:sz w:val="17"/>
          <w:szCs w:val="17"/>
          <w:color w:val="auto"/>
        </w:rPr>
      </w:pPr>
      <w:r>
        <w:rPr>
          <w:rFonts w:ascii="Arial" w:cs="Arial" w:eastAsia="Arial" w:hAnsi="Arial"/>
          <w:sz w:val="17"/>
          <w:szCs w:val="17"/>
          <w:u w:val="single" w:color="auto"/>
          <w:color w:val="auto"/>
        </w:rPr>
        <w:t>Offices, Records and Books of Account, Etc.</w:t>
      </w:r>
      <w:r>
        <w:rPr>
          <w:rFonts w:ascii="Arial" w:cs="Arial" w:eastAsia="Arial" w:hAnsi="Arial"/>
          <w:sz w:val="17"/>
          <w:szCs w:val="17"/>
          <w:color w:val="auto"/>
        </w:rPr>
        <w:t xml:space="preserve"> The Seller: (i) shall keep its principal place of business, chief executive office and “location” (as such term is used in the UCC) and the office where it keeps its records concerning the Receivables at the addresses and locations of the Seller set forth under its name on </w:t>
      </w:r>
      <w:r>
        <w:rPr>
          <w:rFonts w:ascii="Arial" w:cs="Arial" w:eastAsia="Arial" w:hAnsi="Arial"/>
          <w:sz w:val="17"/>
          <w:szCs w:val="17"/>
          <w:u w:val="single" w:color="auto"/>
          <w:color w:val="auto"/>
        </w:rPr>
        <w:t>Schedule IV</w:t>
      </w:r>
      <w:r>
        <w:rPr>
          <w:rFonts w:ascii="Arial" w:cs="Arial" w:eastAsia="Arial" w:hAnsi="Arial"/>
          <w:sz w:val="17"/>
          <w:szCs w:val="17"/>
          <w:color w:val="auto"/>
        </w:rPr>
        <w:t xml:space="preserve"> to this Agreement or, pursuant to </w:t>
      </w:r>
      <w:r>
        <w:rPr>
          <w:rFonts w:ascii="Arial" w:cs="Arial" w:eastAsia="Arial" w:hAnsi="Arial"/>
          <w:sz w:val="17"/>
          <w:szCs w:val="17"/>
          <w:u w:val="single" w:color="auto"/>
          <w:color w:val="auto"/>
        </w:rPr>
        <w:t>clause (k)(iv)</w:t>
      </w:r>
      <w:r>
        <w:rPr>
          <w:rFonts w:ascii="Arial" w:cs="Arial" w:eastAsia="Arial" w:hAnsi="Arial"/>
          <w:sz w:val="17"/>
          <w:szCs w:val="17"/>
          <w:color w:val="auto"/>
        </w:rPr>
        <w:t xml:space="preserve"> below, at any other locations in jurisdictions where all actions reasonably requested by the Administrator to protect and perfect the interest of the Administrator (for the benefit of the Purchasers) in the Receivables and related items (including the Pool Assets) have been taken and completed and (ii) shall provide the Administrator with at least 30 days’ written notice before making any change in the Seller’s name or making any other change in the Seller’s identity or corporate structure (including a Change in Control) that could render any UCC financing statement filed in connection with this Agreement “seriously misleading” as such term (or similar term) is used in the UCC; each notice to the Administrator pursuant to this sentence shall set forth the applicable change and the effective date thereof. The Seller also will maintain and implement (or cause the Servicer to maintain and implement) administrative and operating procedures (including an ability to recreate records evidencing Receivables and related Contracts in the event of the destruction of the originals thereof), and keep and maintain (or cause the Servicer to keep and maintain) all documents, books, records, computer tapes and disks and other information reasonably necessary or advisable for the collection of all Receivables (including records adequate to permit the daily identification of each Receivable and all Collections of and adjustments to each existing Receivable);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the New Originators, the books and records will be updated on a monthly basis. The Seller will (and will cause each Originator to) on or prior to the date of this Agreement, mark its master data processing records and other books and records relating to the Purchased Interest (and at all times thereafter (until the latest of the Facility Termination Date or the date all other amounts owed by the Seller under this Agreement shall be paid in full) continue to maintain such records) with a legend, acceptable to the Administrator, describing the Purchased Interest.</w:t>
      </w:r>
    </w:p>
    <w:p>
      <w:pPr>
        <w:spacing w:after="0" w:line="191" w:lineRule="exact"/>
        <w:rPr>
          <w:rFonts w:ascii="Arial" w:cs="Arial" w:eastAsia="Arial" w:hAnsi="Arial"/>
          <w:sz w:val="17"/>
          <w:szCs w:val="17"/>
          <w:color w:val="auto"/>
        </w:rPr>
      </w:pPr>
    </w:p>
    <w:p>
      <w:pPr>
        <w:jc w:val="both"/>
        <w:ind w:firstLine="436"/>
        <w:spacing w:after="0" w:line="259" w:lineRule="auto"/>
        <w:tabs>
          <w:tab w:leader="none" w:pos="685"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Performance and Compliance with Contracts and Credit and Collection Policy</w:t>
      </w:r>
      <w:r>
        <w:rPr>
          <w:rFonts w:ascii="Arial" w:cs="Arial" w:eastAsia="Arial" w:hAnsi="Arial"/>
          <w:sz w:val="18"/>
          <w:szCs w:val="18"/>
          <w:color w:val="auto"/>
        </w:rPr>
        <w:t>. The Seller shall (and shall cause the Servicer to), at its expense, timely and fully perform and comply with all material provisions, covenants and other promises required to be observed by it under the Contracts related to the Receivables, and timely and fully comply in all material respects with the applicable Credit and Collection Policies with regard to each Receivable and the related Contract.</w:t>
      </w:r>
    </w:p>
    <w:p>
      <w:pPr>
        <w:sectPr>
          <w:pgSz w:w="11900" w:h="16838" w:orient="portrait"/>
          <w:cols w:equalWidth="0" w:num="1">
            <w:col w:w="11000"/>
          </w:cols>
          <w:pgMar w:left="440" w:top="274" w:right="459" w:bottom="1440" w:gutter="0" w:footer="0" w:header="0"/>
        </w:sectPr>
      </w:pPr>
    </w:p>
    <w:bookmarkStart w:id="286" w:name="page287"/>
    <w:bookmarkEnd w:id="286"/>
    <w:p>
      <w:pPr>
        <w:ind w:left="4" w:right="80" w:firstLine="436"/>
        <w:spacing w:after="0" w:line="296" w:lineRule="auto"/>
        <w:tabs>
          <w:tab w:leader="none" w:pos="699" w:val="left"/>
        </w:tabs>
        <w:numPr>
          <w:ilvl w:val="1"/>
          <w:numId w:val="3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Ownership Interest, Etc</w:t>
      </w:r>
      <w:r>
        <w:rPr>
          <w:rFonts w:ascii="Arial" w:cs="Arial" w:eastAsia="Arial" w:hAnsi="Arial"/>
          <w:sz w:val="16"/>
          <w:szCs w:val="16"/>
          <w:color w:val="auto"/>
        </w:rPr>
        <w:t>. The Seller shall (and shall cause the Servicer to), at its expense, take all action necessary or desirable to establish and maintain a valid and enforceable undivided percentage ownership or security interest, to the extent of the Purchased Interest, in the Pool Receivables, the Related Security and Collections with respect thereto, and a first priority perfected security interest in the Pool Assets, in each case free and clear of any Adverse Claim, in favor of the Administrator (for the benefit of the Purchasers), including taking such action to perfect, protect or more fully evidence the interest of the Administrator (for the benefit of the Purchasers) as the Administrator, may reasonably request.</w:t>
      </w:r>
    </w:p>
    <w:p>
      <w:pPr>
        <w:spacing w:after="0" w:line="161" w:lineRule="exact"/>
        <w:rPr>
          <w:rFonts w:ascii="Arial" w:cs="Arial" w:eastAsia="Arial" w:hAnsi="Arial"/>
          <w:sz w:val="16"/>
          <w:szCs w:val="16"/>
          <w:color w:val="auto"/>
        </w:rPr>
      </w:pPr>
    </w:p>
    <w:p>
      <w:pPr>
        <w:ind w:left="4" w:right="60" w:firstLine="436"/>
        <w:spacing w:after="0" w:line="259" w:lineRule="auto"/>
        <w:tabs>
          <w:tab w:leader="none" w:pos="689" w:val="left"/>
        </w:tabs>
        <w:numPr>
          <w:ilvl w:val="1"/>
          <w:numId w:val="336"/>
        </w:numPr>
        <w:rPr>
          <w:rFonts w:ascii="Arial" w:cs="Arial" w:eastAsia="Arial" w:hAnsi="Arial"/>
          <w:sz w:val="18"/>
          <w:szCs w:val="18"/>
          <w:color w:val="auto"/>
        </w:rPr>
      </w:pPr>
      <w:r>
        <w:rPr>
          <w:rFonts w:ascii="Arial" w:cs="Arial" w:eastAsia="Arial" w:hAnsi="Arial"/>
          <w:sz w:val="18"/>
          <w:szCs w:val="18"/>
          <w:u w:val="single" w:color="auto"/>
          <w:color w:val="auto"/>
        </w:rPr>
        <w:t>Sales, Liens, Etc</w:t>
      </w:r>
      <w:r>
        <w:rPr>
          <w:rFonts w:ascii="Arial" w:cs="Arial" w:eastAsia="Arial" w:hAnsi="Arial"/>
          <w:sz w:val="18"/>
          <w:szCs w:val="18"/>
          <w:color w:val="auto"/>
        </w:rPr>
        <w:t>. The Seller shall not sell, assign (by operation of law or otherwise) or otherwise dispose of, or create or suffer to exist any Adverse Claim upon or with respect to, any or all of its right, title or interest in, to or under any Pool Assets (including the Seller’s undivided interest in any Receivable, Related Security or Collections, or upon or with respect to any account to which any Collections of any Receivables are sent), or assign any right to receive income in respect thereof.</w:t>
      </w:r>
    </w:p>
    <w:p>
      <w:pPr>
        <w:spacing w:after="0" w:line="186" w:lineRule="exact"/>
        <w:rPr>
          <w:rFonts w:ascii="Arial" w:cs="Arial" w:eastAsia="Arial" w:hAnsi="Arial"/>
          <w:sz w:val="18"/>
          <w:szCs w:val="18"/>
          <w:color w:val="auto"/>
        </w:rPr>
      </w:pPr>
    </w:p>
    <w:p>
      <w:pPr>
        <w:ind w:left="4" w:right="280" w:firstLine="436"/>
        <w:spacing w:after="0" w:line="263" w:lineRule="auto"/>
        <w:tabs>
          <w:tab w:leader="none" w:pos="669" w:val="left"/>
        </w:tabs>
        <w:numPr>
          <w:ilvl w:val="1"/>
          <w:numId w:val="336"/>
        </w:numPr>
        <w:rPr>
          <w:rFonts w:ascii="Arial" w:cs="Arial" w:eastAsia="Arial" w:hAnsi="Arial"/>
          <w:sz w:val="18"/>
          <w:szCs w:val="18"/>
          <w:color w:val="auto"/>
        </w:rPr>
      </w:pPr>
      <w:r>
        <w:rPr>
          <w:rFonts w:ascii="Arial" w:cs="Arial" w:eastAsia="Arial" w:hAnsi="Arial"/>
          <w:sz w:val="18"/>
          <w:szCs w:val="18"/>
          <w:u w:val="single" w:color="auto"/>
          <w:color w:val="auto"/>
        </w:rPr>
        <w:t>Extension or Amendment of Receivables</w:t>
      </w:r>
      <w:r>
        <w:rPr>
          <w:rFonts w:ascii="Arial" w:cs="Arial" w:eastAsia="Arial" w:hAnsi="Arial"/>
          <w:sz w:val="18"/>
          <w:szCs w:val="18"/>
          <w:color w:val="auto"/>
        </w:rPr>
        <w:t>. Except as provided in this Agreement, the Seller shall not, and shall not permit the Servicer to, extend the maturity or adjust the Outstanding Balance or otherwise modify the terms of any Pool Receivable, or amend, modify or waive any term or condition of any related Contract.</w:t>
      </w:r>
    </w:p>
    <w:p>
      <w:pPr>
        <w:spacing w:after="0" w:line="183" w:lineRule="exact"/>
        <w:rPr>
          <w:rFonts w:ascii="Arial" w:cs="Arial" w:eastAsia="Arial" w:hAnsi="Arial"/>
          <w:sz w:val="18"/>
          <w:szCs w:val="18"/>
          <w:color w:val="auto"/>
        </w:rPr>
      </w:pPr>
    </w:p>
    <w:p>
      <w:pPr>
        <w:ind w:left="4" w:right="20" w:firstLine="436"/>
        <w:spacing w:after="0" w:line="259" w:lineRule="auto"/>
        <w:tabs>
          <w:tab w:leader="none" w:pos="699" w:val="left"/>
        </w:tabs>
        <w:numPr>
          <w:ilvl w:val="1"/>
          <w:numId w:val="336"/>
        </w:numPr>
        <w:rPr>
          <w:rFonts w:ascii="Arial" w:cs="Arial" w:eastAsia="Arial" w:hAnsi="Arial"/>
          <w:sz w:val="18"/>
          <w:szCs w:val="18"/>
          <w:color w:val="auto"/>
        </w:rPr>
      </w:pPr>
      <w:r>
        <w:rPr>
          <w:rFonts w:ascii="Arial" w:cs="Arial" w:eastAsia="Arial" w:hAnsi="Arial"/>
          <w:sz w:val="18"/>
          <w:szCs w:val="18"/>
          <w:u w:val="single" w:color="auto"/>
          <w:color w:val="auto"/>
        </w:rPr>
        <w:t>Change in Business or Credit and Collection Policy</w:t>
      </w:r>
      <w:r>
        <w:rPr>
          <w:rFonts w:ascii="Arial" w:cs="Arial" w:eastAsia="Arial" w:hAnsi="Arial"/>
          <w:sz w:val="18"/>
          <w:szCs w:val="18"/>
          <w:color w:val="auto"/>
        </w:rPr>
        <w:t>. The Seller shall not make (or agree with any Originator to make) any change (i) in the character of its business or (ii) in any Credit and Collection Policy that would have a Material Adverse Effect with respect to the Receivables. The Seller shall not make (or agree with any Originator to make) any other change in any Credit and Collection Policy without giving prior written notice thereof to the Administrator and each Purchaser Agent.</w:t>
      </w:r>
    </w:p>
    <w:p>
      <w:pPr>
        <w:spacing w:after="0" w:line="186" w:lineRule="exact"/>
        <w:rPr>
          <w:rFonts w:ascii="Arial" w:cs="Arial" w:eastAsia="Arial" w:hAnsi="Arial"/>
          <w:sz w:val="18"/>
          <w:szCs w:val="18"/>
          <w:color w:val="auto"/>
        </w:rPr>
      </w:pPr>
    </w:p>
    <w:p>
      <w:pPr>
        <w:jc w:val="both"/>
        <w:ind w:left="4" w:right="40" w:firstLine="436"/>
        <w:spacing w:after="0" w:line="287" w:lineRule="auto"/>
        <w:tabs>
          <w:tab w:leader="none" w:pos="699" w:val="left"/>
        </w:tabs>
        <w:numPr>
          <w:ilvl w:val="1"/>
          <w:numId w:val="336"/>
        </w:numPr>
        <w:rPr>
          <w:rFonts w:ascii="Arial" w:cs="Arial" w:eastAsia="Arial" w:hAnsi="Arial"/>
          <w:sz w:val="16"/>
          <w:szCs w:val="16"/>
          <w:color w:val="auto"/>
        </w:rPr>
      </w:pPr>
      <w:r>
        <w:rPr>
          <w:rFonts w:ascii="Arial" w:cs="Arial" w:eastAsia="Arial" w:hAnsi="Arial"/>
          <w:sz w:val="16"/>
          <w:szCs w:val="16"/>
          <w:u w:val="single" w:color="auto"/>
          <w:color w:val="auto"/>
        </w:rPr>
        <w:t>Audits</w:t>
      </w:r>
      <w:r>
        <w:rPr>
          <w:rFonts w:ascii="Arial" w:cs="Arial" w:eastAsia="Arial" w:hAnsi="Arial"/>
          <w:sz w:val="16"/>
          <w:szCs w:val="16"/>
          <w:color w:val="auto"/>
        </w:rPr>
        <w:t>. The Seller shall (and shall cause each Originator to), from time to time during regular business hours, but no more frequently than annually unless (w) a Termination Event or Unmatured Termination Event has occurred and is continuing, (x) WESCO or Holdings ceases to have a rating of at least “B-” by Standard and Poor’s on its respective corporate credit rating, (y) Holdings’ Available Liquidity fails to exceed $100,000,000 or</w:t>
      </w:r>
    </w:p>
    <w:p>
      <w:pPr>
        <w:spacing w:after="0" w:line="2" w:lineRule="exact"/>
        <w:rPr>
          <w:rFonts w:ascii="Arial" w:cs="Arial" w:eastAsia="Arial" w:hAnsi="Arial"/>
          <w:sz w:val="16"/>
          <w:szCs w:val="16"/>
          <w:color w:val="auto"/>
        </w:rPr>
      </w:pPr>
    </w:p>
    <w:p>
      <w:pPr>
        <w:ind w:left="4" w:hanging="4"/>
        <w:spacing w:after="0" w:line="268" w:lineRule="auto"/>
        <w:tabs>
          <w:tab w:leader="none" w:pos="249" w:val="left"/>
        </w:tabs>
        <w:numPr>
          <w:ilvl w:val="0"/>
          <w:numId w:val="337"/>
        </w:numPr>
        <w:rPr>
          <w:rFonts w:ascii="Arial" w:cs="Arial" w:eastAsia="Arial" w:hAnsi="Arial"/>
          <w:sz w:val="17"/>
          <w:szCs w:val="17"/>
          <w:color w:val="auto"/>
        </w:rPr>
      </w:pPr>
      <w:r>
        <w:rPr>
          <w:rFonts w:ascii="Arial" w:cs="Arial" w:eastAsia="Arial" w:hAnsi="Arial"/>
          <w:sz w:val="17"/>
          <w:szCs w:val="17"/>
          <w:color w:val="auto"/>
        </w:rPr>
        <w:t xml:space="preserve">in the opinion of the Administrator (with the consent or at the direction of any of the Purchasers) reasonable grounds for insecurity exist with respect to the collectibility of a material portion of the Pool Receivables or with respect to the Seller’s performance or ability to perform in any material respect its obligations under this Agreement, as reasonably requested in advance (unless a Termination Event or Unmatured Termination Event exists) by the Administrator, permit the Administrator, or its agents or representatives, at the Seller’s expense: (i) to examine and make copies of and abstracts from all books, records and documents (including computer tapes and disks) in the possession or under the control of the Seller (or any such Originator) relating to Receivables and the Related Security, including the related Contracts, and (ii) to visit the offices and properties of the Seller and the Originators for the purpose of examining such materials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(and shall include the review of the systems and operations of the off-system originators), and to discuss matters relating to Receivables and the Related Security or the Seller’s, WESCO’s or the Originators’ performance under the Transaction Documents or under the Contracts with any of the</w:t>
      </w:r>
    </w:p>
    <w:p>
      <w:pPr>
        <w:sectPr>
          <w:pgSz w:w="11900" w:h="16838" w:orient="portrait"/>
          <w:cols w:equalWidth="0" w:num="1">
            <w:col w:w="11004"/>
          </w:cols>
          <w:pgMar w:left="436" w:top="274" w:right="45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officers, employees, agents or contractors of the Seller, WESCO or the Originators having knowledge of such matters.</w:t>
      </w:r>
    </w:p>
    <w:p>
      <w:pPr>
        <w:spacing w:after="0" w:line="225" w:lineRule="exact"/>
        <w:rPr>
          <w:sz w:val="20"/>
          <w:szCs w:val="20"/>
          <w:color w:val="auto"/>
        </w:rPr>
      </w:pPr>
    </w:p>
    <w:p>
      <w:pPr>
        <w:ind w:firstLine="436"/>
        <w:spacing w:after="0" w:line="268" w:lineRule="auto"/>
        <w:tabs>
          <w:tab w:leader="none" w:pos="655"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Deposits to Lock-Box Accounts</w:t>
      </w:r>
      <w:r>
        <w:rPr>
          <w:rFonts w:ascii="Arial" w:cs="Arial" w:eastAsia="Arial" w:hAnsi="Arial"/>
          <w:sz w:val="17"/>
          <w:szCs w:val="17"/>
          <w:color w:val="auto"/>
        </w:rPr>
        <w:t xml:space="preserve">. The Seller shall (or shall cause the Servicer to): (i) instruct all Obligors to make payments of all Receivables to one or more Lock-Box Accounts or to post office boxes to which only Lock-Box Banks have access (and shall instruct the Lock-Box Banks to cause all items and amounts relating to such Receivables received in such post office boxes to be removed and deposited into a Lock-Box Account on a daily basis), (ii) deposit, or cause to be deposited, any Collections received by it, the Servicer or any Originator into Lock-Box Accounts not later than one Business Day after receipt thereof and (iii) if a Termination Event has occurred and is continuing, directly transfer all Collections received in each Exception Account to a Lock-Box Account (other than an Exception Account) no later than one (1) Business Day following receipt thereof. Except as otherwise agreed to in writing by the Administrator and the Majority Purchasers, each Lock-Box Account shall at all times be subject to a Lock-Box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so long as the Exception Account Conditions are then satisfied with respect to an Exception Account, such Exception Account need not be subject to a Lock-Box Agreement. The Seller will not (and will not permit the Servicer to) deposit or otherwise credit, or cause or permit to be so deposited or credited, to any Lock-Box Account cash or cash proceeds other than Collections;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Seller may permit (i) collections relating to Excluded Receivables and (ii) such other collections not relating to Receivables as the Administrator may approve in writing, in each case, to be so deposited or credited to any Lock-Box Account so long as (x) the amount of such collections does not exceed $15,000,000 for any calendar month and (y) the Administrator has not requested in writing that the Servicer direct obligors relating to such Excluded Receivables to cease making payments to Lock-Box Accounts.</w:t>
      </w:r>
    </w:p>
    <w:p>
      <w:pPr>
        <w:spacing w:after="0" w:line="184" w:lineRule="exact"/>
        <w:rPr>
          <w:rFonts w:ascii="Arial" w:cs="Arial" w:eastAsia="Arial" w:hAnsi="Arial"/>
          <w:sz w:val="17"/>
          <w:szCs w:val="17"/>
          <w:color w:val="auto"/>
        </w:rPr>
      </w:pPr>
    </w:p>
    <w:p>
      <w:pPr>
        <w:ind w:right="720" w:firstLine="436"/>
        <w:spacing w:after="0" w:line="277" w:lineRule="auto"/>
        <w:tabs>
          <w:tab w:leader="none" w:pos="655"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Reporting Requirements</w:t>
      </w:r>
      <w:r>
        <w:rPr>
          <w:rFonts w:ascii="Arial" w:cs="Arial" w:eastAsia="Arial" w:hAnsi="Arial"/>
          <w:sz w:val="18"/>
          <w:szCs w:val="18"/>
          <w:color w:val="auto"/>
        </w:rPr>
        <w:t>. The Seller will provide to the Administrator (in multiple copies, if requested by the Administrator) and each Purchaser Agent the following:</w:t>
      </w:r>
    </w:p>
    <w:p>
      <w:pPr>
        <w:spacing w:after="0" w:line="62" w:lineRule="exact"/>
        <w:rPr>
          <w:rFonts w:ascii="Arial" w:cs="Arial" w:eastAsia="Arial" w:hAnsi="Arial"/>
          <w:sz w:val="18"/>
          <w:szCs w:val="18"/>
          <w:color w:val="auto"/>
        </w:rPr>
      </w:pPr>
    </w:p>
    <w:p>
      <w:pPr>
        <w:ind w:left="440" w:right="200" w:firstLine="419"/>
        <w:spacing w:after="0" w:line="308" w:lineRule="auto"/>
        <w:tabs>
          <w:tab w:leader="none" w:pos="1078" w:val="left"/>
        </w:tabs>
        <w:numPr>
          <w:ilvl w:val="1"/>
          <w:numId w:val="338"/>
        </w:numPr>
        <w:rPr>
          <w:rFonts w:ascii="Arial" w:cs="Arial" w:eastAsia="Arial" w:hAnsi="Arial"/>
          <w:sz w:val="17"/>
          <w:szCs w:val="17"/>
          <w:color w:val="auto"/>
        </w:rPr>
      </w:pPr>
      <w:r>
        <w:rPr>
          <w:rFonts w:ascii="Arial" w:cs="Arial" w:eastAsia="Arial" w:hAnsi="Arial"/>
          <w:sz w:val="17"/>
          <w:szCs w:val="17"/>
          <w:color w:val="auto"/>
        </w:rPr>
        <w:t>within ninety (90) days after the end of each fiscal year of the Seller, a copy of the annual report for such year for the Seller, containing unaudited financial statements for such year certified as to accuracy by the chief financial officer or treasurer of the Seller;</w:t>
      </w:r>
    </w:p>
    <w:p>
      <w:pPr>
        <w:spacing w:after="0" w:line="38" w:lineRule="exact"/>
        <w:rPr>
          <w:rFonts w:ascii="Arial" w:cs="Arial" w:eastAsia="Arial" w:hAnsi="Arial"/>
          <w:sz w:val="17"/>
          <w:szCs w:val="17"/>
          <w:color w:val="auto"/>
        </w:rPr>
      </w:pPr>
    </w:p>
    <w:p>
      <w:pPr>
        <w:jc w:val="both"/>
        <w:ind w:left="440" w:right="160" w:firstLine="419"/>
        <w:spacing w:after="0" w:line="263" w:lineRule="auto"/>
        <w:tabs>
          <w:tab w:leader="none" w:pos="1128" w:val="left"/>
        </w:tabs>
        <w:numPr>
          <w:ilvl w:val="1"/>
          <w:numId w:val="338"/>
        </w:numPr>
        <w:rPr>
          <w:rFonts w:ascii="Arial" w:cs="Arial" w:eastAsia="Arial" w:hAnsi="Arial"/>
          <w:sz w:val="18"/>
          <w:szCs w:val="18"/>
          <w:color w:val="auto"/>
        </w:rPr>
      </w:pPr>
      <w:r>
        <w:rPr>
          <w:rFonts w:ascii="Arial" w:cs="Arial" w:eastAsia="Arial" w:hAnsi="Arial"/>
          <w:sz w:val="18"/>
          <w:szCs w:val="18"/>
          <w:color w:val="auto"/>
        </w:rPr>
        <w:t>within five (5) days after the occurrence of each Termination Event or Unmatured Termination Event, a statement of the chief financial officer of the Seller setting forth details of such Termination Event or Unmatured Termination Event and the action that the Seller has taken and proposes to take with respect thereto;</w:t>
      </w:r>
    </w:p>
    <w:p>
      <w:pPr>
        <w:spacing w:after="0" w:line="75" w:lineRule="exact"/>
        <w:rPr>
          <w:rFonts w:ascii="Arial" w:cs="Arial" w:eastAsia="Arial" w:hAnsi="Arial"/>
          <w:sz w:val="18"/>
          <w:szCs w:val="18"/>
          <w:color w:val="auto"/>
        </w:rPr>
      </w:pPr>
    </w:p>
    <w:p>
      <w:pPr>
        <w:ind w:left="440" w:right="60" w:firstLine="419"/>
        <w:spacing w:after="0" w:line="296" w:lineRule="auto"/>
        <w:tabs>
          <w:tab w:leader="none" w:pos="1178" w:val="left"/>
        </w:tabs>
        <w:numPr>
          <w:ilvl w:val="1"/>
          <w:numId w:val="338"/>
        </w:numPr>
        <w:rPr>
          <w:rFonts w:ascii="Arial" w:cs="Arial" w:eastAsia="Arial" w:hAnsi="Arial"/>
          <w:sz w:val="16"/>
          <w:szCs w:val="16"/>
          <w:color w:val="auto"/>
        </w:rPr>
      </w:pPr>
      <w:r>
        <w:rPr>
          <w:rFonts w:ascii="Arial" w:cs="Arial" w:eastAsia="Arial" w:hAnsi="Arial"/>
          <w:sz w:val="16"/>
          <w:szCs w:val="16"/>
          <w:color w:val="auto"/>
        </w:rPr>
        <w:t>promptly after the filing or receiving thereof, copies of all material reports and notices that the Seller or any Affiliate files under ERISA with the Internal Revenue Service, the Pension Benefit Guaranty Corporation or the U.S. Department of Labor or that the Seller or any Affiliate receives from any of the foregoing or from any multiemployer plan (within the meaning of Section 4001(a)(3) of ERISA) to which the Seller or any of its Affiliates is or was, within the preceding five years, a contributing employer, in each case in respect of the assessment of withdrawal liability or an event or condition that could, in the aggregate, result in the imposition of liability on the Seller and/or any such Affiliate;</w:t>
      </w:r>
    </w:p>
    <w:p>
      <w:pPr>
        <w:sectPr>
          <w:pgSz w:w="11900" w:h="16838" w:orient="portrait"/>
          <w:cols w:equalWidth="0" w:num="1">
            <w:col w:w="11000"/>
          </w:cols>
          <w:pgMar w:left="440" w:top="274" w:right="459" w:bottom="1440" w:gutter="0" w:footer="0" w:header="0"/>
        </w:sectPr>
      </w:pPr>
    </w:p>
    <w:bookmarkStart w:id="288" w:name="page289"/>
    <w:bookmarkEnd w:id="288"/>
    <w:p>
      <w:pPr>
        <w:ind w:right="200" w:firstLine="419"/>
        <w:spacing w:after="0" w:line="342" w:lineRule="auto"/>
        <w:tabs>
          <w:tab w:leader="none" w:pos="728" w:val="left"/>
        </w:tabs>
        <w:numPr>
          <w:ilvl w:val="0"/>
          <w:numId w:val="3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least thirty days (or such shorter period as agreed to in writing by the Administrator) before any change in the Seller’s name or any other change requiring the amendment of UCC financing statements, a notice setting forth such changes and the effective date thereof;</w:t>
      </w:r>
    </w:p>
    <w:p>
      <w:pPr>
        <w:spacing w:after="0" w:line="15" w:lineRule="exact"/>
        <w:rPr>
          <w:rFonts w:ascii="Arial" w:cs="Arial" w:eastAsia="Arial" w:hAnsi="Arial"/>
          <w:sz w:val="16"/>
          <w:szCs w:val="16"/>
          <w:color w:val="auto"/>
        </w:rPr>
      </w:pPr>
    </w:p>
    <w:p>
      <w:pPr>
        <w:ind w:right="140" w:firstLine="419"/>
        <w:spacing w:after="0" w:line="308" w:lineRule="auto"/>
        <w:tabs>
          <w:tab w:leader="none" w:pos="678" w:val="left"/>
        </w:tabs>
        <w:numPr>
          <w:ilvl w:val="0"/>
          <w:numId w:val="339"/>
        </w:numPr>
        <w:rPr>
          <w:rFonts w:ascii="Arial" w:cs="Arial" w:eastAsia="Arial" w:hAnsi="Arial"/>
          <w:sz w:val="17"/>
          <w:szCs w:val="17"/>
          <w:color w:val="auto"/>
        </w:rPr>
      </w:pPr>
      <w:r>
        <w:rPr>
          <w:rFonts w:ascii="Arial" w:cs="Arial" w:eastAsia="Arial" w:hAnsi="Arial"/>
          <w:sz w:val="17"/>
          <w:szCs w:val="17"/>
          <w:color w:val="auto"/>
        </w:rPr>
        <w:t>promptly after the Seller obtains knowledge thereof, notice of any: (A) material litigation, investigation or proceeding that may exist at any time between the Seller and any Person or (B) material litigation or proceeding relating to any Transaction Document;</w:t>
      </w:r>
    </w:p>
    <w:p>
      <w:pPr>
        <w:spacing w:after="0" w:line="38" w:lineRule="exact"/>
        <w:rPr>
          <w:rFonts w:ascii="Arial" w:cs="Arial" w:eastAsia="Arial" w:hAnsi="Arial"/>
          <w:sz w:val="17"/>
          <w:szCs w:val="17"/>
          <w:color w:val="auto"/>
        </w:rPr>
      </w:pPr>
    </w:p>
    <w:p>
      <w:pPr>
        <w:ind w:right="360" w:firstLine="419"/>
        <w:spacing w:after="0" w:line="277" w:lineRule="auto"/>
        <w:tabs>
          <w:tab w:leader="none" w:pos="728" w:val="left"/>
        </w:tabs>
        <w:numPr>
          <w:ilvl w:val="0"/>
          <w:numId w:val="339"/>
        </w:numPr>
        <w:rPr>
          <w:rFonts w:ascii="Arial" w:cs="Arial" w:eastAsia="Arial" w:hAnsi="Arial"/>
          <w:sz w:val="18"/>
          <w:szCs w:val="18"/>
          <w:color w:val="auto"/>
        </w:rPr>
      </w:pPr>
      <w:r>
        <w:rPr>
          <w:rFonts w:ascii="Arial" w:cs="Arial" w:eastAsia="Arial" w:hAnsi="Arial"/>
          <w:sz w:val="18"/>
          <w:szCs w:val="18"/>
          <w:color w:val="auto"/>
        </w:rPr>
        <w:t>promptly after the occurrence thereof, notice of a material adverse change in the business, operations, property or financial or other condition of the Seller, or to its knowledge, the Servicer or any Originator;</w:t>
      </w:r>
    </w:p>
    <w:p>
      <w:pPr>
        <w:spacing w:after="0" w:line="62" w:lineRule="exact"/>
        <w:rPr>
          <w:rFonts w:ascii="Arial" w:cs="Arial" w:eastAsia="Arial" w:hAnsi="Arial"/>
          <w:sz w:val="18"/>
          <w:szCs w:val="18"/>
          <w:color w:val="auto"/>
        </w:rPr>
      </w:pPr>
    </w:p>
    <w:p>
      <w:pPr>
        <w:ind w:right="60" w:firstLine="419"/>
        <w:spacing w:after="0" w:line="277" w:lineRule="auto"/>
        <w:tabs>
          <w:tab w:leader="none" w:pos="778" w:val="left"/>
        </w:tabs>
        <w:numPr>
          <w:ilvl w:val="0"/>
          <w:numId w:val="339"/>
        </w:numPr>
        <w:rPr>
          <w:rFonts w:ascii="Arial" w:cs="Arial" w:eastAsia="Arial" w:hAnsi="Arial"/>
          <w:sz w:val="18"/>
          <w:szCs w:val="18"/>
          <w:color w:val="auto"/>
        </w:rPr>
      </w:pPr>
      <w:r>
        <w:rPr>
          <w:rFonts w:ascii="Arial" w:cs="Arial" w:eastAsia="Arial" w:hAnsi="Arial"/>
          <w:sz w:val="18"/>
          <w:szCs w:val="18"/>
          <w:color w:val="auto"/>
        </w:rPr>
        <w:t>within five (5) days after the occurrence of any joinder of a Subject Originator without the consent of the Majority Purchasers (or such later date may be agreed to by the Administrator), a copy of such joinder;</w:t>
      </w:r>
    </w:p>
    <w:p>
      <w:pPr>
        <w:spacing w:after="0" w:line="62" w:lineRule="exact"/>
        <w:rPr>
          <w:rFonts w:ascii="Arial" w:cs="Arial" w:eastAsia="Arial" w:hAnsi="Arial"/>
          <w:sz w:val="18"/>
          <w:szCs w:val="18"/>
          <w:color w:val="auto"/>
        </w:rPr>
      </w:pPr>
    </w:p>
    <w:p>
      <w:pPr>
        <w:ind w:firstLine="419"/>
        <w:spacing w:after="0" w:line="277" w:lineRule="auto"/>
        <w:tabs>
          <w:tab w:leader="none" w:pos="828" w:val="left"/>
        </w:tabs>
        <w:numPr>
          <w:ilvl w:val="0"/>
          <w:numId w:val="339"/>
        </w:numPr>
        <w:rPr>
          <w:rFonts w:ascii="Arial" w:cs="Arial" w:eastAsia="Arial" w:hAnsi="Arial"/>
          <w:sz w:val="18"/>
          <w:szCs w:val="18"/>
          <w:color w:val="auto"/>
        </w:rPr>
      </w:pPr>
      <w:r>
        <w:rPr>
          <w:rFonts w:ascii="Arial" w:cs="Arial" w:eastAsia="Arial" w:hAnsi="Arial"/>
          <w:sz w:val="18"/>
          <w:szCs w:val="18"/>
          <w:color w:val="auto"/>
        </w:rPr>
        <w:t>such other information respecting the Receivables or the condition or operations, financial or otherwise, of the Seller or any Originator as the Administrator or any Purchaser Agent may from time to time reasonably request;</w:t>
      </w:r>
    </w:p>
    <w:p>
      <w:pPr>
        <w:spacing w:after="0" w:line="62" w:lineRule="exact"/>
        <w:rPr>
          <w:rFonts w:ascii="Arial" w:cs="Arial" w:eastAsia="Arial" w:hAnsi="Arial"/>
          <w:sz w:val="18"/>
          <w:szCs w:val="18"/>
          <w:color w:val="auto"/>
        </w:rPr>
      </w:pPr>
    </w:p>
    <w:p>
      <w:pPr>
        <w:ind w:firstLine="419"/>
        <w:spacing w:after="0" w:line="279" w:lineRule="auto"/>
        <w:tabs>
          <w:tab w:leader="none" w:pos="728" w:val="left"/>
        </w:tabs>
        <w:numPr>
          <w:ilvl w:val="0"/>
          <w:numId w:val="339"/>
        </w:numPr>
        <w:rPr>
          <w:rFonts w:ascii="Arial" w:cs="Arial" w:eastAsia="Arial" w:hAnsi="Arial"/>
          <w:sz w:val="17"/>
          <w:szCs w:val="17"/>
          <w:color w:val="auto"/>
        </w:rPr>
      </w:pPr>
      <w:r>
        <w:rPr>
          <w:rFonts w:ascii="Arial" w:cs="Arial" w:eastAsia="Arial" w:hAnsi="Arial"/>
          <w:sz w:val="17"/>
          <w:szCs w:val="17"/>
          <w:color w:val="auto"/>
        </w:rPr>
        <w:t>any information available to the Seller or any of its Affiliates reasonably requested by the Administrator or any Purchaser in order to assist any Purchaser in complying with any of its obligations under Article 5 of the EU Securitisation Regulation or Article 5 of the UK Securitisation Regulation, as applicable, and any other due diligence provision of the EU Securitisation Regulation Rules or the UK Securitisation Regulation Rules, as applicable, in relation to the Transaction Documents and the transactions contemplated thereby; and</w:t>
      </w:r>
    </w:p>
    <w:p>
      <w:pPr>
        <w:spacing w:after="0" w:line="63" w:lineRule="exact"/>
        <w:rPr>
          <w:rFonts w:ascii="Arial" w:cs="Arial" w:eastAsia="Arial" w:hAnsi="Arial"/>
          <w:sz w:val="17"/>
          <w:szCs w:val="17"/>
          <w:color w:val="auto"/>
        </w:rPr>
      </w:pPr>
    </w:p>
    <w:p>
      <w:pPr>
        <w:ind w:right="60" w:firstLine="419"/>
        <w:spacing w:after="0" w:line="259" w:lineRule="auto"/>
        <w:tabs>
          <w:tab w:leader="none" w:pos="678" w:val="left"/>
        </w:tabs>
        <w:numPr>
          <w:ilvl w:val="0"/>
          <w:numId w:val="339"/>
        </w:numPr>
        <w:rPr>
          <w:rFonts w:ascii="Arial" w:cs="Arial" w:eastAsia="Arial" w:hAnsi="Arial"/>
          <w:sz w:val="18"/>
          <w:szCs w:val="18"/>
          <w:color w:val="auto"/>
        </w:rPr>
      </w:pPr>
      <w:r>
        <w:rPr>
          <w:rFonts w:ascii="Arial" w:cs="Arial" w:eastAsia="Arial" w:hAnsi="Arial"/>
          <w:sz w:val="18"/>
          <w:szCs w:val="18"/>
          <w:color w:val="auto"/>
        </w:rPr>
        <w:t>solely to the extent such data is reasonably available to the Seller or any of its Affiliates without additional burden or out-of-pocket expense, information regarding the Receivables as any Purchaser may reasonably request in connection with the analysis by such Purchaser of capital treatment under the accord known as Basel II, Basel III or other regulatory capital guidelines as relates to the transactions contemplated in the Transaction Documents.</w:t>
      </w:r>
    </w:p>
    <w:p>
      <w:pPr>
        <w:spacing w:after="0" w:line="7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Information required to be delivered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Section shall be deemed to have been delivered if such information, or one or more annual or quarterly reports or current reports containing such information, shall have been posted by the Administrator on a SyndTrak, IntraLinks or similar site to which the Purchasers have been granted access or shall be available on the website of the Securities and Exchange Commission at http://www.sec.gov or on the website of Holdings. Each Purchaser shall be solely responsible for timely accessing posted documents and maintaining its copies of such documents.</w:t>
      </w:r>
    </w:p>
    <w:p>
      <w:pPr>
        <w:sectPr>
          <w:pgSz w:w="11900" w:h="16838" w:orient="portrait"/>
          <w:cols w:equalWidth="0" w:num="1">
            <w:col w:w="10520"/>
          </w:cols>
          <w:pgMar w:left="880" w:top="274" w:right="499" w:bottom="1440" w:gutter="0" w:footer="0" w:header="0"/>
        </w:sectPr>
      </w:pPr>
    </w:p>
    <w:bookmarkStart w:id="289" w:name="page290"/>
    <w:bookmarkEnd w:id="289"/>
    <w:p>
      <w:pPr>
        <w:ind w:left="4" w:firstLine="436"/>
        <w:spacing w:after="0" w:line="263" w:lineRule="auto"/>
        <w:tabs>
          <w:tab w:leader="none" w:pos="699" w:val="left"/>
        </w:tabs>
        <w:numPr>
          <w:ilvl w:val="1"/>
          <w:numId w:val="3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Agreements</w:t>
      </w:r>
      <w:r>
        <w:rPr>
          <w:rFonts w:ascii="Arial" w:cs="Arial" w:eastAsia="Arial" w:hAnsi="Arial"/>
          <w:sz w:val="18"/>
          <w:szCs w:val="18"/>
          <w:color w:val="auto"/>
        </w:rPr>
        <w:t>. Without the prior written consent of the Administrator and the Majority Purchasers, the Seller will not (and will not agree with any Originator to) amend, modify, waive, revoke or terminate any Transaction Document to which it is a party or any provision of Seller’s certificate of incorporation or by-laws.</w:t>
      </w:r>
    </w:p>
    <w:p>
      <w:pPr>
        <w:spacing w:after="0" w:line="183" w:lineRule="exact"/>
        <w:rPr>
          <w:rFonts w:ascii="Arial" w:cs="Arial" w:eastAsia="Arial" w:hAnsi="Arial"/>
          <w:sz w:val="18"/>
          <w:szCs w:val="18"/>
          <w:color w:val="auto"/>
        </w:rPr>
      </w:pPr>
    </w:p>
    <w:p>
      <w:pPr>
        <w:ind w:left="664" w:hanging="224"/>
        <w:spacing w:after="0"/>
        <w:tabs>
          <w:tab w:leader="none" w:pos="664" w:val="left"/>
        </w:tabs>
        <w:numPr>
          <w:ilvl w:val="1"/>
          <w:numId w:val="340"/>
        </w:numPr>
        <w:rPr>
          <w:rFonts w:ascii="Arial" w:cs="Arial" w:eastAsia="Arial" w:hAnsi="Arial"/>
          <w:sz w:val="17"/>
          <w:szCs w:val="17"/>
          <w:color w:val="auto"/>
        </w:rPr>
      </w:pPr>
      <w:r>
        <w:rPr>
          <w:rFonts w:ascii="Arial" w:cs="Arial" w:eastAsia="Arial" w:hAnsi="Arial"/>
          <w:sz w:val="17"/>
          <w:szCs w:val="17"/>
          <w:u w:val="single" w:color="auto"/>
          <w:color w:val="auto"/>
        </w:rPr>
        <w:t>Restricted Payments</w:t>
      </w:r>
      <w:r>
        <w:rPr>
          <w:rFonts w:ascii="Arial" w:cs="Arial" w:eastAsia="Arial" w:hAnsi="Arial"/>
          <w:sz w:val="17"/>
          <w:szCs w:val="17"/>
          <w:color w:val="auto"/>
        </w:rPr>
        <w:t xml:space="preserve">. (i) Except pursuant to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below, the Seller will not: (A) purchase or redeem any shares of its capital stock,</w:t>
      </w:r>
    </w:p>
    <w:p>
      <w:pPr>
        <w:spacing w:after="0" w:line="34" w:lineRule="exact"/>
        <w:rPr>
          <w:rFonts w:ascii="Arial" w:cs="Arial" w:eastAsia="Arial" w:hAnsi="Arial"/>
          <w:sz w:val="17"/>
          <w:szCs w:val="17"/>
          <w:color w:val="auto"/>
        </w:rPr>
      </w:pPr>
    </w:p>
    <w:p>
      <w:pPr>
        <w:ind w:left="284" w:hanging="284"/>
        <w:spacing w:after="0"/>
        <w:tabs>
          <w:tab w:leader="none" w:pos="284" w:val="left"/>
        </w:tabs>
        <w:numPr>
          <w:ilvl w:val="0"/>
          <w:numId w:val="341"/>
        </w:numPr>
        <w:rPr>
          <w:rFonts w:ascii="Arial" w:cs="Arial" w:eastAsia="Arial" w:hAnsi="Arial"/>
          <w:sz w:val="16"/>
          <w:szCs w:val="16"/>
          <w:color w:val="auto"/>
        </w:rPr>
      </w:pPr>
      <w:r>
        <w:rPr>
          <w:rFonts w:ascii="Arial" w:cs="Arial" w:eastAsia="Arial" w:hAnsi="Arial"/>
          <w:sz w:val="16"/>
          <w:szCs w:val="16"/>
          <w:color w:val="auto"/>
        </w:rPr>
        <w:t>declare or pay any dividend or set aside any funds for any such purpose, (C) prepay, purchase or redeem any Debt, (D) lend or advance any funds or</w:t>
      </w:r>
    </w:p>
    <w:p>
      <w:pPr>
        <w:spacing w:after="0" w:line="32" w:lineRule="exact"/>
        <w:rPr>
          <w:rFonts w:ascii="Arial" w:cs="Arial" w:eastAsia="Arial" w:hAnsi="Arial"/>
          <w:sz w:val="16"/>
          <w:szCs w:val="16"/>
          <w:color w:val="auto"/>
        </w:rPr>
      </w:pPr>
    </w:p>
    <w:p>
      <w:pPr>
        <w:ind w:left="4" w:right="240" w:hanging="4"/>
        <w:spacing w:after="0" w:line="260" w:lineRule="auto"/>
        <w:tabs>
          <w:tab w:leader="none" w:pos="279"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repay any loans or advances to, for or from any of its Affiliates (the amounts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being referred to as “</w:t>
      </w:r>
      <w:r>
        <w:rPr>
          <w:rFonts w:ascii="Arial" w:cs="Arial" w:eastAsia="Arial" w:hAnsi="Arial"/>
          <w:sz w:val="18"/>
          <w:szCs w:val="18"/>
          <w:u w:val="single" w:color="auto"/>
          <w:color w:val="auto"/>
        </w:rPr>
        <w:t>Restricted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444" w:firstLine="419"/>
        <w:spacing w:after="0" w:line="263" w:lineRule="auto"/>
        <w:tabs>
          <w:tab w:leader="none" w:pos="1132" w:val="left"/>
        </w:tabs>
        <w:numPr>
          <w:ilvl w:val="2"/>
          <w:numId w:val="342"/>
        </w:numPr>
        <w:rPr>
          <w:rFonts w:ascii="Arial" w:cs="Arial" w:eastAsia="Arial" w:hAnsi="Arial"/>
          <w:sz w:val="18"/>
          <w:szCs w:val="18"/>
          <w:color w:val="auto"/>
        </w:rPr>
      </w:pPr>
      <w:r>
        <w:rPr>
          <w:rFonts w:ascii="Arial" w:cs="Arial" w:eastAsia="Arial" w:hAnsi="Arial"/>
          <w:sz w:val="18"/>
          <w:szCs w:val="18"/>
          <w:color w:val="auto"/>
        </w:rPr>
        <w:t>Subject to the limitation set forth in clause (iii) below, the Seller may make Restricted Payments so long as such Restricted Payments are made only in one or more of the following ways: (A) the Seller may make cash payments (including prepayments) of the Company Note in accordance with its terms, and (B) the Seller may declare and pay dividends.</w:t>
      </w:r>
    </w:p>
    <w:p>
      <w:pPr>
        <w:spacing w:after="0" w:line="75" w:lineRule="exact"/>
        <w:rPr>
          <w:rFonts w:ascii="Arial" w:cs="Arial" w:eastAsia="Arial" w:hAnsi="Arial"/>
          <w:sz w:val="18"/>
          <w:szCs w:val="18"/>
          <w:color w:val="auto"/>
        </w:rPr>
      </w:pPr>
    </w:p>
    <w:p>
      <w:pPr>
        <w:ind w:left="444" w:firstLine="419"/>
        <w:spacing w:after="0" w:line="259" w:lineRule="auto"/>
        <w:tabs>
          <w:tab w:leader="none" w:pos="1182" w:val="left"/>
        </w:tabs>
        <w:numPr>
          <w:ilvl w:val="2"/>
          <w:numId w:val="342"/>
        </w:numPr>
        <w:rPr>
          <w:rFonts w:ascii="Arial" w:cs="Arial" w:eastAsia="Arial" w:hAnsi="Arial"/>
          <w:sz w:val="18"/>
          <w:szCs w:val="18"/>
          <w:color w:val="auto"/>
        </w:rPr>
      </w:pPr>
      <w:r>
        <w:rPr>
          <w:rFonts w:ascii="Arial" w:cs="Arial" w:eastAsia="Arial" w:hAnsi="Arial"/>
          <w:sz w:val="18"/>
          <w:szCs w:val="18"/>
          <w:color w:val="auto"/>
        </w:rPr>
        <w:t xml:space="preserve">The Seller may make Restricted Payments only out of the funds it receives pursuant to </w:t>
      </w:r>
      <w:r>
        <w:rPr>
          <w:rFonts w:ascii="Arial" w:cs="Arial" w:eastAsia="Arial" w:hAnsi="Arial"/>
          <w:sz w:val="18"/>
          <w:szCs w:val="18"/>
          <w:u w:val="single" w:color="auto"/>
          <w:color w:val="auto"/>
        </w:rPr>
        <w:t>Sections 1.4(b)(ii)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this Agreement. Furthermore, the Seller shall not pay, make or declare: (A) any dividend if, after giving effect thereto, the Seller’s tangible net worth would be less than $50,000,000 or (B) any Restricted Payment (including any dividend) if, after giving effect thereto, any Termination Event or Unmatured Termination Event shall have occurred and be continuing.</w:t>
      </w:r>
    </w:p>
    <w:p>
      <w:pPr>
        <w:spacing w:after="0" w:line="186" w:lineRule="exact"/>
        <w:rPr>
          <w:rFonts w:ascii="Arial" w:cs="Arial" w:eastAsia="Arial" w:hAnsi="Arial"/>
          <w:sz w:val="18"/>
          <w:szCs w:val="18"/>
          <w:color w:val="auto"/>
        </w:rPr>
      </w:pPr>
    </w:p>
    <w:p>
      <w:pPr>
        <w:ind w:left="744" w:hanging="304"/>
        <w:spacing w:after="0"/>
        <w:tabs>
          <w:tab w:leader="none" w:pos="744" w:val="left"/>
        </w:tabs>
        <w:numPr>
          <w:ilvl w:val="1"/>
          <w:numId w:val="342"/>
        </w:numPr>
        <w:rPr>
          <w:rFonts w:ascii="Arial" w:cs="Arial" w:eastAsia="Arial" w:hAnsi="Arial"/>
          <w:sz w:val="17"/>
          <w:szCs w:val="17"/>
          <w:color w:val="auto"/>
        </w:rPr>
      </w:pPr>
      <w:r>
        <w:rPr>
          <w:rFonts w:ascii="Arial" w:cs="Arial" w:eastAsia="Arial" w:hAnsi="Arial"/>
          <w:sz w:val="17"/>
          <w:szCs w:val="17"/>
          <w:u w:val="single" w:color="auto"/>
          <w:color w:val="auto"/>
        </w:rPr>
        <w:t>Other Business</w:t>
      </w:r>
      <w:r>
        <w:rPr>
          <w:rFonts w:ascii="Arial" w:cs="Arial" w:eastAsia="Arial" w:hAnsi="Arial"/>
          <w:sz w:val="17"/>
          <w:szCs w:val="17"/>
          <w:color w:val="auto"/>
        </w:rPr>
        <w:t>. The Seller will not: (i) engage in any business other than the transactions contemplated by the Transaction Documents;</w:t>
      </w:r>
    </w:p>
    <w:p>
      <w:pPr>
        <w:spacing w:after="0" w:line="35" w:lineRule="exact"/>
        <w:rPr>
          <w:sz w:val="20"/>
          <w:szCs w:val="20"/>
          <w:color w:val="auto"/>
        </w:rPr>
      </w:pPr>
    </w:p>
    <w:p>
      <w:pPr>
        <w:ind w:left="4" w:right="340" w:hanging="4"/>
        <w:spacing w:after="0" w:line="253" w:lineRule="auto"/>
        <w:tabs>
          <w:tab w:leader="none" w:pos="269"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create, incur or permit to exist any Debt of any kind (or cause or permit to be issued for its account any letters of credit or bankers’ acceptances) other than pursuant to this Agreement or the Company Note; or (iii) form any Subsidiary or make any investments in any 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Seller shall be permitted to incur minimal obligations to the extent necessary for the day-to-day operations of the Seller (such as expenses for stationery, audits, maintenance of legal status, etc.).</w:t>
      </w:r>
    </w:p>
    <w:p>
      <w:pPr>
        <w:spacing w:after="0" w:line="192" w:lineRule="exact"/>
        <w:rPr>
          <w:rFonts w:ascii="Arial" w:cs="Arial" w:eastAsia="Arial" w:hAnsi="Arial"/>
          <w:sz w:val="18"/>
          <w:szCs w:val="18"/>
          <w:color w:val="auto"/>
        </w:rPr>
      </w:pPr>
    </w:p>
    <w:p>
      <w:pPr>
        <w:ind w:left="704" w:hanging="264"/>
        <w:spacing w:after="0"/>
        <w:tabs>
          <w:tab w:leader="none" w:pos="704" w:val="left"/>
        </w:tabs>
        <w:numPr>
          <w:ilvl w:val="1"/>
          <w:numId w:val="343"/>
        </w:numPr>
        <w:rPr>
          <w:rFonts w:ascii="Arial" w:cs="Arial" w:eastAsia="Arial" w:hAnsi="Arial"/>
          <w:sz w:val="17"/>
          <w:szCs w:val="17"/>
          <w:color w:val="auto"/>
        </w:rPr>
      </w:pPr>
      <w:r>
        <w:rPr>
          <w:rFonts w:ascii="Arial" w:cs="Arial" w:eastAsia="Arial" w:hAnsi="Arial"/>
          <w:sz w:val="17"/>
          <w:szCs w:val="17"/>
          <w:u w:val="single" w:color="auto"/>
          <w:color w:val="auto"/>
        </w:rPr>
        <w:t>Use of Seller’s Share of Collections</w:t>
      </w:r>
      <w:r>
        <w:rPr>
          <w:rFonts w:ascii="Arial" w:cs="Arial" w:eastAsia="Arial" w:hAnsi="Arial"/>
          <w:sz w:val="17"/>
          <w:szCs w:val="17"/>
          <w:color w:val="auto"/>
        </w:rPr>
        <w:t>. The Seller shall apply the Seller’s Share of Collections to make payments in the following order of</w:t>
      </w:r>
    </w:p>
    <w:p>
      <w:pPr>
        <w:spacing w:after="0" w:line="34" w:lineRule="exact"/>
        <w:rPr>
          <w:rFonts w:ascii="Arial" w:cs="Arial" w:eastAsia="Arial" w:hAnsi="Arial"/>
          <w:sz w:val="17"/>
          <w:szCs w:val="17"/>
          <w:color w:val="auto"/>
        </w:rPr>
      </w:pPr>
    </w:p>
    <w:p>
      <w:pPr>
        <w:ind w:left="4" w:right="100"/>
        <w:spacing w:after="0" w:line="255" w:lineRule="auto"/>
        <w:rPr>
          <w:rFonts w:ascii="Arial" w:cs="Arial" w:eastAsia="Arial" w:hAnsi="Arial"/>
          <w:sz w:val="17"/>
          <w:szCs w:val="17"/>
          <w:color w:val="auto"/>
        </w:rPr>
      </w:pPr>
      <w:r>
        <w:rPr>
          <w:rFonts w:ascii="Arial" w:cs="Arial" w:eastAsia="Arial" w:hAnsi="Arial"/>
          <w:sz w:val="18"/>
          <w:szCs w:val="18"/>
          <w:color w:val="auto"/>
        </w:rPr>
        <w:t>priority: (i) the payment of its expenses (including all obligations payable to the Purchaser Groups and the Administrator under this Agreement and under each Purchaser Group Fee Letter); (ii) the payment of accrued and unpaid interest on the Company Note; and (iii) other legal and valid corporate purposes.</w:t>
      </w:r>
    </w:p>
    <w:p>
      <w:pPr>
        <w:spacing w:after="0" w:line="189" w:lineRule="exact"/>
        <w:rPr>
          <w:rFonts w:ascii="Arial" w:cs="Arial" w:eastAsia="Arial" w:hAnsi="Arial"/>
          <w:sz w:val="17"/>
          <w:szCs w:val="17"/>
          <w:color w:val="auto"/>
        </w:rPr>
      </w:pPr>
    </w:p>
    <w:p>
      <w:pPr>
        <w:ind w:left="704" w:hanging="264"/>
        <w:spacing w:after="0"/>
        <w:tabs>
          <w:tab w:leader="none" w:pos="704" w:val="left"/>
        </w:tabs>
        <w:numPr>
          <w:ilvl w:val="1"/>
          <w:numId w:val="343"/>
        </w:numPr>
        <w:rPr>
          <w:rFonts w:ascii="Arial" w:cs="Arial" w:eastAsia="Arial" w:hAnsi="Arial"/>
          <w:sz w:val="18"/>
          <w:szCs w:val="18"/>
          <w:color w:val="auto"/>
        </w:rPr>
      </w:pPr>
      <w:r>
        <w:rPr>
          <w:rFonts w:ascii="Arial" w:cs="Arial" w:eastAsia="Arial" w:hAnsi="Arial"/>
          <w:sz w:val="18"/>
          <w:szCs w:val="18"/>
          <w:u w:val="single" w:color="auto"/>
          <w:color w:val="auto"/>
        </w:rPr>
        <w:t>Tangible Net Worth</w:t>
      </w:r>
      <w:r>
        <w:rPr>
          <w:rFonts w:ascii="Arial" w:cs="Arial" w:eastAsia="Arial" w:hAnsi="Arial"/>
          <w:sz w:val="18"/>
          <w:szCs w:val="18"/>
          <w:color w:val="auto"/>
        </w:rPr>
        <w:t>. The Seller will not permit its tangible net worth, at any time, to be less than $50,000,000.</w:t>
      </w:r>
    </w:p>
    <w:p>
      <w:pPr>
        <w:spacing w:after="0" w:line="225" w:lineRule="exact"/>
        <w:rPr>
          <w:rFonts w:ascii="Arial" w:cs="Arial" w:eastAsia="Arial" w:hAnsi="Arial"/>
          <w:sz w:val="18"/>
          <w:szCs w:val="18"/>
          <w:color w:val="auto"/>
        </w:rPr>
      </w:pPr>
    </w:p>
    <w:p>
      <w:pPr>
        <w:ind w:left="4" w:right="140" w:firstLine="436"/>
        <w:spacing w:after="0" w:line="263" w:lineRule="auto"/>
        <w:tabs>
          <w:tab w:leader="none" w:pos="699" w:val="left"/>
        </w:tabs>
        <w:numPr>
          <w:ilvl w:val="1"/>
          <w:numId w:val="343"/>
        </w:numPr>
        <w:rPr>
          <w:rFonts w:ascii="Arial" w:cs="Arial" w:eastAsia="Arial" w:hAnsi="Arial"/>
          <w:sz w:val="18"/>
          <w:szCs w:val="18"/>
          <w:color w:val="auto"/>
        </w:rPr>
      </w:pPr>
      <w:r>
        <w:rPr>
          <w:rFonts w:ascii="Arial" w:cs="Arial" w:eastAsia="Arial" w:hAnsi="Arial"/>
          <w:sz w:val="18"/>
          <w:szCs w:val="18"/>
          <w:u w:val="single" w:color="auto"/>
          <w:color w:val="auto"/>
        </w:rPr>
        <w:t>Exclusion of Credit Memos</w:t>
      </w:r>
      <w:r>
        <w:rPr>
          <w:rFonts w:ascii="Arial" w:cs="Arial" w:eastAsia="Arial" w:hAnsi="Arial"/>
          <w:sz w:val="18"/>
          <w:szCs w:val="18"/>
          <w:color w:val="auto"/>
        </w:rPr>
        <w:t xml:space="preserve">. As soon as possible, the Seller shall (and shall cause each Originator and the Servicer to) remove credit memos from any aging schedules contained in or used to calculate the information set forth in each Information Package delivered pursuant to </w:t>
      </w:r>
      <w:r>
        <w:rPr>
          <w:rFonts w:ascii="Arial" w:cs="Arial" w:eastAsia="Arial" w:hAnsi="Arial"/>
          <w:sz w:val="18"/>
          <w:szCs w:val="18"/>
          <w:u w:val="single" w:color="auto"/>
          <w:color w:val="auto"/>
        </w:rPr>
        <w:t>Section 2(i)(iii)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IV</w:t>
      </w:r>
      <w:r>
        <w:rPr>
          <w:rFonts w:ascii="Arial" w:cs="Arial" w:eastAsia="Arial" w:hAnsi="Arial"/>
          <w:sz w:val="18"/>
          <w:szCs w:val="18"/>
          <w:color w:val="auto"/>
        </w:rPr>
        <w:t xml:space="preserve"> to this Agreement.</w:t>
      </w:r>
    </w:p>
    <w:p>
      <w:pPr>
        <w:spacing w:after="0" w:line="183" w:lineRule="exact"/>
        <w:rPr>
          <w:rFonts w:ascii="Arial" w:cs="Arial" w:eastAsia="Arial" w:hAnsi="Arial"/>
          <w:sz w:val="18"/>
          <w:szCs w:val="18"/>
          <w:color w:val="auto"/>
        </w:rPr>
      </w:pPr>
    </w:p>
    <w:p>
      <w:pPr>
        <w:ind w:left="704" w:hanging="264"/>
        <w:spacing w:after="0"/>
        <w:tabs>
          <w:tab w:leader="none" w:pos="704" w:val="left"/>
        </w:tabs>
        <w:numPr>
          <w:ilvl w:val="1"/>
          <w:numId w:val="343"/>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ectPr>
          <w:pgSz w:w="11900" w:h="16838" w:orient="portrait"/>
          <w:cols w:equalWidth="0" w:num="1">
            <w:col w:w="10984"/>
          </w:cols>
          <w:pgMar w:left="436" w:top="274" w:right="479" w:bottom="1440" w:gutter="0" w:footer="0" w:header="0"/>
        </w:sectPr>
      </w:pPr>
    </w:p>
    <w:bookmarkStart w:id="290" w:name="page291"/>
    <w:bookmarkEnd w:id="290"/>
    <w:p>
      <w:pPr>
        <w:ind w:left="224" w:hanging="224"/>
        <w:spacing w:after="0"/>
        <w:tabs>
          <w:tab w:leader="none" w:pos="224"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Sanctions and other Anti-Terrorism Laws; Anti-Corruption Laws</w:t>
      </w:r>
      <w:r>
        <w:rPr>
          <w:rFonts w:ascii="Arial" w:cs="Arial" w:eastAsia="Arial" w:hAnsi="Arial"/>
          <w:sz w:val="18"/>
          <w:szCs w:val="18"/>
          <w:color w:val="auto"/>
        </w:rPr>
        <w:t>. The Seller covenants and agrees that:</w:t>
      </w:r>
    </w:p>
    <w:p>
      <w:pPr>
        <w:spacing w:after="0" w:line="117" w:lineRule="exact"/>
        <w:rPr>
          <w:rFonts w:ascii="Arial" w:cs="Arial" w:eastAsia="Arial" w:hAnsi="Arial"/>
          <w:sz w:val="18"/>
          <w:szCs w:val="18"/>
          <w:color w:val="auto"/>
        </w:rPr>
      </w:pPr>
    </w:p>
    <w:p>
      <w:pPr>
        <w:ind w:left="4" w:firstLine="419"/>
        <w:spacing w:after="0" w:line="263" w:lineRule="auto"/>
        <w:tabs>
          <w:tab w:leader="none" w:pos="641" w:val="left"/>
        </w:tabs>
        <w:numPr>
          <w:ilvl w:val="1"/>
          <w:numId w:val="344"/>
        </w:numPr>
        <w:rPr>
          <w:rFonts w:ascii="Arial" w:cs="Arial" w:eastAsia="Arial" w:hAnsi="Arial"/>
          <w:sz w:val="18"/>
          <w:szCs w:val="18"/>
          <w:color w:val="auto"/>
        </w:rPr>
      </w:pPr>
      <w:r>
        <w:rPr>
          <w:rFonts w:ascii="Arial" w:cs="Arial" w:eastAsia="Arial" w:hAnsi="Arial"/>
          <w:sz w:val="18"/>
          <w:szCs w:val="18"/>
          <w:color w:val="auto"/>
        </w:rPr>
        <w:t>it shall, and shall require each other Covered Entity to, conduct its business in compliance with all Anti-Corruption Laws in all material respects and maintain policies and procedures designed, in Seller’s reasonable business judgment, to ensure compliance with such Anti-Corruption Laws in all material respects;</w:t>
      </w:r>
    </w:p>
    <w:p>
      <w:pPr>
        <w:spacing w:after="0" w:line="75" w:lineRule="exact"/>
        <w:rPr>
          <w:rFonts w:ascii="Arial" w:cs="Arial" w:eastAsia="Arial" w:hAnsi="Arial"/>
          <w:sz w:val="18"/>
          <w:szCs w:val="18"/>
          <w:color w:val="auto"/>
        </w:rPr>
      </w:pPr>
    </w:p>
    <w:p>
      <w:pPr>
        <w:ind w:left="4" w:right="40" w:firstLine="419"/>
        <w:spacing w:after="0" w:line="254" w:lineRule="auto"/>
        <w:tabs>
          <w:tab w:leader="none" w:pos="691" w:val="left"/>
        </w:tabs>
        <w:numPr>
          <w:ilvl w:val="1"/>
          <w:numId w:val="344"/>
        </w:numPr>
        <w:rPr>
          <w:rFonts w:ascii="Arial" w:cs="Arial" w:eastAsia="Arial" w:hAnsi="Arial"/>
          <w:sz w:val="18"/>
          <w:szCs w:val="18"/>
          <w:color w:val="auto"/>
        </w:rPr>
      </w:pPr>
      <w:r>
        <w:rPr>
          <w:rFonts w:ascii="Arial" w:cs="Arial" w:eastAsia="Arial" w:hAnsi="Arial"/>
          <w:sz w:val="18"/>
          <w:szCs w:val="18"/>
          <w:color w:val="auto"/>
        </w:rPr>
        <w:t>it and its Subsidiaries will not: (A) become a Sanctioned Person or allow any employees, officers, directors, affiliates, consultants, brokers, or agents acting on its behalf in connection with this Agreement to become a Sanctioned Person; (B) directly, or indirectly through a third party, engage in any transactions or other dealings with or for the benefit of any Sanctioned Person or Sanctioned Jurisdiction, including any use of the proceeds of the Investments to fund any operations in, finance any investments or activities in, or, make any payments to, a Sanctioned Person or Sanctioned Jurisdiction; (C) pay or repay obligations with Embargoed Property or funds derived from any unlawful activity; (D) permit any Pool Assets to become Embargoed Property; or (E) cause any Purchaser or the Administrator to violate any Anti-Terrorism Law in any material respects; and</w:t>
      </w:r>
    </w:p>
    <w:p>
      <w:pPr>
        <w:spacing w:after="0" w:line="86" w:lineRule="exact"/>
        <w:rPr>
          <w:rFonts w:ascii="Arial" w:cs="Arial" w:eastAsia="Arial" w:hAnsi="Arial"/>
          <w:sz w:val="18"/>
          <w:szCs w:val="18"/>
          <w:color w:val="auto"/>
        </w:rPr>
      </w:pPr>
    </w:p>
    <w:p>
      <w:pPr>
        <w:ind w:left="4" w:right="80" w:firstLine="419"/>
        <w:spacing w:after="0" w:line="277" w:lineRule="auto"/>
        <w:tabs>
          <w:tab w:leader="none" w:pos="741" w:val="left"/>
        </w:tabs>
        <w:numPr>
          <w:ilvl w:val="1"/>
          <w:numId w:val="344"/>
        </w:numPr>
        <w:rPr>
          <w:rFonts w:ascii="Arial" w:cs="Arial" w:eastAsia="Arial" w:hAnsi="Arial"/>
          <w:sz w:val="18"/>
          <w:szCs w:val="18"/>
          <w:color w:val="auto"/>
        </w:rPr>
      </w:pPr>
      <w:r>
        <w:rPr>
          <w:rFonts w:ascii="Arial" w:cs="Arial" w:eastAsia="Arial" w:hAnsi="Arial"/>
          <w:sz w:val="18"/>
          <w:szCs w:val="18"/>
          <w:color w:val="auto"/>
        </w:rPr>
        <w:t>it will not, and will not permit any its Subsidiaries to, directly or indirectly, use the Investments or any proceeds thereof for any purpose which would breach any Anti-Corruption Laws in any jurisdiction in which any Covered Entity conducts business.</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Liquidity Coverage Ratio</w:t>
      </w:r>
      <w:r>
        <w:rPr>
          <w:rFonts w:ascii="Arial" w:cs="Arial" w:eastAsia="Arial" w:hAnsi="Arial"/>
          <w:sz w:val="18"/>
          <w:szCs w:val="18"/>
          <w:color w:val="auto"/>
        </w:rPr>
        <w:t>. The Seller shall not issue any LCR Security.</w:t>
      </w:r>
    </w:p>
    <w:p>
      <w:pPr>
        <w:spacing w:after="0" w:line="225" w:lineRule="exact"/>
        <w:rPr>
          <w:rFonts w:ascii="Arial" w:cs="Arial" w:eastAsia="Arial" w:hAnsi="Arial"/>
          <w:sz w:val="18"/>
          <w:szCs w:val="18"/>
          <w:color w:val="auto"/>
        </w:rPr>
      </w:pPr>
    </w:p>
    <w:p>
      <w:pPr>
        <w:jc w:val="both"/>
        <w:ind w:left="-436" w:right="200" w:firstLine="436"/>
        <w:spacing w:after="0" w:line="259" w:lineRule="auto"/>
        <w:tabs>
          <w:tab w:leader="none" w:pos="219"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Certification of Beneficial Owner(s)</w:t>
      </w:r>
      <w:r>
        <w:rPr>
          <w:rFonts w:ascii="Arial" w:cs="Arial" w:eastAsia="Arial" w:hAnsi="Arial"/>
          <w:sz w:val="18"/>
          <w:szCs w:val="18"/>
          <w:color w:val="auto"/>
        </w:rPr>
        <w:t>. Promptly following any change that would result in a change to the status as an excluded “Legal Entity Customer” under (and as defined in) the Beneficial Ownership Regulation, the Seller shall execute and deliver to the Administrator a Certification of Beneficial Owner(s) complying with the Beneficial Ownership Regulation. The information included in any Certification of Beneficial Owner(s) shall be true and correct in all respects.</w:t>
      </w:r>
    </w:p>
    <w:p>
      <w:pPr>
        <w:spacing w:after="0" w:line="186" w:lineRule="exact"/>
        <w:rPr>
          <w:rFonts w:ascii="Arial" w:cs="Arial" w:eastAsia="Arial" w:hAnsi="Arial"/>
          <w:sz w:val="18"/>
          <w:szCs w:val="18"/>
          <w:color w:val="auto"/>
        </w:rPr>
      </w:pPr>
    </w:p>
    <w:p>
      <w:pPr>
        <w:ind w:left="-436" w:right="20" w:firstLine="436"/>
        <w:spacing w:after="0" w:line="275" w:lineRule="auto"/>
        <w:tabs>
          <w:tab w:leader="none" w:pos="259" w:val="left"/>
        </w:tabs>
        <w:numPr>
          <w:ilvl w:val="0"/>
          <w:numId w:val="344"/>
        </w:numPr>
        <w:rPr>
          <w:rFonts w:ascii="Arial" w:cs="Arial" w:eastAsia="Arial" w:hAnsi="Arial"/>
          <w:sz w:val="17"/>
          <w:szCs w:val="17"/>
          <w:color w:val="auto"/>
        </w:rPr>
      </w:pPr>
      <w:r>
        <w:rPr>
          <w:rFonts w:ascii="Arial" w:cs="Arial" w:eastAsia="Arial" w:hAnsi="Arial"/>
          <w:sz w:val="17"/>
          <w:szCs w:val="17"/>
          <w:u w:val="single" w:color="auto"/>
          <w:color w:val="auto"/>
        </w:rPr>
        <w:t>Additional Assistance</w:t>
      </w:r>
      <w:r>
        <w:rPr>
          <w:rFonts w:ascii="Arial" w:cs="Arial" w:eastAsia="Arial" w:hAnsi="Arial"/>
          <w:sz w:val="17"/>
          <w:szCs w:val="17"/>
          <w:color w:val="auto"/>
        </w:rPr>
        <w:t>. The Seller shall use commercially reasonable efforts to take such further action, provide such information and enter into such other agreements not otherwise provided for hereunder as may be reasonably required by the Administrator or any Purchaser in order to assist any Purchaser in complying with any of its obligations under Article 5 of the EU Securitisation Regulation or Article 5 of the UK Securitisation Regulation, as applicable, and any other due diligence provision of the EU Securitisation Regulation Rules or the UK Securitisation Regulation Rules, as applicable, in relation to the Transaction Documents and the transactions contemplated thereby.</w:t>
      </w:r>
    </w:p>
    <w:p>
      <w:pPr>
        <w:spacing w:after="0" w:line="176" w:lineRule="exact"/>
        <w:rPr>
          <w:sz w:val="20"/>
          <w:szCs w:val="20"/>
          <w:color w:val="auto"/>
        </w:rPr>
      </w:pPr>
    </w:p>
    <w:p>
      <w:pPr>
        <w:ind w:left="184" w:hanging="184"/>
        <w:spacing w:after="0"/>
        <w:tabs>
          <w:tab w:leader="none" w:pos="184"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Covenants of the Servicer and WESCO</w:t>
      </w:r>
      <w:r>
        <w:rPr>
          <w:rFonts w:ascii="Arial" w:cs="Arial" w:eastAsia="Arial" w:hAnsi="Arial"/>
          <w:sz w:val="18"/>
          <w:szCs w:val="18"/>
          <w:color w:val="auto"/>
        </w:rPr>
        <w:t>. Until the Final Payout Date:</w:t>
      </w:r>
    </w:p>
    <w:p>
      <w:pPr>
        <w:spacing w:after="0" w:line="117" w:lineRule="exact"/>
        <w:rPr>
          <w:sz w:val="20"/>
          <w:szCs w:val="20"/>
          <w:color w:val="auto"/>
        </w:rPr>
      </w:pPr>
    </w:p>
    <w:p>
      <w:pPr>
        <w:ind w:left="-436" w:right="520" w:firstLine="436"/>
        <w:spacing w:after="0" w:line="263" w:lineRule="auto"/>
        <w:tabs>
          <w:tab w:leader="none" w:pos="249"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Compliance with Laws, Etc.</w:t>
      </w:r>
      <w:r>
        <w:rPr>
          <w:rFonts w:ascii="Arial" w:cs="Arial" w:eastAsia="Arial" w:hAnsi="Arial"/>
          <w:sz w:val="18"/>
          <w:szCs w:val="18"/>
          <w:color w:val="auto"/>
        </w:rPr>
        <w:t xml:space="preserve"> The Servicer and, to the extent that it ceases to be the Servicer, WESCO shall comply (and shall cause each Originator to comply) in all material respects with all Applicable Laws, and preserve and maintain its corporate existence, rights, franchises, qualifications and privileges, except to the extent that the failure so to comply with such laws,</w:t>
      </w:r>
    </w:p>
    <w:p>
      <w:pPr>
        <w:sectPr>
          <w:pgSz w:w="11900" w:h="16838" w:orient="portrait"/>
          <w:cols w:equalWidth="0" w:num="1">
            <w:col w:w="10584"/>
          </w:cols>
          <w:pgMar w:left="876" w:top="274" w:right="439" w:bottom="1440" w:gutter="0" w:footer="0" w:header="0"/>
        </w:sectPr>
      </w:pPr>
    </w:p>
    <w:bookmarkStart w:id="291" w:name="page292"/>
    <w:bookmarkEnd w:id="291"/>
    <w:p>
      <w:pPr>
        <w:ind w:left="4"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rules and regulations or the failure so to preserve and maintain such existence, rights, franchises, qualifications and privileges would not have a Material Adverse Effect.</w:t>
      </w:r>
    </w:p>
    <w:p>
      <w:pPr>
        <w:spacing w:after="0" w:line="170" w:lineRule="exact"/>
        <w:rPr>
          <w:sz w:val="20"/>
          <w:szCs w:val="20"/>
          <w:color w:val="auto"/>
        </w:rPr>
      </w:pPr>
    </w:p>
    <w:p>
      <w:pPr>
        <w:ind w:left="4" w:right="80" w:firstLine="436"/>
        <w:spacing w:after="0" w:line="288" w:lineRule="auto"/>
        <w:tabs>
          <w:tab w:leader="none" w:pos="699" w:val="left"/>
        </w:tabs>
        <w:numPr>
          <w:ilvl w:val="1"/>
          <w:numId w:val="347"/>
        </w:numPr>
        <w:rPr>
          <w:rFonts w:ascii="Arial" w:cs="Arial" w:eastAsia="Arial" w:hAnsi="Arial"/>
          <w:sz w:val="16"/>
          <w:szCs w:val="16"/>
          <w:color w:val="auto"/>
        </w:rPr>
      </w:pPr>
      <w:r>
        <w:rPr>
          <w:rFonts w:ascii="Arial" w:cs="Arial" w:eastAsia="Arial" w:hAnsi="Arial"/>
          <w:sz w:val="16"/>
          <w:szCs w:val="16"/>
          <w:u w:val="single" w:color="auto"/>
          <w:color w:val="auto"/>
        </w:rPr>
        <w:t>Offices, Records and Books of Account, Etc.</w:t>
      </w:r>
      <w:r>
        <w:rPr>
          <w:rFonts w:ascii="Arial" w:cs="Arial" w:eastAsia="Arial" w:hAnsi="Arial"/>
          <w:sz w:val="16"/>
          <w:szCs w:val="16"/>
          <w:color w:val="auto"/>
        </w:rPr>
        <w:t xml:space="preserve"> The Servicer and, to the extent that it ceases to be the Servicer, WESCO, shall keep (and shall cause each Originator to keep) its principal place of business, chief executive office and “location” (as such term is used in the applicable UCC) and the office where it keeps its records concerning the Receivables at the addresses of the Servicer set forth under its name on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to this Agreement or, upon at least 30 days’ prior written notice of a proposed change to the Administrator, at any other locations in jurisdictions where all actions reasonably requested by the Administrator to protect and perfect the interest of the Administrator (for the benefit of each Purchaser) in the Receivables and related items (including the Pool Assets) have been taken and completed. The Servicer and, to the extent that it ceases to be the Servicer, WESCO, also will (and will cause each Originator to) maintain and implement administrative and operating procedures (including an ability to recreate records evidencing Receivables and related Contracts in the event of the destruction of the originals thereof), and keep and maintain all documents, books, records, computer tapes and disks and other information reasonably necessary or advisable for the collection of all Receivables (including records adequate to permit the daily identification of each Receivable and all Collections of and adjustments to each existing Receivable).</w:t>
      </w:r>
    </w:p>
    <w:p>
      <w:pPr>
        <w:spacing w:after="0" w:line="168" w:lineRule="exact"/>
        <w:rPr>
          <w:rFonts w:ascii="Arial" w:cs="Arial" w:eastAsia="Arial" w:hAnsi="Arial"/>
          <w:sz w:val="16"/>
          <w:szCs w:val="16"/>
          <w:color w:val="auto"/>
        </w:rPr>
      </w:pPr>
    </w:p>
    <w:p>
      <w:pPr>
        <w:ind w:left="4" w:right="60" w:firstLine="436"/>
        <w:spacing w:after="0" w:line="259" w:lineRule="auto"/>
        <w:tabs>
          <w:tab w:leader="none" w:pos="689" w:val="left"/>
        </w:tabs>
        <w:numPr>
          <w:ilvl w:val="1"/>
          <w:numId w:val="347"/>
        </w:numPr>
        <w:rPr>
          <w:rFonts w:ascii="Arial" w:cs="Arial" w:eastAsia="Arial" w:hAnsi="Arial"/>
          <w:sz w:val="18"/>
          <w:szCs w:val="18"/>
          <w:color w:val="auto"/>
        </w:rPr>
      </w:pPr>
      <w:r>
        <w:rPr>
          <w:rFonts w:ascii="Arial" w:cs="Arial" w:eastAsia="Arial" w:hAnsi="Arial"/>
          <w:sz w:val="18"/>
          <w:szCs w:val="18"/>
          <w:u w:val="single" w:color="auto"/>
          <w:color w:val="auto"/>
        </w:rPr>
        <w:t>Performance and Compliance with Contracts and Credit and Collection Policy</w:t>
      </w:r>
      <w:r>
        <w:rPr>
          <w:rFonts w:ascii="Arial" w:cs="Arial" w:eastAsia="Arial" w:hAnsi="Arial"/>
          <w:sz w:val="18"/>
          <w:szCs w:val="18"/>
          <w:color w:val="auto"/>
        </w:rPr>
        <w:t>. The Servicer and, to the extent that it ceases to be the Servicer, WESCO, shall (and shall cause Originator to), at its expense, timely and fully perform and comply with all material provisions, covenants and other promises required to be observed by it under the Contracts related to the Receivables, and timely and fully comply in all material respects with the Credit and Collection Policy with regard to each Receivable and the related Contract.</w:t>
      </w:r>
    </w:p>
    <w:p>
      <w:pPr>
        <w:spacing w:after="0" w:line="186" w:lineRule="exact"/>
        <w:rPr>
          <w:rFonts w:ascii="Arial" w:cs="Arial" w:eastAsia="Arial" w:hAnsi="Arial"/>
          <w:sz w:val="18"/>
          <w:szCs w:val="18"/>
          <w:color w:val="auto"/>
        </w:rPr>
      </w:pPr>
    </w:p>
    <w:p>
      <w:pPr>
        <w:ind w:left="4" w:firstLine="436"/>
        <w:spacing w:after="0" w:line="263" w:lineRule="auto"/>
        <w:tabs>
          <w:tab w:leader="none" w:pos="699" w:val="left"/>
        </w:tabs>
        <w:numPr>
          <w:ilvl w:val="1"/>
          <w:numId w:val="347"/>
        </w:numPr>
        <w:rPr>
          <w:rFonts w:ascii="Arial" w:cs="Arial" w:eastAsia="Arial" w:hAnsi="Arial"/>
          <w:sz w:val="18"/>
          <w:szCs w:val="18"/>
          <w:color w:val="auto"/>
        </w:rPr>
      </w:pPr>
      <w:r>
        <w:rPr>
          <w:rFonts w:ascii="Arial" w:cs="Arial" w:eastAsia="Arial" w:hAnsi="Arial"/>
          <w:sz w:val="18"/>
          <w:szCs w:val="18"/>
          <w:u w:val="single" w:color="auto"/>
          <w:color w:val="auto"/>
        </w:rPr>
        <w:t>Extension or Amendment of Receivables</w:t>
      </w:r>
      <w:r>
        <w:rPr>
          <w:rFonts w:ascii="Arial" w:cs="Arial" w:eastAsia="Arial" w:hAnsi="Arial"/>
          <w:sz w:val="18"/>
          <w:szCs w:val="18"/>
          <w:color w:val="auto"/>
        </w:rPr>
        <w:t>. Except as provided in this Agreement, the Servicer and, to the extent that it ceases to be the Servicer, WESCO, shall not extend (and shall not permit any Originator to extend), the maturity or adjust the Outstanding Balance or otherwise modify the terms of any Pool Receivable, or amend, modify or waive any term or condition of any related Contract.</w:t>
      </w:r>
    </w:p>
    <w:p>
      <w:pPr>
        <w:spacing w:after="0" w:line="183" w:lineRule="exact"/>
        <w:rPr>
          <w:rFonts w:ascii="Arial" w:cs="Arial" w:eastAsia="Arial" w:hAnsi="Arial"/>
          <w:sz w:val="18"/>
          <w:szCs w:val="18"/>
          <w:color w:val="auto"/>
        </w:rPr>
      </w:pPr>
    </w:p>
    <w:p>
      <w:pPr>
        <w:ind w:left="4" w:right="20" w:firstLine="436"/>
        <w:spacing w:after="0" w:line="301" w:lineRule="auto"/>
        <w:tabs>
          <w:tab w:leader="none" w:pos="689" w:val="left"/>
        </w:tabs>
        <w:numPr>
          <w:ilvl w:val="1"/>
          <w:numId w:val="347"/>
        </w:numPr>
        <w:rPr>
          <w:rFonts w:ascii="Arial" w:cs="Arial" w:eastAsia="Arial" w:hAnsi="Arial"/>
          <w:sz w:val="16"/>
          <w:szCs w:val="16"/>
          <w:color w:val="auto"/>
        </w:rPr>
      </w:pPr>
      <w:r>
        <w:rPr>
          <w:rFonts w:ascii="Arial" w:cs="Arial" w:eastAsia="Arial" w:hAnsi="Arial"/>
          <w:sz w:val="16"/>
          <w:szCs w:val="16"/>
          <w:u w:val="single" w:color="auto"/>
          <w:color w:val="auto"/>
        </w:rPr>
        <w:t>Change in Business or Credit and Collection Policy</w:t>
      </w:r>
      <w:r>
        <w:rPr>
          <w:rFonts w:ascii="Arial" w:cs="Arial" w:eastAsia="Arial" w:hAnsi="Arial"/>
          <w:sz w:val="16"/>
          <w:szCs w:val="16"/>
          <w:color w:val="auto"/>
        </w:rPr>
        <w:t>. The Servicer and, to the extent that it ceases to be the Servicer, WESCO, shall not make (and shall not permit any Originator to make) any change in (i) the character of its business or (ii) in any Credit and Collection Policy that would have a Material Adverse Effect. The Servicer and, to the extent that it ceases to be the Servicer, WESCO, shall not make (and shall not permit any Originator to make) any other change in any Credit and Collection Policy without giving prior written notice thereof to the Administrator and each Purchaser Agent.</w:t>
      </w:r>
    </w:p>
    <w:p>
      <w:pPr>
        <w:spacing w:after="0" w:line="157" w:lineRule="exact"/>
        <w:rPr>
          <w:rFonts w:ascii="Arial" w:cs="Arial" w:eastAsia="Arial" w:hAnsi="Arial"/>
          <w:sz w:val="16"/>
          <w:szCs w:val="16"/>
          <w:color w:val="auto"/>
        </w:rPr>
      </w:pPr>
    </w:p>
    <w:p>
      <w:pPr>
        <w:ind w:left="4" w:right="120" w:firstLine="436"/>
        <w:spacing w:after="0" w:line="287" w:lineRule="auto"/>
        <w:tabs>
          <w:tab w:leader="none" w:pos="669" w:val="left"/>
        </w:tabs>
        <w:numPr>
          <w:ilvl w:val="1"/>
          <w:numId w:val="347"/>
        </w:numPr>
        <w:rPr>
          <w:rFonts w:ascii="Arial" w:cs="Arial" w:eastAsia="Arial" w:hAnsi="Arial"/>
          <w:sz w:val="16"/>
          <w:szCs w:val="16"/>
          <w:color w:val="auto"/>
        </w:rPr>
      </w:pPr>
      <w:r>
        <w:rPr>
          <w:rFonts w:ascii="Arial" w:cs="Arial" w:eastAsia="Arial" w:hAnsi="Arial"/>
          <w:sz w:val="16"/>
          <w:szCs w:val="16"/>
          <w:u w:val="single" w:color="auto"/>
          <w:color w:val="auto"/>
        </w:rPr>
        <w:t>Audits</w:t>
      </w:r>
      <w:r>
        <w:rPr>
          <w:rFonts w:ascii="Arial" w:cs="Arial" w:eastAsia="Arial" w:hAnsi="Arial"/>
          <w:sz w:val="16"/>
          <w:szCs w:val="16"/>
          <w:color w:val="auto"/>
        </w:rPr>
        <w:t>. The Servicer and, to the extent that it ceases to be the Servicer, WESCO, shall (and shall cause each Originator to), from time to time during regular business hours, but no more frequently than annually unless (w) a Termination Event or Unmatured Termination Event has occurred and is continuing, (x) WESCO or Holdings ceases to have a rating of at least “B-” by Standard and Poor’s on its respective corporate credit rating,</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348"/>
        </w:numPr>
        <w:rPr>
          <w:rFonts w:ascii="Arial" w:cs="Arial" w:eastAsia="Arial" w:hAnsi="Arial"/>
          <w:sz w:val="18"/>
          <w:szCs w:val="18"/>
          <w:color w:val="auto"/>
        </w:rPr>
      </w:pPr>
      <w:r>
        <w:rPr>
          <w:rFonts w:ascii="Arial" w:cs="Arial" w:eastAsia="Arial" w:hAnsi="Arial"/>
          <w:sz w:val="18"/>
          <w:szCs w:val="18"/>
          <w:color w:val="auto"/>
        </w:rPr>
        <w:t>Holdings’ Available Liquidity</w:t>
      </w:r>
    </w:p>
    <w:p>
      <w:pPr>
        <w:sectPr>
          <w:pgSz w:w="11900" w:h="16838" w:orient="portrait"/>
          <w:cols w:equalWidth="0" w:num="1">
            <w:col w:w="11004"/>
          </w:cols>
          <w:pgMar w:left="436" w:top="274" w:right="459" w:bottom="1440" w:gutter="0" w:footer="0" w:header="0"/>
        </w:sectPr>
      </w:pPr>
    </w:p>
    <w:bookmarkStart w:id="292" w:name="page293"/>
    <w:bookmarkEnd w:id="292"/>
    <w:p>
      <w:pPr>
        <w:ind w:left="4"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fails to exceed $100,000,000 or (z) in the opinion of the Administrator (with the consent or at the direction of any of the Purchasers) reasonable grounds for insecurity exist with respect to the collectibility of a material portion of the Pool Receivables or with respect to the Servicer’s performance or ability to perform in any material respect its obligations under this Agreement, as reasonably requested in advance (unless a Termination Event or Unmatured Termination Event exists) by the Administrator, permit the Administrator, or its agents or representatives, at the Servicer’s expense: (i) to examine and make copies of and abstracts from all books, records and documents (including computer tapes and disks) in its possession or under its control relating to Receivables and the Related Security, including the related Contracts; and (ii) to visit its offices and properties for the purpose of examining such materials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and to discuss matters relating to Receivables and the Related Security or its performance hereunder or under the Contracts with any of its officers, employees, agents or contractors having knowledge of such matters.</w:t>
      </w:r>
    </w:p>
    <w:p>
      <w:pPr>
        <w:spacing w:after="0" w:line="165" w:lineRule="exact"/>
        <w:rPr>
          <w:sz w:val="20"/>
          <w:szCs w:val="20"/>
          <w:color w:val="auto"/>
        </w:rPr>
      </w:pPr>
    </w:p>
    <w:p>
      <w:pPr>
        <w:ind w:left="4" w:right="100" w:firstLine="436"/>
        <w:spacing w:after="0" w:line="255" w:lineRule="auto"/>
        <w:tabs>
          <w:tab w:leader="none" w:pos="699" w:val="left"/>
        </w:tabs>
        <w:numPr>
          <w:ilvl w:val="1"/>
          <w:numId w:val="349"/>
        </w:numPr>
        <w:rPr>
          <w:rFonts w:ascii="Arial" w:cs="Arial" w:eastAsia="Arial" w:hAnsi="Arial"/>
          <w:sz w:val="18"/>
          <w:szCs w:val="18"/>
          <w:color w:val="auto"/>
        </w:rPr>
      </w:pPr>
      <w:r>
        <w:rPr>
          <w:rFonts w:ascii="Arial" w:cs="Arial" w:eastAsia="Arial" w:hAnsi="Arial"/>
          <w:sz w:val="18"/>
          <w:szCs w:val="18"/>
          <w:u w:val="single" w:color="auto"/>
          <w:color w:val="auto"/>
        </w:rPr>
        <w:t>Change in Lock-Box Banks, Lock-Box Accounts and Payment Instructions to Obligors</w:t>
      </w:r>
      <w:r>
        <w:rPr>
          <w:rFonts w:ascii="Arial" w:cs="Arial" w:eastAsia="Arial" w:hAnsi="Arial"/>
          <w:sz w:val="18"/>
          <w:szCs w:val="18"/>
          <w:color w:val="auto"/>
        </w:rPr>
        <w:t>. The Servicer and, to the extent that it ceases to be the Servicer, WESCO, shall not (and shall not permit any Originator to) add or terminate any bank as a Lock-Box Bank or any account as a Lock-Box Account from those listed in the Lock-Box Schedule Letter Agreement, or make any change in its instructions to Obligors regarding payments to be made to the Servicer or any Lock-Box Account (or related post office box), unless the Administrator shall have consented thereto in writing and the Administrator shall have received copies of all agreements and documents (including Lock-Box Agreements) that it may request in connection therewith.</w:t>
      </w:r>
    </w:p>
    <w:p>
      <w:pPr>
        <w:spacing w:after="0" w:line="192" w:lineRule="exact"/>
        <w:rPr>
          <w:rFonts w:ascii="Arial" w:cs="Arial" w:eastAsia="Arial" w:hAnsi="Arial"/>
          <w:sz w:val="18"/>
          <w:szCs w:val="18"/>
          <w:color w:val="auto"/>
        </w:rPr>
      </w:pPr>
    </w:p>
    <w:p>
      <w:pPr>
        <w:ind w:left="4" w:firstLine="436"/>
        <w:spacing w:after="0" w:line="283" w:lineRule="auto"/>
        <w:tabs>
          <w:tab w:leader="none" w:pos="699" w:val="left"/>
        </w:tabs>
        <w:numPr>
          <w:ilvl w:val="1"/>
          <w:numId w:val="349"/>
        </w:numPr>
        <w:rPr>
          <w:rFonts w:ascii="Arial" w:cs="Arial" w:eastAsia="Arial" w:hAnsi="Arial"/>
          <w:sz w:val="16"/>
          <w:szCs w:val="16"/>
          <w:color w:val="auto"/>
        </w:rPr>
      </w:pPr>
      <w:r>
        <w:rPr>
          <w:rFonts w:ascii="Arial" w:cs="Arial" w:eastAsia="Arial" w:hAnsi="Arial"/>
          <w:sz w:val="16"/>
          <w:szCs w:val="16"/>
          <w:u w:val="single" w:color="auto"/>
          <w:color w:val="auto"/>
        </w:rPr>
        <w:t>Deposits to Lock-Box Accounts</w:t>
      </w:r>
      <w:r>
        <w:rPr>
          <w:rFonts w:ascii="Arial" w:cs="Arial" w:eastAsia="Arial" w:hAnsi="Arial"/>
          <w:sz w:val="16"/>
          <w:szCs w:val="16"/>
          <w:color w:val="auto"/>
        </w:rPr>
        <w:t xml:space="preserve">. The Servicer shall: (i) instruct all Obligors to make payments of all Receivables to one or more Lock-Box Accounts or to post office boxes to which only Lock-Box Banks have access (and shall instruct the Lock-Box Banks to cause all items and amounts relating to such Receivables received in such post office boxes to be removed and deposited into a Lock-Box Account on a daily basis); (ii) deposit, or cause to be deposited, any Collections received by it into Lock-Box Accounts not later than one Business Day after receipt thereof and (iii) if a Termination Event has occurred and is continuing, directly transfer all Collections received in each Exception Account to a Lock-Box Account (other than an Exception Account) no later than one (1) Business Day following receipt thereof. Except as otherwise agreed to in writing by the Administrator and the Majority Purchasers, each Lock-Box Account shall at all times be subject to a Lock-Box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so long as the Exception Account Conditions are then satisfied with respect to an Exception Account, such Exception Account need not be subject to a Lock-Box Agreement. The Servicer will not deposit or otherwise credit, or cause or permit to be so deposited or credited, to any Lock-Box Account cash or cash proceeds other than Collections;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Servicer may permit (i) collections relating to Excluded Receivables and (ii) such other collections not relating to Receivables as the Administrator may approve in writing, in each case, to be so deposited or credited to any Lock-Box Account so long as</w:t>
      </w:r>
    </w:p>
    <w:p>
      <w:pPr>
        <w:spacing w:after="0" w:line="3" w:lineRule="exact"/>
        <w:rPr>
          <w:rFonts w:ascii="Arial" w:cs="Arial" w:eastAsia="Arial" w:hAnsi="Arial"/>
          <w:sz w:val="16"/>
          <w:szCs w:val="16"/>
          <w:color w:val="auto"/>
        </w:rPr>
      </w:pPr>
    </w:p>
    <w:p>
      <w:pPr>
        <w:ind w:left="4" w:right="200" w:hanging="4"/>
        <w:spacing w:after="0" w:line="260" w:lineRule="auto"/>
        <w:tabs>
          <w:tab w:leader="none" w:pos="259"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amount of such collections does not exceed $15,000,000 for any calendar month and (y) the Administrator has not requested in writing that the Servicer direct obligors relating to such Excluded Receivables to cease making payments to Lock-Box Accounts.</w:t>
      </w:r>
    </w:p>
    <w:p>
      <w:pPr>
        <w:spacing w:after="0" w:line="185" w:lineRule="exact"/>
        <w:rPr>
          <w:rFonts w:ascii="Arial" w:cs="Arial" w:eastAsia="Arial" w:hAnsi="Arial"/>
          <w:sz w:val="18"/>
          <w:szCs w:val="18"/>
          <w:color w:val="auto"/>
        </w:rPr>
      </w:pPr>
    </w:p>
    <w:p>
      <w:pPr>
        <w:ind w:left="4" w:right="20" w:firstLine="436"/>
        <w:spacing w:after="0" w:line="277" w:lineRule="auto"/>
        <w:tabs>
          <w:tab w:leader="none" w:pos="659" w:val="left"/>
        </w:tabs>
        <w:numPr>
          <w:ilvl w:val="1"/>
          <w:numId w:val="350"/>
        </w:numPr>
        <w:rPr>
          <w:rFonts w:ascii="Arial" w:cs="Arial" w:eastAsia="Arial" w:hAnsi="Arial"/>
          <w:sz w:val="18"/>
          <w:szCs w:val="18"/>
          <w:color w:val="auto"/>
        </w:rPr>
      </w:pPr>
      <w:r>
        <w:rPr>
          <w:rFonts w:ascii="Arial" w:cs="Arial" w:eastAsia="Arial" w:hAnsi="Arial"/>
          <w:sz w:val="18"/>
          <w:szCs w:val="18"/>
          <w:u w:val="single" w:color="auto"/>
          <w:color w:val="auto"/>
        </w:rPr>
        <w:t>Reporting Requirements</w:t>
      </w:r>
      <w:r>
        <w:rPr>
          <w:rFonts w:ascii="Arial" w:cs="Arial" w:eastAsia="Arial" w:hAnsi="Arial"/>
          <w:sz w:val="18"/>
          <w:szCs w:val="18"/>
          <w:color w:val="auto"/>
        </w:rPr>
        <w:t>. WESCO shall provide to the Administrator (in multiple copies, if requested by the Administrator) and each Purchaser Agent the following:</w:t>
      </w:r>
    </w:p>
    <w:p>
      <w:pPr>
        <w:sectPr>
          <w:pgSz w:w="11900" w:h="16838" w:orient="portrait"/>
          <w:cols w:equalWidth="0" w:num="1">
            <w:col w:w="11004"/>
          </w:cols>
          <w:pgMar w:left="436" w:top="274" w:right="459" w:bottom="1440" w:gutter="0" w:footer="0" w:header="0"/>
        </w:sectPr>
      </w:pPr>
    </w:p>
    <w:bookmarkStart w:id="293" w:name="page294"/>
    <w:bookmarkEnd w:id="293"/>
    <w:p>
      <w:pPr>
        <w:ind w:left="-419" w:right="60" w:firstLine="419"/>
        <w:spacing w:after="0" w:line="259" w:lineRule="auto"/>
        <w:tabs>
          <w:tab w:leader="none" w:pos="218" w:val="left"/>
        </w:tabs>
        <w:numPr>
          <w:ilvl w:val="0"/>
          <w:numId w:val="3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45 days after the end of the first three quarters of each fiscal year of Holdings, balance sheets of Holdings and its consolidated Subsidiaries as of the end of such quarter and statements of income, retained earnings and cash flow of Holdings and its consolidated Subsidiaries for the period commencing at the end of the previous fiscal year and ending with the end of such quarter, certified by the chief financial officer of such Person;</w:t>
      </w:r>
    </w:p>
    <w:p>
      <w:pPr>
        <w:spacing w:after="0" w:line="78" w:lineRule="exact"/>
        <w:rPr>
          <w:rFonts w:ascii="Arial" w:cs="Arial" w:eastAsia="Arial" w:hAnsi="Arial"/>
          <w:sz w:val="18"/>
          <w:szCs w:val="18"/>
          <w:color w:val="auto"/>
        </w:rPr>
      </w:pPr>
    </w:p>
    <w:p>
      <w:pPr>
        <w:jc w:val="both"/>
        <w:ind w:left="-419" w:right="120" w:firstLine="419"/>
        <w:spacing w:after="0" w:line="342" w:lineRule="auto"/>
        <w:tabs>
          <w:tab w:leader="none" w:pos="268" w:val="left"/>
        </w:tabs>
        <w:numPr>
          <w:ilvl w:val="0"/>
          <w:numId w:val="351"/>
        </w:numPr>
        <w:rPr>
          <w:rFonts w:ascii="Arial" w:cs="Arial" w:eastAsia="Arial" w:hAnsi="Arial"/>
          <w:sz w:val="16"/>
          <w:szCs w:val="16"/>
          <w:color w:val="auto"/>
        </w:rPr>
      </w:pPr>
      <w:r>
        <w:rPr>
          <w:rFonts w:ascii="Arial" w:cs="Arial" w:eastAsia="Arial" w:hAnsi="Arial"/>
          <w:sz w:val="16"/>
          <w:szCs w:val="16"/>
          <w:color w:val="auto"/>
        </w:rPr>
        <w:t>within 90 days after the end of each fiscal year of Holdings, a copy of the annual report for such year for Holdings and its consolidated Subsidiaries, containing financial statements for such year audited by independent certified public accountants of nationally recognized standing;</w:t>
      </w:r>
    </w:p>
    <w:p>
      <w:pPr>
        <w:spacing w:after="0" w:line="15" w:lineRule="exact"/>
        <w:rPr>
          <w:rFonts w:ascii="Arial" w:cs="Arial" w:eastAsia="Arial" w:hAnsi="Arial"/>
          <w:sz w:val="16"/>
          <w:szCs w:val="16"/>
          <w:color w:val="auto"/>
        </w:rPr>
      </w:pPr>
    </w:p>
    <w:p>
      <w:pPr>
        <w:ind w:left="-419" w:right="20" w:firstLine="419"/>
        <w:spacing w:after="0" w:line="269" w:lineRule="auto"/>
        <w:tabs>
          <w:tab w:leader="none" w:pos="318" w:val="left"/>
        </w:tabs>
        <w:numPr>
          <w:ilvl w:val="0"/>
          <w:numId w:val="351"/>
        </w:numPr>
        <w:rPr>
          <w:rFonts w:ascii="Arial" w:cs="Arial" w:eastAsia="Arial" w:hAnsi="Arial"/>
          <w:sz w:val="17"/>
          <w:szCs w:val="17"/>
          <w:color w:val="auto"/>
        </w:rPr>
      </w:pPr>
      <w:r>
        <w:rPr>
          <w:rFonts w:ascii="Arial" w:cs="Arial" w:eastAsia="Arial" w:hAnsi="Arial"/>
          <w:sz w:val="17"/>
          <w:szCs w:val="17"/>
          <w:color w:val="auto"/>
        </w:rPr>
        <w:t xml:space="preserve">as to the Servicer only, not later than 2 days prior to the Settlement Date in such month, an Information Package for such period, including a calculation (with reasonable detail with respect to such calculation) of Available Liquidity as of the last day of the preceding calendar month;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if the Purchased Interest as reported in the most recently delivered Information Package or Daily Report exceeds 75%, within two (2) Business Days of the Administrator’s request thereof, the Servicer shall provide (x) a Daily Report calculated as of the Business Day immediately preceding delivery thereof and (y) such other information as shall be reasonably requested by the Administrator in its sole discretion regarding Collections and originations of Receivables and (B) if (x) WESCO or Holdings shall cease to have a rating of at least “B-” by Standard &amp; Poor’s on its respective corporate credit rating or (y) Holdings’ Available Liquidity fails to exceed $100,000,000, the Servicer shall provide (i) if requested by the Administrator or any Purchaser Agent, in each case in such Person’s sole discretion, an Information Package on the first Business Day of each calendar week and (ii) such information as shall be requested by the Administrator in its sole discretion regarding Collections to the Administrator on a daily basis;</w:t>
      </w:r>
    </w:p>
    <w:p>
      <w:pPr>
        <w:spacing w:after="0" w:line="77" w:lineRule="exact"/>
        <w:rPr>
          <w:rFonts w:ascii="Arial" w:cs="Arial" w:eastAsia="Arial" w:hAnsi="Arial"/>
          <w:sz w:val="17"/>
          <w:szCs w:val="17"/>
          <w:color w:val="auto"/>
        </w:rPr>
      </w:pPr>
    </w:p>
    <w:p>
      <w:pPr>
        <w:jc w:val="both"/>
        <w:ind w:left="-419" w:right="20" w:firstLine="419"/>
        <w:spacing w:after="0" w:line="263" w:lineRule="auto"/>
        <w:tabs>
          <w:tab w:leader="none" w:pos="30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within five days after becoming aware of the occurrence of each Termination Event or Unmatured Termination Event, a statement of the chief financial officer of WESCO setting forth details of such Termination Event or Unmatured Termination Event and the action that such Person has taken and proposes to take with respect thereto;</w:t>
      </w:r>
    </w:p>
    <w:p>
      <w:pPr>
        <w:spacing w:after="0" w:line="75" w:lineRule="exact"/>
        <w:rPr>
          <w:rFonts w:ascii="Arial" w:cs="Arial" w:eastAsia="Arial" w:hAnsi="Arial"/>
          <w:sz w:val="18"/>
          <w:szCs w:val="18"/>
          <w:color w:val="auto"/>
        </w:rPr>
      </w:pPr>
    </w:p>
    <w:p>
      <w:pPr>
        <w:ind w:left="-419" w:firstLine="419"/>
        <w:spacing w:after="0" w:line="279" w:lineRule="auto"/>
        <w:tabs>
          <w:tab w:leader="none" w:pos="258" w:val="left"/>
        </w:tabs>
        <w:numPr>
          <w:ilvl w:val="0"/>
          <w:numId w:val="351"/>
        </w:numPr>
        <w:rPr>
          <w:rFonts w:ascii="Arial" w:cs="Arial" w:eastAsia="Arial" w:hAnsi="Arial"/>
          <w:sz w:val="17"/>
          <w:szCs w:val="17"/>
          <w:color w:val="auto"/>
        </w:rPr>
      </w:pPr>
      <w:r>
        <w:rPr>
          <w:rFonts w:ascii="Arial" w:cs="Arial" w:eastAsia="Arial" w:hAnsi="Arial"/>
          <w:sz w:val="17"/>
          <w:szCs w:val="17"/>
          <w:color w:val="auto"/>
        </w:rPr>
        <w:t xml:space="preserve">promptly after the sending or filing thereof, copies of all reports that WESCO or Holdings sends to any of their respective security holders, and copies of all reports and registration statements that WESCO, Holdings or any of their respective Subsidiaries files with the Securities and Exchange Commission or any national securities exchange; </w:t>
      </w:r>
      <w:r>
        <w:rPr>
          <w:rFonts w:ascii="Arial" w:cs="Arial" w:eastAsia="Arial" w:hAnsi="Arial"/>
          <w:sz w:val="17"/>
          <w:szCs w:val="17"/>
          <w:u w:val="single" w:color="auto"/>
          <w:color w:val="auto"/>
        </w:rPr>
        <w:t>provided</w:t>
      </w:r>
      <w:r>
        <w:rPr>
          <w:rFonts w:ascii="Arial" w:cs="Arial" w:eastAsia="Arial" w:hAnsi="Arial"/>
          <w:sz w:val="17"/>
          <w:szCs w:val="17"/>
          <w:color w:val="auto"/>
        </w:rPr>
        <w:t>, that any filings with the Securities and Exchange Commission that have been granted “confidential” treatment shall be provided promptly after such filings have become publicly available;</w:t>
      </w:r>
    </w:p>
    <w:p>
      <w:pPr>
        <w:spacing w:after="0" w:line="63" w:lineRule="exact"/>
        <w:rPr>
          <w:rFonts w:ascii="Arial" w:cs="Arial" w:eastAsia="Arial" w:hAnsi="Arial"/>
          <w:sz w:val="17"/>
          <w:szCs w:val="17"/>
          <w:color w:val="auto"/>
        </w:rPr>
      </w:pPr>
    </w:p>
    <w:p>
      <w:pPr>
        <w:ind w:left="-419" w:right="40" w:firstLine="419"/>
        <w:spacing w:after="0" w:line="277" w:lineRule="auto"/>
        <w:tabs>
          <w:tab w:leader="none" w:pos="30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promptly after the filing or receiving thereof, copies of all material reports and notices that WESCO, Holdings or any of their respective Affiliates files under ERISA</w:t>
      </w:r>
    </w:p>
    <w:p>
      <w:pPr>
        <w:sectPr>
          <w:pgSz w:w="11900" w:h="16838" w:orient="portrait"/>
          <w:cols w:equalWidth="0" w:num="1">
            <w:col w:w="10141"/>
          </w:cols>
          <w:pgMar w:left="1299" w:top="274" w:right="459" w:bottom="1440" w:gutter="0" w:footer="0" w:header="0"/>
        </w:sectPr>
      </w:pPr>
    </w:p>
    <w:bookmarkStart w:id="294" w:name="page295"/>
    <w:bookmarkEnd w:id="29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the Internal Revenue Service, the Pension Benefit Guaranty Corporation or the U.S. Department of Labor or that such Person or any of its Affiliates receives from any of the foregoing or from any multiemployer plan (within the meaning of Section 4001(a)(3) of ERISA) to which such Person or any of its Affiliate is or was, within the preceding five years, a contributing employer, in each case in respect of the assessment of withdrawal liability or an event or condition that could, in the aggregate, result in the imposition of liability on WESCO, Holdings and/or any such Affiliate;</w:t>
      </w:r>
    </w:p>
    <w:p>
      <w:pPr>
        <w:spacing w:after="0" w:line="80" w:lineRule="exact"/>
        <w:rPr>
          <w:sz w:val="20"/>
          <w:szCs w:val="20"/>
          <w:color w:val="auto"/>
        </w:rPr>
      </w:pPr>
    </w:p>
    <w:p>
      <w:pPr>
        <w:ind w:right="200" w:firstLine="419"/>
        <w:spacing w:after="0" w:line="263" w:lineRule="auto"/>
        <w:tabs>
          <w:tab w:leader="none" w:pos="778"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at least thirty days (or such shorter period as agreed to in writing by the Administrator) before any change in WESCO’s, Holdings’ or any Originator’s name or any other change requiring the amendment of UCC financing statements, a notice setting forth such changes and the effective date thereof;</w:t>
      </w:r>
    </w:p>
    <w:p>
      <w:pPr>
        <w:spacing w:after="0" w:line="75" w:lineRule="exact"/>
        <w:rPr>
          <w:rFonts w:ascii="Arial" w:cs="Arial" w:eastAsia="Arial" w:hAnsi="Arial"/>
          <w:sz w:val="18"/>
          <w:szCs w:val="18"/>
          <w:color w:val="auto"/>
        </w:rPr>
      </w:pPr>
    </w:p>
    <w:p>
      <w:pPr>
        <w:ind w:firstLine="419"/>
        <w:spacing w:after="0" w:line="296" w:lineRule="auto"/>
        <w:tabs>
          <w:tab w:leader="none" w:pos="828" w:val="left"/>
        </w:tabs>
        <w:numPr>
          <w:ilvl w:val="0"/>
          <w:numId w:val="352"/>
        </w:numPr>
        <w:rPr>
          <w:rFonts w:ascii="Arial" w:cs="Arial" w:eastAsia="Arial" w:hAnsi="Arial"/>
          <w:sz w:val="16"/>
          <w:szCs w:val="16"/>
          <w:color w:val="auto"/>
        </w:rPr>
      </w:pPr>
      <w:r>
        <w:rPr>
          <w:rFonts w:ascii="Arial" w:cs="Arial" w:eastAsia="Arial" w:hAnsi="Arial"/>
          <w:sz w:val="16"/>
          <w:szCs w:val="16"/>
          <w:color w:val="auto"/>
        </w:rPr>
        <w:t>promptly after WESCO or Holdings obtains knowledge thereof, notice of any: (A) litigation, investigation or proceeding that may exist at any time between WESCO, Holdings or any of their respective Subsidiaries and any Governmental Authority that, if not cured or if adversely determined, as the case may be, would have a Material Adverse Effect; (B) litigation or proceeding adversely affecting such Person or any of its Subsidiaries in which (x) the amount involved is $50,000,000 or more and not covered by insurance or (y) injunctive or similar relief is sought which could reasonably be expect to have a Material Adverse Effect; or (C) litigation or proceeding relating to any Transaction Document;</w:t>
      </w:r>
    </w:p>
    <w:p>
      <w:pPr>
        <w:spacing w:after="0" w:line="53" w:lineRule="exact"/>
        <w:rPr>
          <w:rFonts w:ascii="Arial" w:cs="Arial" w:eastAsia="Arial" w:hAnsi="Arial"/>
          <w:sz w:val="16"/>
          <w:szCs w:val="16"/>
          <w:color w:val="auto"/>
        </w:rPr>
      </w:pPr>
    </w:p>
    <w:p>
      <w:pPr>
        <w:ind w:right="400" w:firstLine="419"/>
        <w:spacing w:after="0" w:line="277" w:lineRule="auto"/>
        <w:tabs>
          <w:tab w:leader="none" w:pos="728" w:val="left"/>
        </w:tabs>
        <w:numPr>
          <w:ilvl w:val="0"/>
          <w:numId w:val="352"/>
        </w:numPr>
        <w:rPr>
          <w:rFonts w:ascii="Arial" w:cs="Arial" w:eastAsia="Arial" w:hAnsi="Arial"/>
          <w:sz w:val="18"/>
          <w:szCs w:val="18"/>
          <w:color w:val="auto"/>
        </w:rPr>
      </w:pPr>
      <w:r>
        <w:rPr>
          <w:rFonts w:ascii="Arial" w:cs="Arial" w:eastAsia="Arial" w:hAnsi="Arial"/>
          <w:sz w:val="18"/>
          <w:szCs w:val="18"/>
          <w:color w:val="auto"/>
        </w:rPr>
        <w:t>promptly after the occurrence thereof, notice of a material adverse change in the business, operations, property or financial or other condition of WESCO, Holdings or any of their respective Subsidiaries;</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promptly after the occurrence thereof, notice of any downgrade of WESCO or Holdings;</w:t>
      </w:r>
    </w:p>
    <w:p>
      <w:pPr>
        <w:spacing w:after="0" w:line="117" w:lineRule="exact"/>
        <w:rPr>
          <w:rFonts w:ascii="Arial" w:cs="Arial" w:eastAsia="Arial" w:hAnsi="Arial"/>
          <w:sz w:val="18"/>
          <w:szCs w:val="18"/>
          <w:color w:val="auto"/>
        </w:rPr>
      </w:pPr>
    </w:p>
    <w:p>
      <w:pPr>
        <w:ind w:right="40" w:firstLine="419"/>
        <w:spacing w:after="0" w:line="277" w:lineRule="auto"/>
        <w:tabs>
          <w:tab w:leader="none" w:pos="728" w:val="left"/>
        </w:tabs>
        <w:numPr>
          <w:ilvl w:val="0"/>
          <w:numId w:val="352"/>
        </w:numPr>
        <w:rPr>
          <w:rFonts w:ascii="Arial" w:cs="Arial" w:eastAsia="Arial" w:hAnsi="Arial"/>
          <w:sz w:val="18"/>
          <w:szCs w:val="18"/>
          <w:color w:val="auto"/>
        </w:rPr>
      </w:pPr>
      <w:r>
        <w:rPr>
          <w:rFonts w:ascii="Arial" w:cs="Arial" w:eastAsia="Arial" w:hAnsi="Arial"/>
          <w:sz w:val="18"/>
          <w:szCs w:val="18"/>
          <w:color w:val="auto"/>
        </w:rPr>
        <w:t>such other information respecting the Receivables or the condition or operations, financial or otherwise, of WESCO, Holdings or any of their respective Affiliates as the Administrator or any Purchaser Agent may from time to time reasonably request;</w:t>
      </w:r>
    </w:p>
    <w:p>
      <w:pPr>
        <w:spacing w:after="0" w:line="62" w:lineRule="exact"/>
        <w:rPr>
          <w:rFonts w:ascii="Arial" w:cs="Arial" w:eastAsia="Arial" w:hAnsi="Arial"/>
          <w:sz w:val="18"/>
          <w:szCs w:val="18"/>
          <w:color w:val="auto"/>
        </w:rPr>
      </w:pPr>
    </w:p>
    <w:p>
      <w:pPr>
        <w:ind w:right="320" w:firstLine="419"/>
        <w:spacing w:after="0" w:line="277" w:lineRule="auto"/>
        <w:tabs>
          <w:tab w:leader="none" w:pos="778" w:val="left"/>
        </w:tabs>
        <w:numPr>
          <w:ilvl w:val="0"/>
          <w:numId w:val="352"/>
        </w:numPr>
        <w:rPr>
          <w:rFonts w:ascii="Arial" w:cs="Arial" w:eastAsia="Arial" w:hAnsi="Arial"/>
          <w:sz w:val="18"/>
          <w:szCs w:val="18"/>
          <w:color w:val="auto"/>
        </w:rPr>
      </w:pPr>
      <w:r>
        <w:rPr>
          <w:rFonts w:ascii="Arial" w:cs="Arial" w:eastAsia="Arial" w:hAnsi="Arial"/>
          <w:sz w:val="18"/>
          <w:szCs w:val="18"/>
          <w:color w:val="auto"/>
        </w:rPr>
        <w:t>promptly after the occurrence thereof, notice of any material acquisition or investment by WESCO or Holdings of or in any Person, business or operation;</w:t>
      </w:r>
    </w:p>
    <w:p>
      <w:pPr>
        <w:spacing w:after="0" w:line="62" w:lineRule="exact"/>
        <w:rPr>
          <w:rFonts w:ascii="Arial" w:cs="Arial" w:eastAsia="Arial" w:hAnsi="Arial"/>
          <w:sz w:val="18"/>
          <w:szCs w:val="18"/>
          <w:color w:val="auto"/>
        </w:rPr>
      </w:pPr>
    </w:p>
    <w:p>
      <w:pPr>
        <w:ind w:right="40" w:firstLine="419"/>
        <w:spacing w:after="0" w:line="296" w:lineRule="auto"/>
        <w:tabs>
          <w:tab w:leader="none" w:pos="828" w:val="left"/>
        </w:tabs>
        <w:numPr>
          <w:ilvl w:val="0"/>
          <w:numId w:val="352"/>
        </w:numPr>
        <w:rPr>
          <w:rFonts w:ascii="Arial" w:cs="Arial" w:eastAsia="Arial" w:hAnsi="Arial"/>
          <w:sz w:val="16"/>
          <w:szCs w:val="16"/>
          <w:color w:val="auto"/>
        </w:rPr>
      </w:pPr>
      <w:r>
        <w:rPr>
          <w:rFonts w:ascii="Arial" w:cs="Arial" w:eastAsia="Arial" w:hAnsi="Arial"/>
          <w:sz w:val="16"/>
          <w:szCs w:val="16"/>
          <w:color w:val="auto"/>
        </w:rPr>
        <w:t>on or before 30 days prior to each anniversary of the Closing Date, the Servicer shall, at its own expense, cause an independent auditor acceptable to the Administrator and each Purchaser Agent to furnish to WESCO, the Administrator and each Purchaser Agent, (A) a report in a format acceptable to each Purchaser Agent, to the effect that they have (1) reviewed and audited WESCO’s and Holdings’ books, records and servicing procedures, (2) performed testing of a statistically significant sample of Receivables and each Information Package and Daily Report generated during such fiscal year then ended, and describing the results of such review and testing, and (3) during such</w:t>
      </w:r>
    </w:p>
    <w:p>
      <w:pPr>
        <w:sectPr>
          <w:pgSz w:w="11900" w:h="16838" w:orient="portrait"/>
          <w:cols w:equalWidth="0" w:num="1">
            <w:col w:w="10560"/>
          </w:cols>
          <w:pgMar w:left="880" w:top="274" w:right="459" w:bottom="1440" w:gutter="0" w:footer="0" w:header="0"/>
        </w:sectPr>
      </w:pPr>
    </w:p>
    <w:bookmarkStart w:id="295" w:name="page296"/>
    <w:bookmarkEnd w:id="295"/>
    <w:p>
      <w:pPr>
        <w:ind w:left="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review and testing, not discovered any deviations (other than those described in the report) from the Credit and Collection Policy, and (B) a report in a format acceptable to each Purchaser Agent to the effect that they have applied certain procedures agreed upon with the Servicer, the Administrator and each Purchaser Agent and examined certain documents and records relating to the servicing of Receivables under this Agreement, and that, based upon such agreed upon procedures, nothing has come to the attention of such auditors that caused them to believe such servicing (including without limitation, the allocation of Collections) has not been conducted in compliance with the terms and conditions set forth herein, except for such exceptions as they believe to be immaterial and such other exceptions as shall be set forth in such statement. In addition, each report shall set forth the agreed upon procedures performed (it being understood and agreed that in any year, a field audit performed by the Administrator or its agents or representatives pursuant to </w:t>
      </w:r>
      <w:r>
        <w:rPr>
          <w:rFonts w:ascii="Arial" w:cs="Arial" w:eastAsia="Arial" w:hAnsi="Arial"/>
          <w:sz w:val="17"/>
          <w:szCs w:val="17"/>
          <w:u w:val="single" w:color="auto"/>
          <w:color w:val="auto"/>
        </w:rPr>
        <w:t>Section 2(f)</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Exhibit IV</w:t>
      </w:r>
      <w:r>
        <w:rPr>
          <w:rFonts w:ascii="Arial" w:cs="Arial" w:eastAsia="Arial" w:hAnsi="Arial"/>
          <w:sz w:val="17"/>
          <w:szCs w:val="17"/>
          <w:color w:val="auto"/>
        </w:rPr>
        <w:t xml:space="preserve"> may, with the prior consent of the Administrator and the Majority Purchasers, satisfy the requirements of this </w:t>
      </w:r>
      <w:r>
        <w:rPr>
          <w:rFonts w:ascii="Arial" w:cs="Arial" w:eastAsia="Arial" w:hAnsi="Arial"/>
          <w:sz w:val="17"/>
          <w:szCs w:val="17"/>
          <w:u w:val="single" w:color="auto"/>
          <w:color w:val="auto"/>
        </w:rPr>
        <w:t>clause (xiii)</w:t>
      </w:r>
      <w:r>
        <w:rPr>
          <w:rFonts w:ascii="Arial" w:cs="Arial" w:eastAsia="Arial" w:hAnsi="Arial"/>
          <w:sz w:val="17"/>
          <w:szCs w:val="17"/>
          <w:color w:val="auto"/>
        </w:rPr>
        <w:t>);</w:t>
      </w:r>
    </w:p>
    <w:p>
      <w:pPr>
        <w:spacing w:after="0" w:line="73" w:lineRule="exact"/>
        <w:rPr>
          <w:sz w:val="20"/>
          <w:szCs w:val="20"/>
          <w:color w:val="auto"/>
        </w:rPr>
      </w:pPr>
    </w:p>
    <w:p>
      <w:pPr>
        <w:ind w:left="4" w:right="340" w:firstLine="419"/>
        <w:spacing w:after="0" w:line="342" w:lineRule="auto"/>
        <w:tabs>
          <w:tab w:leader="none" w:pos="821" w:val="left"/>
        </w:tabs>
        <w:numPr>
          <w:ilvl w:val="0"/>
          <w:numId w:val="353"/>
        </w:numPr>
        <w:rPr>
          <w:rFonts w:ascii="Arial" w:cs="Arial" w:eastAsia="Arial" w:hAnsi="Arial"/>
          <w:sz w:val="16"/>
          <w:szCs w:val="16"/>
          <w:color w:val="auto"/>
        </w:rPr>
      </w:pPr>
      <w:r>
        <w:rPr>
          <w:rFonts w:ascii="Arial" w:cs="Arial" w:eastAsia="Arial" w:hAnsi="Arial"/>
          <w:sz w:val="16"/>
          <w:szCs w:val="16"/>
          <w:color w:val="auto"/>
        </w:rPr>
        <w:t>not later than 30 days after the end of each month (other than months which are the last month of a calendar quarter) and within 45 days of the end of each calendar quarter, management prepared unaudited financial statements of Holdings and its consolidated Subsidiaries;</w:t>
      </w:r>
    </w:p>
    <w:p>
      <w:pPr>
        <w:spacing w:after="0" w:line="15" w:lineRule="exact"/>
        <w:rPr>
          <w:rFonts w:ascii="Arial" w:cs="Arial" w:eastAsia="Arial" w:hAnsi="Arial"/>
          <w:sz w:val="16"/>
          <w:szCs w:val="16"/>
          <w:color w:val="auto"/>
        </w:rPr>
      </w:pPr>
    </w:p>
    <w:p>
      <w:pPr>
        <w:ind w:left="4" w:right="40" w:firstLine="419"/>
        <w:spacing w:after="0" w:line="279" w:lineRule="auto"/>
        <w:tabs>
          <w:tab w:leader="none" w:pos="771" w:val="left"/>
        </w:tabs>
        <w:numPr>
          <w:ilvl w:val="0"/>
          <w:numId w:val="353"/>
        </w:numPr>
        <w:rPr>
          <w:rFonts w:ascii="Arial" w:cs="Arial" w:eastAsia="Arial" w:hAnsi="Arial"/>
          <w:sz w:val="17"/>
          <w:szCs w:val="17"/>
          <w:color w:val="auto"/>
        </w:rPr>
      </w:pPr>
      <w:r>
        <w:rPr>
          <w:rFonts w:ascii="Arial" w:cs="Arial" w:eastAsia="Arial" w:hAnsi="Arial"/>
          <w:sz w:val="17"/>
          <w:szCs w:val="17"/>
          <w:color w:val="auto"/>
        </w:rPr>
        <w:t>any information available to WESCO or any of its Affiliates reasonably requested by the Administrator or any Purchaser in order to assist any Purchaser in complying with any of its obligations under Article 5 of the EU Securitisation Regulation or Article 5 of the UK Securitisation Regulation, as applicable, and any other due diligence provision of the EU Securitisation Regulation Rules or the UK Securitisation Regulation Rules, as applicable, in relation to the Transaction Documents and the transactions contemplated thereby; and</w:t>
      </w:r>
    </w:p>
    <w:p>
      <w:pPr>
        <w:spacing w:after="0" w:line="63" w:lineRule="exact"/>
        <w:rPr>
          <w:rFonts w:ascii="Arial" w:cs="Arial" w:eastAsia="Arial" w:hAnsi="Arial"/>
          <w:sz w:val="17"/>
          <w:szCs w:val="17"/>
          <w:color w:val="auto"/>
        </w:rPr>
      </w:pPr>
    </w:p>
    <w:p>
      <w:pPr>
        <w:jc w:val="both"/>
        <w:ind w:left="4" w:right="100" w:firstLine="419"/>
        <w:spacing w:after="0" w:line="259" w:lineRule="auto"/>
        <w:tabs>
          <w:tab w:leader="none" w:pos="821" w:val="left"/>
        </w:tabs>
        <w:numPr>
          <w:ilvl w:val="0"/>
          <w:numId w:val="353"/>
        </w:numPr>
        <w:rPr>
          <w:rFonts w:ascii="Arial" w:cs="Arial" w:eastAsia="Arial" w:hAnsi="Arial"/>
          <w:sz w:val="18"/>
          <w:szCs w:val="18"/>
          <w:color w:val="auto"/>
        </w:rPr>
      </w:pPr>
      <w:r>
        <w:rPr>
          <w:rFonts w:ascii="Arial" w:cs="Arial" w:eastAsia="Arial" w:hAnsi="Arial"/>
          <w:sz w:val="18"/>
          <w:szCs w:val="18"/>
          <w:color w:val="auto"/>
        </w:rPr>
        <w:t>solely to the extent such data is reasonably available to WESCO or any of its Affiliates without additional burden or out-of-pocket expense, information regarding the Receivables as any Purchaser may reasonably request in connection with the analysis by such Purchaser of capital treatment under the accord known as Basel II, Basel III or other regulatory capital guidelines as relates to the transactions contemplated in the Transaction Documents.</w:t>
      </w:r>
    </w:p>
    <w:p>
      <w:pPr>
        <w:spacing w:after="0" w:line="79" w:lineRule="exact"/>
        <w:rPr>
          <w:sz w:val="20"/>
          <w:szCs w:val="20"/>
          <w:color w:val="auto"/>
        </w:rPr>
      </w:pPr>
    </w:p>
    <w:p>
      <w:pPr>
        <w:ind w:left="4" w:right="260"/>
        <w:spacing w:after="0" w:line="257" w:lineRule="auto"/>
        <w:rPr>
          <w:sz w:val="20"/>
          <w:szCs w:val="20"/>
          <w:color w:val="auto"/>
        </w:rPr>
      </w:pPr>
      <w:r>
        <w:rPr>
          <w:rFonts w:ascii="Arial" w:cs="Arial" w:eastAsia="Arial" w:hAnsi="Arial"/>
          <w:sz w:val="18"/>
          <w:szCs w:val="18"/>
          <w:color w:val="auto"/>
        </w:rPr>
        <w:t xml:space="preserve">Information required to be delivered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Section shall be deemed to have been delivered if such information, or one or more annual or quarterly reports or current reports containing such information, shall have been posted by the Administrator on a SyndTrak, IntraLinks or similar site to which the Purchasers have been granted access or shall be available on the website of the Securities and Exchange Commission at http://www.sec.gov or on the website of Holdings. Each Purchaser shall be solely responsible for timely accessing posted documents and maintaining its copies of such documents.</w:t>
      </w:r>
    </w:p>
    <w:p>
      <w:pPr>
        <w:spacing w:after="0" w:line="188" w:lineRule="exact"/>
        <w:rPr>
          <w:sz w:val="20"/>
          <w:szCs w:val="20"/>
          <w:color w:val="auto"/>
        </w:rPr>
      </w:pPr>
    </w:p>
    <w:p>
      <w:pPr>
        <w:ind w:left="224" w:hanging="224"/>
        <w:spacing w:after="0"/>
        <w:tabs>
          <w:tab w:leader="none" w:pos="224"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Sanctions and other Anti-Terrorism Laws; Anti-Corruption Laws</w:t>
      </w:r>
      <w:r>
        <w:rPr>
          <w:rFonts w:ascii="Arial" w:cs="Arial" w:eastAsia="Arial" w:hAnsi="Arial"/>
          <w:sz w:val="18"/>
          <w:szCs w:val="18"/>
          <w:color w:val="auto"/>
        </w:rPr>
        <w:t>. The Servicer covenants and agrees that:</w:t>
      </w:r>
    </w:p>
    <w:p>
      <w:pPr>
        <w:sectPr>
          <w:pgSz w:w="11900" w:h="16838" w:orient="portrait"/>
          <w:cols w:equalWidth="0" w:num="1">
            <w:col w:w="10564"/>
          </w:cols>
          <w:pgMar w:left="876" w:top="274" w:right="459" w:bottom="1440" w:gutter="0" w:footer="0" w:header="0"/>
        </w:sectPr>
      </w:pPr>
    </w:p>
    <w:bookmarkStart w:id="296" w:name="page297"/>
    <w:bookmarkEnd w:id="296"/>
    <w:p>
      <w:pPr>
        <w:ind w:left="4" w:right="160" w:firstLine="419"/>
        <w:spacing w:after="0" w:line="263" w:lineRule="auto"/>
        <w:tabs>
          <w:tab w:leader="none" w:pos="641" w:val="left"/>
        </w:tabs>
        <w:numPr>
          <w:ilvl w:val="0"/>
          <w:numId w:val="3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shall, and shall require each other Covered Entity to, conduct its business in compliance with all Anti-Corruption Laws in all material respects and maintain policies and procedures designed, in Servicer’s reasonable business judgment, to ensure compliance with such Anti-Corruption Laws in all material respects;</w:t>
      </w:r>
    </w:p>
    <w:p>
      <w:pPr>
        <w:spacing w:after="0" w:line="75" w:lineRule="exact"/>
        <w:rPr>
          <w:rFonts w:ascii="Arial" w:cs="Arial" w:eastAsia="Arial" w:hAnsi="Arial"/>
          <w:sz w:val="18"/>
          <w:szCs w:val="18"/>
          <w:color w:val="auto"/>
        </w:rPr>
      </w:pPr>
    </w:p>
    <w:p>
      <w:pPr>
        <w:ind w:left="4" w:right="20" w:firstLine="419"/>
        <w:spacing w:after="0" w:line="254" w:lineRule="auto"/>
        <w:tabs>
          <w:tab w:leader="none" w:pos="691"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it and its Subsidiaries will not: (A) become a Sanctioned Person or allow any employees, officers, directors, affiliates, consultants, brokers, or agents acting on its behalf in connection with this Agreement to become a Sanctioned Person; (B) directly, or indirectly through a third party, engage in any transactions or other dealings with or for the benefit of any Sanctioned Person or Sanctioned Jurisdiction, including any use of the proceeds of the Investments to fund any operations in, finance any investments or activities in, or, make any payments to, a Sanctioned Person or Sanctioned Jurisdiction; (C) pay or repay obligations with Embargoed Property or funds derived from any unlawful activity; (D) permit any Pool Assets to become Embargoed Property; or (E) cause any Purchaser or the Administrator to violate any Anti-Terrorism Law in any material respects; and</w:t>
      </w:r>
    </w:p>
    <w:p>
      <w:pPr>
        <w:spacing w:after="0" w:line="86" w:lineRule="exact"/>
        <w:rPr>
          <w:rFonts w:ascii="Arial" w:cs="Arial" w:eastAsia="Arial" w:hAnsi="Arial"/>
          <w:sz w:val="18"/>
          <w:szCs w:val="18"/>
          <w:color w:val="auto"/>
        </w:rPr>
      </w:pPr>
    </w:p>
    <w:p>
      <w:pPr>
        <w:ind w:left="4" w:right="60" w:firstLine="419"/>
        <w:spacing w:after="0" w:line="277" w:lineRule="auto"/>
        <w:tabs>
          <w:tab w:leader="none" w:pos="741"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it will not, and will not permit any its Subsidiaries to, directly or indirectly, use the Investments or any proceeds thereof for any purpose which would breach any Anti-Corruption Laws in any jurisdiction in which any Covered Entity conducts business.</w:t>
      </w:r>
    </w:p>
    <w:p>
      <w:pPr>
        <w:spacing w:after="0" w:line="170" w:lineRule="exact"/>
        <w:rPr>
          <w:sz w:val="20"/>
          <w:szCs w:val="20"/>
          <w:color w:val="auto"/>
        </w:rPr>
      </w:pPr>
    </w:p>
    <w:p>
      <w:pPr>
        <w:ind w:left="-436" w:right="80" w:firstLine="436"/>
        <w:spacing w:after="0" w:line="275" w:lineRule="auto"/>
        <w:tabs>
          <w:tab w:leader="none" w:pos="259" w:val="left"/>
        </w:tabs>
        <w:numPr>
          <w:ilvl w:val="0"/>
          <w:numId w:val="356"/>
        </w:numPr>
        <w:rPr>
          <w:rFonts w:ascii="Arial" w:cs="Arial" w:eastAsia="Arial" w:hAnsi="Arial"/>
          <w:sz w:val="17"/>
          <w:szCs w:val="17"/>
          <w:color w:val="auto"/>
        </w:rPr>
      </w:pPr>
      <w:r>
        <w:rPr>
          <w:rFonts w:ascii="Arial" w:cs="Arial" w:eastAsia="Arial" w:hAnsi="Arial"/>
          <w:sz w:val="17"/>
          <w:szCs w:val="17"/>
          <w:u w:val="single" w:color="auto"/>
          <w:color w:val="auto"/>
        </w:rPr>
        <w:t>Additional Assistance</w:t>
      </w:r>
      <w:r>
        <w:rPr>
          <w:rFonts w:ascii="Arial" w:cs="Arial" w:eastAsia="Arial" w:hAnsi="Arial"/>
          <w:sz w:val="17"/>
          <w:szCs w:val="17"/>
          <w:color w:val="auto"/>
        </w:rPr>
        <w:t>. The Servicer shall use commercially reasonable efforts to take such further action, provide such information and enter into such other agreements not otherwise provided for hereunder as may be reasonably required by the Administrator or any Purchaser in order for any Purchaser to comply with any and all applicable requirements of Article 5 of the EU Securitisation Regulation or Article 5 of the UK Securitisation Regulation and any other due diligence provision of the EU Securitisation Regulation Rules or the UK Securitisation Regulation Rules in relation to the Transaction Documents and the transactions contemplated thereby.</w:t>
      </w:r>
    </w:p>
    <w:p>
      <w:pPr>
        <w:spacing w:after="0" w:line="176" w:lineRule="exact"/>
        <w:rPr>
          <w:sz w:val="20"/>
          <w:szCs w:val="20"/>
          <w:color w:val="auto"/>
        </w:rPr>
      </w:pPr>
    </w:p>
    <w:p>
      <w:pPr>
        <w:ind w:left="-436" w:right="20" w:firstLine="436"/>
        <w:spacing w:after="0" w:line="291" w:lineRule="auto"/>
        <w:tabs>
          <w:tab w:leader="none" w:pos="184"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Separate Existence</w:t>
      </w:r>
      <w:r>
        <w:rPr>
          <w:rFonts w:ascii="Arial" w:cs="Arial" w:eastAsia="Arial" w:hAnsi="Arial"/>
          <w:sz w:val="16"/>
          <w:szCs w:val="16"/>
          <w:color w:val="auto"/>
        </w:rPr>
        <w:t>. Each of the Seller and WESCO hereby acknowledges that the Purchasers, the Purchaser Agents, the Administrator and the Liquidity Providers are entering into the transactions contemplated by this Agreement and the other Transaction Documents in reliance upon the Seller’s identity as a legal entity separate from WESCO and its Affiliates. Therefore, from and after the date hereof, each of the Seller and WESCO shall take all steps specifically required by this Agreement or reasonably required by the Administrator to continue the Seller’s identity as a separate legal entity and to make it apparent to third Persons that the Seller is an entity with assets and liabilities distinct from those of WESCO and any other Person, and is not a division of WESCO, its Affiliates or any other Person. Without limiting the generality of the foregoing and in addition to and consistent with the other covenants set forth herein, each of the Seller and WESCO shall take such actions as shall be required in order that:</w:t>
      </w:r>
    </w:p>
    <w:p>
      <w:pPr>
        <w:spacing w:after="0" w:line="58" w:lineRule="exact"/>
        <w:rPr>
          <w:rFonts w:ascii="Arial" w:cs="Arial" w:eastAsia="Arial" w:hAnsi="Arial"/>
          <w:sz w:val="16"/>
          <w:szCs w:val="16"/>
          <w:color w:val="auto"/>
        </w:rPr>
      </w:pPr>
    </w:p>
    <w:p>
      <w:pPr>
        <w:ind w:left="4" w:firstLine="419"/>
        <w:spacing w:after="0" w:line="263" w:lineRule="auto"/>
        <w:tabs>
          <w:tab w:leader="none" w:pos="671" w:val="left"/>
        </w:tabs>
        <w:numPr>
          <w:ilvl w:val="1"/>
          <w:numId w:val="357"/>
        </w:numPr>
        <w:rPr>
          <w:rFonts w:ascii="Arial" w:cs="Arial" w:eastAsia="Arial" w:hAnsi="Arial"/>
          <w:sz w:val="18"/>
          <w:szCs w:val="18"/>
          <w:color w:val="auto"/>
        </w:rPr>
      </w:pPr>
      <w:r>
        <w:rPr>
          <w:rFonts w:ascii="Arial" w:cs="Arial" w:eastAsia="Arial" w:hAnsi="Arial"/>
          <w:sz w:val="18"/>
          <w:szCs w:val="18"/>
          <w:color w:val="auto"/>
        </w:rPr>
        <w:t>The Seller will be a limited purpose corporation whose primary activities are restricted in its certificate of incorporation to: (i) purchasing or otherwise acquiring from the Originators, owning, holding, granting security interests or selling interests in Pool Assets, (ii) entering into agreements for the selling and servicing of the Receivables Pool,</w:t>
      </w:r>
    </w:p>
    <w:p>
      <w:pPr>
        <w:sectPr>
          <w:pgSz w:w="11900" w:h="16838" w:orient="portrait"/>
          <w:cols w:equalWidth="0" w:num="1">
            <w:col w:w="10564"/>
          </w:cols>
          <w:pgMar w:left="876" w:top="274" w:right="45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(iii) conducting such other activities as it deems necessary or appropriate to carry out its primary activities;</w:t>
      </w:r>
    </w:p>
    <w:p>
      <w:pPr>
        <w:spacing w:after="0" w:line="117" w:lineRule="exact"/>
        <w:rPr>
          <w:sz w:val="20"/>
          <w:szCs w:val="20"/>
          <w:color w:val="auto"/>
        </w:rPr>
      </w:pPr>
    </w:p>
    <w:p>
      <w:pPr>
        <w:ind w:right="340" w:firstLine="419"/>
        <w:spacing w:after="0" w:line="277" w:lineRule="auto"/>
        <w:tabs>
          <w:tab w:leader="none" w:pos="678"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Seller shall not engage in any business or activity, or incur any indebtedness or liability, other than as expressly permitted by the Transaction Documents;</w:t>
      </w:r>
    </w:p>
    <w:p>
      <w:pPr>
        <w:spacing w:after="0" w:line="62" w:lineRule="exact"/>
        <w:rPr>
          <w:rFonts w:ascii="Arial" w:cs="Arial" w:eastAsia="Arial" w:hAnsi="Arial"/>
          <w:sz w:val="18"/>
          <w:szCs w:val="18"/>
          <w:color w:val="auto"/>
        </w:rPr>
      </w:pPr>
    </w:p>
    <w:p>
      <w:pPr>
        <w:ind w:right="100" w:firstLine="419"/>
        <w:spacing w:after="0" w:line="296" w:lineRule="auto"/>
        <w:tabs>
          <w:tab w:leader="none" w:pos="668" w:val="left"/>
        </w:tabs>
        <w:numPr>
          <w:ilvl w:val="0"/>
          <w:numId w:val="358"/>
        </w:numPr>
        <w:rPr>
          <w:rFonts w:ascii="Arial" w:cs="Arial" w:eastAsia="Arial" w:hAnsi="Arial"/>
          <w:sz w:val="16"/>
          <w:szCs w:val="16"/>
          <w:color w:val="auto"/>
        </w:rPr>
      </w:pPr>
      <w:r>
        <w:rPr>
          <w:rFonts w:ascii="Arial" w:cs="Arial" w:eastAsia="Arial" w:hAnsi="Arial"/>
          <w:sz w:val="16"/>
          <w:szCs w:val="16"/>
          <w:color w:val="auto"/>
        </w:rPr>
        <w:t>Not less than one member of the Seller’s Board of Directors (the “</w:t>
      </w:r>
      <w:r>
        <w:rPr>
          <w:rFonts w:ascii="Arial" w:cs="Arial" w:eastAsia="Arial" w:hAnsi="Arial"/>
          <w:sz w:val="16"/>
          <w:szCs w:val="16"/>
          <w:u w:val="single" w:color="auto"/>
          <w:color w:val="auto"/>
        </w:rPr>
        <w:t>Independent Director</w:t>
      </w:r>
      <w:r>
        <w:rPr>
          <w:rFonts w:ascii="Arial" w:cs="Arial" w:eastAsia="Arial" w:hAnsi="Arial"/>
          <w:sz w:val="16"/>
          <w:szCs w:val="16"/>
          <w:color w:val="auto"/>
        </w:rPr>
        <w:t>”) shall be an individual who is not a direct, indirect or beneficial stockholder, officer, director, employee, affiliate, associate or supplier of WESCO or any of its Affiliates. The certificate of incorporation of the Seller shall provide that: (i) the Seller’s Board of Directors shall not approve, or take any other action to cause the filing of, a voluntary bankruptcy petition with respect to the Seller unless the Independent Director shall approve the taking of such action in writing before the taking of such action, and (ii) such provision cannot be amended without the prior written consent of the Independent Director;</w:t>
      </w:r>
    </w:p>
    <w:p>
      <w:pPr>
        <w:spacing w:after="0" w:line="53" w:lineRule="exact"/>
        <w:rPr>
          <w:rFonts w:ascii="Arial" w:cs="Arial" w:eastAsia="Arial" w:hAnsi="Arial"/>
          <w:sz w:val="16"/>
          <w:szCs w:val="16"/>
          <w:color w:val="auto"/>
        </w:rPr>
      </w:pPr>
    </w:p>
    <w:p>
      <w:pPr>
        <w:ind w:left="680" w:hanging="261"/>
        <w:spacing w:after="0"/>
        <w:tabs>
          <w:tab w:leader="none" w:pos="68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The Independent Director shall not at any time serve as a trustee in bankruptcy for the Seller, WESCO or any Affiliate thereof;</w:t>
      </w:r>
    </w:p>
    <w:p>
      <w:pPr>
        <w:spacing w:after="0" w:line="128" w:lineRule="exact"/>
        <w:rPr>
          <w:rFonts w:ascii="Arial" w:cs="Arial" w:eastAsia="Arial" w:hAnsi="Arial"/>
          <w:sz w:val="17"/>
          <w:szCs w:val="17"/>
          <w:color w:val="auto"/>
        </w:rPr>
      </w:pPr>
    </w:p>
    <w:p>
      <w:pPr>
        <w:ind w:right="40" w:firstLine="419"/>
        <w:spacing w:after="0" w:line="259" w:lineRule="auto"/>
        <w:tabs>
          <w:tab w:leader="none" w:pos="668"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Any employee, consultant or agent of the Seller will be compensated from the Seller’s funds for services provided to the Seller. The Seller will not engage any agents other than its attorneys, auditors and other professionals, and a servicer and any other agent contemplated by the Transaction Documents for the Receivables Pool, which servicer will be fully compensated for its services by payment of the Servicing Fee, and a manager, which manager will be fully compensated from the Seller’s funds;</w:t>
      </w:r>
    </w:p>
    <w:p>
      <w:pPr>
        <w:spacing w:after="0" w:line="78" w:lineRule="exact"/>
        <w:rPr>
          <w:rFonts w:ascii="Arial" w:cs="Arial" w:eastAsia="Arial" w:hAnsi="Arial"/>
          <w:sz w:val="18"/>
          <w:szCs w:val="18"/>
          <w:color w:val="auto"/>
        </w:rPr>
      </w:pPr>
    </w:p>
    <w:p>
      <w:pPr>
        <w:ind w:firstLine="419"/>
        <w:spacing w:after="0" w:line="291" w:lineRule="auto"/>
        <w:tabs>
          <w:tab w:leader="none" w:pos="648" w:val="left"/>
        </w:tabs>
        <w:numPr>
          <w:ilvl w:val="0"/>
          <w:numId w:val="358"/>
        </w:numPr>
        <w:rPr>
          <w:rFonts w:ascii="Arial" w:cs="Arial" w:eastAsia="Arial" w:hAnsi="Arial"/>
          <w:sz w:val="16"/>
          <w:szCs w:val="16"/>
          <w:color w:val="auto"/>
        </w:rPr>
      </w:pPr>
      <w:r>
        <w:rPr>
          <w:rFonts w:ascii="Arial" w:cs="Arial" w:eastAsia="Arial" w:hAnsi="Arial"/>
          <w:sz w:val="16"/>
          <w:szCs w:val="16"/>
          <w:color w:val="auto"/>
        </w:rPr>
        <w:t xml:space="preserve">The Seller will contract with the Servicer to perform for the Seller all operations required on a daily basis to service the Receivables Pool. The Seller will pay the Servicer the Servicing Fee pursuant to this Agreement. The Seller will not incur any material indirect or overhead expenses for items shared with WESCO (or any other Affiliate thereof) that are not reflected in the Servicing Fee. To the extent, if any, that the Seller (or any Affiliate thereof) shares items of expenses not reflected in the Servicing Fee or the manager’s fee, such as legal, auditing and other professional services, such expenses will be allocated to the extent practical on the basis of actual use or the value of services rendered, and otherwise on a basis reasonably related to the actual use or the value of services rendered; </w:t>
      </w:r>
      <w:r>
        <w:rPr>
          <w:rFonts w:ascii="Arial" w:cs="Arial" w:eastAsia="Arial" w:hAnsi="Arial"/>
          <w:sz w:val="16"/>
          <w:szCs w:val="16"/>
          <w:u w:val="single" w:color="auto"/>
          <w:color w:val="auto"/>
        </w:rPr>
        <w:t>it being understood</w:t>
      </w:r>
      <w:r>
        <w:rPr>
          <w:rFonts w:ascii="Arial" w:cs="Arial" w:eastAsia="Arial" w:hAnsi="Arial"/>
          <w:sz w:val="16"/>
          <w:szCs w:val="16"/>
          <w:color w:val="auto"/>
        </w:rPr>
        <w:t xml:space="preserve"> that WESCO shall pay all expenses relating to the preparation, negotiation, execution and delivery of the Transaction Documents, including legal, agency and other fees;</w:t>
      </w:r>
    </w:p>
    <w:p>
      <w:pPr>
        <w:spacing w:after="0" w:line="58" w:lineRule="exact"/>
        <w:rPr>
          <w:rFonts w:ascii="Arial" w:cs="Arial" w:eastAsia="Arial" w:hAnsi="Arial"/>
          <w:sz w:val="16"/>
          <w:szCs w:val="16"/>
          <w:color w:val="auto"/>
        </w:rPr>
      </w:pPr>
    </w:p>
    <w:p>
      <w:pPr>
        <w:ind w:left="680" w:hanging="261"/>
        <w:spacing w:after="0"/>
        <w:tabs>
          <w:tab w:leader="none" w:pos="6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Seller’s operating expenses will not be paid by WESCO or any other Affiliate thereof;</w:t>
      </w:r>
    </w:p>
    <w:p>
      <w:pPr>
        <w:spacing w:after="0" w:line="117" w:lineRule="exact"/>
        <w:rPr>
          <w:rFonts w:ascii="Arial" w:cs="Arial" w:eastAsia="Arial" w:hAnsi="Arial"/>
          <w:sz w:val="18"/>
          <w:szCs w:val="18"/>
          <w:color w:val="auto"/>
        </w:rPr>
      </w:pPr>
    </w:p>
    <w:p>
      <w:pPr>
        <w:ind w:right="500" w:firstLine="419"/>
        <w:spacing w:after="0" w:line="277" w:lineRule="auto"/>
        <w:tabs>
          <w:tab w:leader="none" w:pos="678"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All of the Seller’s business correspondence and other communications shall be conducted in the Seller’s own name and on its own separate stationery;</w:t>
      </w:r>
    </w:p>
    <w:p>
      <w:pPr>
        <w:spacing w:after="0" w:line="62" w:lineRule="exact"/>
        <w:rPr>
          <w:rFonts w:ascii="Arial" w:cs="Arial" w:eastAsia="Arial" w:hAnsi="Arial"/>
          <w:sz w:val="18"/>
          <w:szCs w:val="18"/>
          <w:color w:val="auto"/>
        </w:rPr>
      </w:pPr>
    </w:p>
    <w:p>
      <w:pPr>
        <w:ind w:left="640" w:hanging="221"/>
        <w:spacing w:after="0"/>
        <w:tabs>
          <w:tab w:leader="none" w:pos="64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Seller’s books and records will be maintained separately from those of WESCO and any other Affiliate thereof;</w:t>
      </w:r>
    </w:p>
    <w:p>
      <w:pPr>
        <w:sectPr>
          <w:pgSz w:w="11900" w:h="16838" w:orient="portrait"/>
          <w:cols w:equalWidth="0" w:num="1">
            <w:col w:w="10560"/>
          </w:cols>
          <w:pgMar w:left="880" w:top="274" w:right="459" w:bottom="1440" w:gutter="0" w:footer="0" w:header="0"/>
        </w:sectPr>
      </w:pPr>
    </w:p>
    <w:bookmarkStart w:id="298" w:name="page299"/>
    <w:bookmarkEnd w:id="298"/>
    <w:p>
      <w:pPr>
        <w:ind w:left="-419" w:right="260" w:firstLine="419"/>
        <w:spacing w:after="0" w:line="311" w:lineRule="auto"/>
        <w:tabs>
          <w:tab w:leader="none" w:pos="218" w:val="left"/>
        </w:tabs>
        <w:numPr>
          <w:ilvl w:val="0"/>
          <w:numId w:val="3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financial statements of WESCO or any Affiliate thereof that are consolidated to include Seller will contain detailed notes clearly stating that: (i) a special purpose corporation exists as a Subsidiary of WESCO, and (ii) the Originators have sold receivables and other related assets to such special purpose Subsidiary that, in turn, has sold undivided interests therein to certain financial institutions and other entities;</w:t>
      </w:r>
    </w:p>
    <w:p>
      <w:pPr>
        <w:spacing w:after="0" w:line="40" w:lineRule="exact"/>
        <w:rPr>
          <w:rFonts w:ascii="Arial" w:cs="Arial" w:eastAsia="Arial" w:hAnsi="Arial"/>
          <w:sz w:val="16"/>
          <w:szCs w:val="16"/>
          <w:color w:val="auto"/>
        </w:rPr>
      </w:pPr>
    </w:p>
    <w:p>
      <w:pPr>
        <w:ind w:left="-419" w:right="420" w:firstLine="419"/>
        <w:spacing w:after="0" w:line="277" w:lineRule="auto"/>
        <w:tabs>
          <w:tab w:leader="none" w:pos="258"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Seller’s assets will be maintained in a manner that facilitates their identification and segregation from those of WESCO or any Affiliate thereof;</w:t>
      </w:r>
    </w:p>
    <w:p>
      <w:pPr>
        <w:spacing w:after="0" w:line="62" w:lineRule="exact"/>
        <w:rPr>
          <w:rFonts w:ascii="Arial" w:cs="Arial" w:eastAsia="Arial" w:hAnsi="Arial"/>
          <w:sz w:val="18"/>
          <w:szCs w:val="18"/>
          <w:color w:val="auto"/>
        </w:rPr>
      </w:pPr>
    </w:p>
    <w:p>
      <w:pPr>
        <w:ind w:left="-419" w:firstLine="419"/>
        <w:spacing w:after="0" w:line="254" w:lineRule="auto"/>
        <w:tabs>
          <w:tab w:leader="none" w:pos="218"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Seller will strictly observe corporate formalities in its dealings with WESCO or any Affiliate thereof, and funds or other assets of the Seller will not be commingled with those of WESCO or any Affiliate thereof except as permitted by this Agreement in connection with servicing the Pool Receivables. The Seller shall not maintain joint bank accounts or other depository accounts to which WESCO or any Affiliate thereof (other than WESCO in its capacity as the Servicer) has independent access. The Seller is not named, and has not entered into any agreement to be named, directly or indirectly, as a direct or contingent beneficiary or loss payee on any insurance policy with respect to any loss relating to the property of WESCO or any Subsidiary or other Affiliate of WESCO. The Seller will pay to the appropriate Affiliate the marginal increase or, in the absence of such increase, the market amount of its portion of the premium payable with respect to any insurance policy that covers the Seller and such Affiliate;</w:t>
      </w:r>
    </w:p>
    <w:p>
      <w:pPr>
        <w:spacing w:after="0" w:line="83" w:lineRule="exact"/>
        <w:rPr>
          <w:rFonts w:ascii="Arial" w:cs="Arial" w:eastAsia="Arial" w:hAnsi="Arial"/>
          <w:sz w:val="18"/>
          <w:szCs w:val="18"/>
          <w:color w:val="auto"/>
        </w:rPr>
      </w:pPr>
    </w:p>
    <w:p>
      <w:pPr>
        <w:ind w:left="-419" w:right="120" w:firstLine="419"/>
        <w:spacing w:after="0" w:line="255" w:lineRule="auto"/>
        <w:tabs>
          <w:tab w:leader="none" w:pos="308"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Seller will maintain arm’s-length relationships with WESCO (and any Affiliate thereof). Any Person that renders or otherwise furnishes services to the Seller will be compensated by the Seller at market rates for such services it renders or otherwise furnishes to the Seller. Neither the Seller nor WESCO will be or will hold itself out to be responsible for the debts of the other or the decisions or actions respecting the daily business and affairs of the other. The Seller and WESCO will immediately correct any known misrepresentation with respect to the foregoing, and they will not operate or purport to operate as an integrated single economic unit with respect to each other or in their dealing with any other entity; and</w:t>
      </w:r>
    </w:p>
    <w:p>
      <w:pPr>
        <w:spacing w:after="0" w:line="84" w:lineRule="exact"/>
        <w:rPr>
          <w:rFonts w:ascii="Arial" w:cs="Arial" w:eastAsia="Arial" w:hAnsi="Arial"/>
          <w:sz w:val="18"/>
          <w:szCs w:val="18"/>
          <w:color w:val="auto"/>
        </w:rPr>
      </w:pPr>
    </w:p>
    <w:p>
      <w:pPr>
        <w:ind w:left="261" w:hanging="261"/>
        <w:spacing w:after="0"/>
        <w:tabs>
          <w:tab w:leader="none" w:pos="261" w:val="left"/>
        </w:tabs>
        <w:numPr>
          <w:ilvl w:val="0"/>
          <w:numId w:val="359"/>
        </w:numPr>
        <w:rPr>
          <w:rFonts w:ascii="Arial" w:cs="Arial" w:eastAsia="Arial" w:hAnsi="Arial"/>
          <w:sz w:val="18"/>
          <w:szCs w:val="18"/>
          <w:color w:val="auto"/>
        </w:rPr>
      </w:pPr>
      <w:r>
        <w:rPr>
          <w:rFonts w:ascii="Arial" w:cs="Arial" w:eastAsia="Arial" w:hAnsi="Arial"/>
          <w:sz w:val="18"/>
          <w:szCs w:val="18"/>
          <w:color w:val="auto"/>
        </w:rPr>
        <w:t>WESCO shall not pay the salaries of Seller’s employees, if any.</w:t>
      </w:r>
    </w:p>
    <w:p>
      <w:pPr>
        <w:sectPr>
          <w:pgSz w:w="11900" w:h="16838" w:orient="portrait"/>
          <w:cols w:equalWidth="0" w:num="1">
            <w:col w:w="10101"/>
          </w:cols>
          <w:pgMar w:left="1299" w:top="274" w:right="499" w:bottom="1440" w:gutter="0" w:footer="0" w:header="0"/>
        </w:sectPr>
      </w:pPr>
    </w:p>
    <w:bookmarkStart w:id="299" w:name="page300"/>
    <w:bookmarkEnd w:id="299"/>
    <w:p>
      <w:pPr>
        <w:jc w:val="center"/>
        <w:ind w:right="-8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V</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TERMINATION EVENTS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Each of the following shall be a “</w:t>
      </w:r>
      <w:r>
        <w:rPr>
          <w:rFonts w:ascii="Arial" w:cs="Arial" w:eastAsia="Arial" w:hAnsi="Arial"/>
          <w:sz w:val="18"/>
          <w:szCs w:val="18"/>
          <w:u w:val="single" w:color="auto"/>
          <w:color w:val="auto"/>
        </w:rPr>
        <w:t>Termination Event</w:t>
      </w:r>
      <w:r>
        <w:rPr>
          <w:rFonts w:ascii="Arial" w:cs="Arial" w:eastAsia="Arial" w:hAnsi="Arial"/>
          <w:sz w:val="18"/>
          <w:szCs w:val="18"/>
          <w:color w:val="auto"/>
        </w:rPr>
        <w:t>”:</w:t>
      </w:r>
    </w:p>
    <w:p>
      <w:pPr>
        <w:spacing w:after="0" w:line="117" w:lineRule="exact"/>
        <w:rPr>
          <w:sz w:val="20"/>
          <w:szCs w:val="20"/>
          <w:color w:val="auto"/>
        </w:rPr>
      </w:pPr>
    </w:p>
    <w:p>
      <w:pPr>
        <w:ind w:left="4" w:right="80" w:firstLine="436"/>
        <w:spacing w:after="0" w:line="291" w:lineRule="auto"/>
        <w:tabs>
          <w:tab w:leader="none" w:pos="689" w:val="left"/>
        </w:tabs>
        <w:numPr>
          <w:ilvl w:val="1"/>
          <w:numId w:val="360"/>
        </w:numPr>
        <w:rPr>
          <w:rFonts w:ascii="Arial" w:cs="Arial" w:eastAsia="Arial" w:hAnsi="Arial"/>
          <w:sz w:val="16"/>
          <w:szCs w:val="16"/>
          <w:color w:val="auto"/>
        </w:rPr>
      </w:pPr>
      <w:r>
        <w:rPr>
          <w:rFonts w:ascii="Arial" w:cs="Arial" w:eastAsia="Arial" w:hAnsi="Arial"/>
          <w:sz w:val="16"/>
          <w:szCs w:val="16"/>
          <w:color w:val="auto"/>
        </w:rPr>
        <w:t>(i) the Seller, WESCO, any Originator or the Servicer shall fail to perform or observe any term, covenant or agreement under this Agreement or any other Transaction Document and, except as otherwise provided herein, such failure shall continue for 5 days after knowledge or notice thereof,</w:t>
      </w:r>
    </w:p>
    <w:p>
      <w:pPr>
        <w:jc w:val="both"/>
        <w:ind w:left="4" w:right="40" w:hanging="4"/>
        <w:spacing w:after="0" w:line="295" w:lineRule="auto"/>
        <w:tabs>
          <w:tab w:leader="none" w:pos="269" w:val="left"/>
        </w:tabs>
        <w:numPr>
          <w:ilvl w:val="0"/>
          <w:numId w:val="361"/>
        </w:numPr>
        <w:rPr>
          <w:rFonts w:ascii="Arial" w:cs="Arial" w:eastAsia="Arial" w:hAnsi="Arial"/>
          <w:sz w:val="16"/>
          <w:szCs w:val="16"/>
          <w:color w:val="auto"/>
        </w:rPr>
      </w:pPr>
      <w:r>
        <w:rPr>
          <w:rFonts w:ascii="Arial" w:cs="Arial" w:eastAsia="Arial" w:hAnsi="Arial"/>
          <w:sz w:val="16"/>
          <w:szCs w:val="16"/>
          <w:color w:val="auto"/>
        </w:rPr>
        <w:t xml:space="preserve">the Seller or the Servicer shall fail to make when due any payment or deposit to be made by it under this Agreement and such failure shall continue unremedied for one Business Day, (iii) WESCO shall resign as Servicer, and no successor Servicer reasonably satisfactory to the Administrator and the Majority Purchasers shall have been appointed or (iv) the Seller, WESCO, any Originator or the Servicer shall fail to perform or observe any term, covenant set forth in </w:t>
      </w:r>
      <w:r>
        <w:rPr>
          <w:rFonts w:ascii="Arial" w:cs="Arial" w:eastAsia="Arial" w:hAnsi="Arial"/>
          <w:sz w:val="16"/>
          <w:szCs w:val="16"/>
          <w:u w:val="single" w:color="auto"/>
          <w:color w:val="auto"/>
        </w:rPr>
        <w:t>Sections 1(bb)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2(t)</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(u)</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1(r)</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2(j)</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IV</w:t>
      </w:r>
      <w:r>
        <w:rPr>
          <w:rFonts w:ascii="Arial" w:cs="Arial" w:eastAsia="Arial" w:hAnsi="Arial"/>
          <w:sz w:val="16"/>
          <w:szCs w:val="16"/>
          <w:color w:val="auto"/>
        </w:rPr>
        <w:t xml:space="preserve"> to this Agreement;</w:t>
      </w:r>
    </w:p>
    <w:p>
      <w:pPr>
        <w:spacing w:after="0" w:line="161" w:lineRule="exact"/>
        <w:rPr>
          <w:rFonts w:ascii="Arial" w:cs="Arial" w:eastAsia="Arial" w:hAnsi="Arial"/>
          <w:sz w:val="16"/>
          <w:szCs w:val="16"/>
          <w:color w:val="auto"/>
        </w:rPr>
      </w:pPr>
    </w:p>
    <w:p>
      <w:pPr>
        <w:ind w:left="4" w:right="300" w:firstLine="436"/>
        <w:spacing w:after="0" w:line="277" w:lineRule="auto"/>
        <w:tabs>
          <w:tab w:leader="none" w:pos="699" w:val="left"/>
        </w:tabs>
        <w:numPr>
          <w:ilvl w:val="1"/>
          <w:numId w:val="361"/>
        </w:numPr>
        <w:rPr>
          <w:rFonts w:ascii="Arial" w:cs="Arial" w:eastAsia="Arial" w:hAnsi="Arial"/>
          <w:sz w:val="18"/>
          <w:szCs w:val="18"/>
          <w:color w:val="auto"/>
        </w:rPr>
      </w:pPr>
      <w:r>
        <w:rPr>
          <w:rFonts w:ascii="Arial" w:cs="Arial" w:eastAsia="Arial" w:hAnsi="Arial"/>
          <w:sz w:val="18"/>
          <w:szCs w:val="18"/>
          <w:color w:val="auto"/>
        </w:rPr>
        <w:t>WESCO (or any Affiliate thereof) shall fail to transfer to any successor Servicer when required any rights pursuant to this Agreement that WESCO (or such Affiliate) then has as Servicer;</w:t>
      </w:r>
    </w:p>
    <w:p>
      <w:pPr>
        <w:spacing w:after="0" w:line="170" w:lineRule="exact"/>
        <w:rPr>
          <w:rFonts w:ascii="Arial" w:cs="Arial" w:eastAsia="Arial" w:hAnsi="Arial"/>
          <w:sz w:val="18"/>
          <w:szCs w:val="18"/>
          <w:color w:val="auto"/>
        </w:rPr>
      </w:pPr>
    </w:p>
    <w:p>
      <w:pPr>
        <w:jc w:val="both"/>
        <w:ind w:left="4" w:right="20" w:firstLine="436"/>
        <w:spacing w:after="0" w:line="301" w:lineRule="auto"/>
        <w:tabs>
          <w:tab w:leader="none" w:pos="689" w:val="left"/>
        </w:tabs>
        <w:numPr>
          <w:ilvl w:val="1"/>
          <w:numId w:val="361"/>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the Seller, WESCO or any Originator (or any of their respective officers) under or in connection with this Agreement or any other Transaction Document, or any information or report delivered by the Seller, WESCO or any Originator or the Servicer pursuant to this Agreement or any other Transaction Document, shall prove to have been incorrect or untrue in any material respect when made or deemed made or delivered, and shall remain incorrect or untrue for 5 days after notice to the Seller or the Servicer of such inaccuracy;</w:t>
      </w:r>
    </w:p>
    <w:p>
      <w:pPr>
        <w:spacing w:after="0" w:line="157" w:lineRule="exact"/>
        <w:rPr>
          <w:rFonts w:ascii="Arial" w:cs="Arial" w:eastAsia="Arial" w:hAnsi="Arial"/>
          <w:sz w:val="16"/>
          <w:szCs w:val="16"/>
          <w:color w:val="auto"/>
        </w:rPr>
      </w:pPr>
    </w:p>
    <w:p>
      <w:pPr>
        <w:ind w:left="4" w:right="440" w:firstLine="436"/>
        <w:spacing w:after="0" w:line="277" w:lineRule="auto"/>
        <w:tabs>
          <w:tab w:leader="none" w:pos="699" w:val="left"/>
        </w:tabs>
        <w:numPr>
          <w:ilvl w:val="1"/>
          <w:numId w:val="361"/>
        </w:numPr>
        <w:rPr>
          <w:rFonts w:ascii="Arial" w:cs="Arial" w:eastAsia="Arial" w:hAnsi="Arial"/>
          <w:sz w:val="18"/>
          <w:szCs w:val="18"/>
          <w:color w:val="auto"/>
        </w:rPr>
      </w:pPr>
      <w:r>
        <w:rPr>
          <w:rFonts w:ascii="Arial" w:cs="Arial" w:eastAsia="Arial" w:hAnsi="Arial"/>
          <w:sz w:val="18"/>
          <w:szCs w:val="18"/>
          <w:color w:val="auto"/>
        </w:rPr>
        <w:t>the Seller or the Servicer shall fail to deliver the Information Package or Daily Report pursuant to this Agreement, and such failure shall remain unremedied for two days;</w:t>
      </w:r>
    </w:p>
    <w:p>
      <w:pPr>
        <w:spacing w:after="0" w:line="170" w:lineRule="exact"/>
        <w:rPr>
          <w:rFonts w:ascii="Arial" w:cs="Arial" w:eastAsia="Arial" w:hAnsi="Arial"/>
          <w:sz w:val="18"/>
          <w:szCs w:val="18"/>
          <w:color w:val="auto"/>
        </w:rPr>
      </w:pPr>
    </w:p>
    <w:p>
      <w:pPr>
        <w:ind w:left="4" w:right="20" w:firstLine="436"/>
        <w:spacing w:after="0" w:line="275" w:lineRule="auto"/>
        <w:tabs>
          <w:tab w:leader="none" w:pos="689" w:val="left"/>
        </w:tabs>
        <w:numPr>
          <w:ilvl w:val="1"/>
          <w:numId w:val="361"/>
        </w:numPr>
        <w:rPr>
          <w:rFonts w:ascii="Arial" w:cs="Arial" w:eastAsia="Arial" w:hAnsi="Arial"/>
          <w:sz w:val="17"/>
          <w:szCs w:val="17"/>
          <w:color w:val="auto"/>
        </w:rPr>
      </w:pPr>
      <w:r>
        <w:rPr>
          <w:rFonts w:ascii="Arial" w:cs="Arial" w:eastAsia="Arial" w:hAnsi="Arial"/>
          <w:sz w:val="17"/>
          <w:szCs w:val="17"/>
          <w:color w:val="auto"/>
        </w:rPr>
        <w:t>this Agreement or any Purchase or reinvestment pursuant to this Agreement shall for any reason: (i) cease to create, or the Purchased Interest shall for any reason cease to be, a valid and enforceable perfected undivided percentage ownership or security interest to the extent of the Purchased Interest in each Pool Receivable, the Related Security and Collections with respect thereto, free and clear of any Adverse Claim, or (ii) cease to create with respect to the Pool Assets, or the interest of the Administrator (for the benefit of the Purchasers) with respect to such Pool Assets shall cease to be, a valid and enforceable first priority perfected security interest, free and clear of any Adverse Claim;</w:t>
      </w:r>
    </w:p>
    <w:p>
      <w:pPr>
        <w:spacing w:after="0" w:line="176" w:lineRule="exact"/>
        <w:rPr>
          <w:rFonts w:ascii="Arial" w:cs="Arial" w:eastAsia="Arial" w:hAnsi="Arial"/>
          <w:sz w:val="17"/>
          <w:szCs w:val="17"/>
          <w:color w:val="auto"/>
        </w:rPr>
      </w:pPr>
    </w:p>
    <w:p>
      <w:pPr>
        <w:ind w:left="4" w:firstLine="436"/>
        <w:spacing w:after="0" w:line="259" w:lineRule="auto"/>
        <w:tabs>
          <w:tab w:leader="none" w:pos="669" w:val="left"/>
        </w:tabs>
        <w:numPr>
          <w:ilvl w:val="1"/>
          <w:numId w:val="361"/>
        </w:numPr>
        <w:rPr>
          <w:rFonts w:ascii="Arial" w:cs="Arial" w:eastAsia="Arial" w:hAnsi="Arial"/>
          <w:sz w:val="18"/>
          <w:szCs w:val="18"/>
          <w:color w:val="auto"/>
        </w:rPr>
      </w:pPr>
      <w:r>
        <w:rPr>
          <w:rFonts w:ascii="Arial" w:cs="Arial" w:eastAsia="Arial" w:hAnsi="Arial"/>
          <w:sz w:val="18"/>
          <w:szCs w:val="18"/>
          <w:color w:val="auto"/>
        </w:rPr>
        <w:t>the Seller, WESCO, Holdings or any Originator shall generally not pay its debts as such debts become due, or shall admit in writing its inability to pay its debts generally, or shall make a general assignment for the benefit of creditors; or any proceeding shall be instituted by or against the Seller, WESCO, Holdings or any Originator seeking to adjudicate it a bankrupt or insolvent, or seeking liquidation, winding up, reorganization, arrangement, adjustment, protection,</w:t>
      </w:r>
    </w:p>
    <w:p>
      <w:pPr>
        <w:sectPr>
          <w:pgSz w:w="11900" w:h="16838" w:orient="portrait"/>
          <w:cols w:equalWidth="0" w:num="1">
            <w:col w:w="10924"/>
          </w:cols>
          <w:pgMar w:left="436" w:top="274" w:right="539" w:bottom="1440" w:gutter="0" w:footer="0" w:header="0"/>
        </w:sectPr>
      </w:pPr>
    </w:p>
    <w:bookmarkStart w:id="300" w:name="page301"/>
    <w:bookmarkEnd w:id="300"/>
    <w:p>
      <w:pPr>
        <w:ind w:left="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60 days, or any of the actions sought in such proceeding (including the entry of an order for relief against, or the appointment of a receiver, trustee, custodian or other similar official for, it or for any substantial part of its property) shall occur; or the Seller, WESCO, Holdings or any Originator shall take any corporate action to authorize any of the actions set forth above in this paragraph;</w:t>
      </w:r>
    </w:p>
    <w:p>
      <w:pPr>
        <w:spacing w:after="0" w:line="178" w:lineRule="exact"/>
        <w:rPr>
          <w:sz w:val="20"/>
          <w:szCs w:val="20"/>
          <w:color w:val="auto"/>
        </w:rPr>
      </w:pPr>
    </w:p>
    <w:p>
      <w:pPr>
        <w:ind w:left="4" w:right="40" w:firstLine="436"/>
        <w:spacing w:after="0" w:line="263" w:lineRule="auto"/>
        <w:tabs>
          <w:tab w:leader="none" w:pos="699" w:val="left"/>
        </w:tabs>
        <w:numPr>
          <w:ilvl w:val="1"/>
          <w:numId w:val="362"/>
        </w:numPr>
        <w:rPr>
          <w:rFonts w:ascii="Arial" w:cs="Arial" w:eastAsia="Arial" w:hAnsi="Arial"/>
          <w:sz w:val="18"/>
          <w:szCs w:val="18"/>
          <w:color w:val="auto"/>
        </w:rPr>
      </w:pPr>
      <w:r>
        <w:rPr>
          <w:rFonts w:ascii="Arial" w:cs="Arial" w:eastAsia="Arial" w:hAnsi="Arial"/>
          <w:sz w:val="18"/>
          <w:szCs w:val="18"/>
          <w:color w:val="auto"/>
        </w:rPr>
        <w:t>(i) the average for three most recently ended consecutive calendar months of: (A) the Default Ratio shall exceed 3.25%, (B) the Delinquency Ratio shall exceed 4.00% or (C) the Dilution Ratio shall exceed 7.50% or (ii) (A) the Default Ratio shall exceed 4.00%, (B) the Delinquency Ratio shall exceed 5.00% or (C) the Days’ Sales Outstanding shall exceed 62 days;</w:t>
      </w:r>
    </w:p>
    <w:p>
      <w:pPr>
        <w:spacing w:after="0" w:line="183" w:lineRule="exact"/>
        <w:rPr>
          <w:rFonts w:ascii="Arial" w:cs="Arial" w:eastAsia="Arial" w:hAnsi="Arial"/>
          <w:sz w:val="18"/>
          <w:szCs w:val="18"/>
          <w:color w:val="auto"/>
        </w:rPr>
      </w:pPr>
    </w:p>
    <w:p>
      <w:pPr>
        <w:ind w:left="704" w:hanging="264"/>
        <w:spacing w:after="0"/>
        <w:tabs>
          <w:tab w:leader="none" w:pos="704" w:val="left"/>
        </w:tabs>
        <w:numPr>
          <w:ilvl w:val="1"/>
          <w:numId w:val="362"/>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rFonts w:ascii="Arial" w:cs="Arial" w:eastAsia="Arial" w:hAnsi="Arial"/>
          <w:sz w:val="18"/>
          <w:szCs w:val="18"/>
          <w:color w:val="auto"/>
        </w:rPr>
      </w:pPr>
    </w:p>
    <w:p>
      <w:pPr>
        <w:ind w:left="4" w:right="160" w:firstLine="436"/>
        <w:spacing w:after="0" w:line="257" w:lineRule="auto"/>
        <w:tabs>
          <w:tab w:leader="none" w:pos="659" w:val="left"/>
        </w:tabs>
        <w:numPr>
          <w:ilvl w:val="1"/>
          <w:numId w:val="362"/>
        </w:numPr>
        <w:rPr>
          <w:rFonts w:ascii="Arial" w:cs="Arial" w:eastAsia="Arial" w:hAnsi="Arial"/>
          <w:sz w:val="18"/>
          <w:szCs w:val="18"/>
          <w:color w:val="auto"/>
        </w:rPr>
      </w:pPr>
      <w:r>
        <w:rPr>
          <w:rFonts w:ascii="Arial" w:cs="Arial" w:eastAsia="Arial" w:hAnsi="Arial"/>
          <w:sz w:val="18"/>
          <w:szCs w:val="18"/>
          <w:color w:val="auto"/>
        </w:rPr>
        <w:t>at any time (i) the sum of (A) the Aggregate Investment plus (B) the Total Reserves, exceeds (ii) the sum of (A) the Net Receivables Pool Balance at such time plus (B) the Purchasers’ share of the amount of Collections then on deposit in the Lock-Box Accounts (other than (I) amounts on deposit in the Exception Accounts and (II) amounts set aside in the Lock-Box Accounts representing Discount and Fees), and such circumstance shall not have been cured within two Business Days after an officer of the Seller, the Servicer, WESCO, Holdings or any Originator obtains knowledge or notice thereof;</w:t>
      </w:r>
    </w:p>
    <w:p>
      <w:pPr>
        <w:spacing w:after="0" w:line="187" w:lineRule="exact"/>
        <w:rPr>
          <w:rFonts w:ascii="Arial" w:cs="Arial" w:eastAsia="Arial" w:hAnsi="Arial"/>
          <w:sz w:val="18"/>
          <w:szCs w:val="18"/>
          <w:color w:val="auto"/>
        </w:rPr>
      </w:pPr>
    </w:p>
    <w:p>
      <w:pPr>
        <w:ind w:left="4" w:right="40" w:firstLine="436"/>
        <w:spacing w:after="0" w:line="289" w:lineRule="auto"/>
        <w:tabs>
          <w:tab w:leader="none" w:pos="659" w:val="left"/>
        </w:tabs>
        <w:numPr>
          <w:ilvl w:val="1"/>
          <w:numId w:val="362"/>
        </w:numPr>
        <w:rPr>
          <w:rFonts w:ascii="Arial" w:cs="Arial" w:eastAsia="Arial" w:hAnsi="Arial"/>
          <w:sz w:val="16"/>
          <w:szCs w:val="16"/>
          <w:color w:val="auto"/>
        </w:rPr>
      </w:pPr>
      <w:r>
        <w:rPr>
          <w:rFonts w:ascii="Arial" w:cs="Arial" w:eastAsia="Arial" w:hAnsi="Arial"/>
          <w:sz w:val="16"/>
          <w:szCs w:val="16"/>
          <w:color w:val="auto"/>
        </w:rPr>
        <w:t>(i) WESCO, Holdings or any of their respective Subsidiaries shall fail to pay any principal of or premium or interest on any of its Debt that is outstanding in a principal amount of at least $50,000,000 in the aggregate when the same becomes due and payable (whether by scheduled maturity, required prepayment, acceleration, demand or otherwise), and such failure shall continue after the applicable grace period, if any, specified in this Agreement, mortgage, indenture or instrument relating to such Debt (and shall have not been waived); or (ii) any other event shall occur or condition shall exist under any agreement, mortgage, indenture or instrument relating to any such Debt and shall continue after the applicable grace period, if any, specified in such agreement, mortgage, indenture or instrument (and shall have not been waived), if, in either case: (a) the effect of such non-payment, event or condition is to give the applicable debtholders the right (whether acted upon or not) to accelerate the maturity of such Debt, or (b) any such Debt shall be declared to be due and payable, or required to be prepaid (other than by a regularly scheduled required prepayment), redeemed, purchased or defeased, or an offer to repay, redeem, purchase or defease such Debt shall be required to be made, in each case before the stated maturity thereof;</w:t>
      </w:r>
    </w:p>
    <w:p>
      <w:pPr>
        <w:spacing w:after="0" w:line="166" w:lineRule="exact"/>
        <w:rPr>
          <w:rFonts w:ascii="Arial" w:cs="Arial" w:eastAsia="Arial" w:hAnsi="Arial"/>
          <w:sz w:val="16"/>
          <w:szCs w:val="16"/>
          <w:color w:val="auto"/>
        </w:rPr>
      </w:pPr>
    </w:p>
    <w:p>
      <w:pPr>
        <w:ind w:left="4" w:firstLine="436"/>
        <w:spacing w:after="0" w:line="291" w:lineRule="auto"/>
        <w:tabs>
          <w:tab w:leader="none" w:pos="699" w:val="left"/>
        </w:tabs>
        <w:numPr>
          <w:ilvl w:val="1"/>
          <w:numId w:val="362"/>
        </w:numPr>
        <w:rPr>
          <w:rFonts w:ascii="Arial" w:cs="Arial" w:eastAsia="Arial" w:hAnsi="Arial"/>
          <w:sz w:val="16"/>
          <w:szCs w:val="16"/>
          <w:color w:val="auto"/>
        </w:rPr>
      </w:pPr>
      <w:r>
        <w:rPr>
          <w:rFonts w:ascii="Arial" w:cs="Arial" w:eastAsia="Arial" w:hAnsi="Arial"/>
          <w:sz w:val="16"/>
          <w:szCs w:val="16"/>
          <w:color w:val="auto"/>
        </w:rPr>
        <w:t>either: (i) a contribution failure shall occur with respect to any Benefit Plan sufficient to give rise to a lien under Section 303(k) of ERISA, and such failure could reasonably be expected to result in a Material Adverse Effect, (ii) the Internal Revenue Service shall file a notice of lien asserting</w:t>
      </w:r>
    </w:p>
    <w:p>
      <w:pPr>
        <w:ind w:left="4" w:right="280" w:hanging="4"/>
        <w:spacing w:after="0" w:line="260" w:lineRule="auto"/>
        <w:tabs>
          <w:tab w:leader="none" w:pos="259"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 claim or claims pursuant to the Internal Revenue Code with regard to any of the assets of Seller or (2) a claim or claims pursuant to the Internal Revenue Code with</w:t>
      </w:r>
    </w:p>
    <w:p>
      <w:pPr>
        <w:sectPr>
          <w:pgSz w:w="11900" w:h="16838" w:orient="portrait"/>
          <w:cols w:equalWidth="0" w:num="1">
            <w:col w:w="10984"/>
          </w:cols>
          <w:pgMar w:left="436" w:top="274" w:right="479" w:bottom="1440" w:gutter="0" w:footer="0" w:header="0"/>
        </w:sectPr>
      </w:pPr>
    </w:p>
    <w:bookmarkStart w:id="301" w:name="page302"/>
    <w:bookmarkEnd w:id="301"/>
    <w:p>
      <w:pPr>
        <w:ind w:left="4"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regard to any of the assets of any Originator, WESCO, Holdings or any ERISA Affiliate, and in each case such lien could reasonably be expected to result in a Material Adverse Effect and shall have been filed and not released within 10 days, or (iii) the Pension Benefit Guaranty Corporation shall, or shall indicate its intention in writing to the Seller, any Originator, WESCO, Holdings or any ERISA Affiliate to, either file a notice of lien asserting a claim pursuant to ERISA with regard to any assets of the Seller, any Originator, WESCO, Holdings or any ERISA Affiliate or terminate any Benefit Plan that has unfunded benefit liabilities, or any steps shall have been taken to terminate any Benefit Plan subject to Title IV of ERISA, in each case, as could reasonably be expected to result in a Material Adverse Effect and such lien shall have been filed and not released within 10 days;</w:t>
      </w:r>
    </w:p>
    <w:p>
      <w:pPr>
        <w:spacing w:after="0" w:line="164" w:lineRule="exact"/>
        <w:rPr>
          <w:sz w:val="20"/>
          <w:szCs w:val="20"/>
          <w:color w:val="auto"/>
        </w:rPr>
      </w:pPr>
    </w:p>
    <w:p>
      <w:pPr>
        <w:ind w:left="4" w:right="20" w:firstLine="436"/>
        <w:spacing w:after="0" w:line="287" w:lineRule="auto"/>
        <w:tabs>
          <w:tab w:leader="none" w:pos="659" w:val="left"/>
        </w:tabs>
        <w:numPr>
          <w:ilvl w:val="1"/>
          <w:numId w:val="364"/>
        </w:numPr>
        <w:rPr>
          <w:rFonts w:ascii="Arial" w:cs="Arial" w:eastAsia="Arial" w:hAnsi="Arial"/>
          <w:sz w:val="16"/>
          <w:szCs w:val="16"/>
          <w:color w:val="auto"/>
        </w:rPr>
      </w:pPr>
      <w:r>
        <w:rPr>
          <w:rFonts w:ascii="Arial" w:cs="Arial" w:eastAsia="Arial" w:hAnsi="Arial"/>
          <w:sz w:val="16"/>
          <w:szCs w:val="16"/>
          <w:color w:val="auto"/>
        </w:rPr>
        <w:t>(i) one or more final judgments for the payment of money shall be entered against the Seller or (ii) one or more final judgments for the payment of money in an amount in excess of $50,000,000, individually or in the aggregate, shall be entered against the Servicer on claims not covered by insurance or as to which the insurance carrier has denied its responsibility, and such judgment shall continue unsatisfied and in effect for sixty</w:t>
      </w:r>
    </w:p>
    <w:p>
      <w:pPr>
        <w:spacing w:after="0" w:line="2" w:lineRule="exact"/>
        <w:rPr>
          <w:rFonts w:ascii="Arial" w:cs="Arial" w:eastAsia="Arial" w:hAnsi="Arial"/>
          <w:sz w:val="16"/>
          <w:szCs w:val="16"/>
          <w:color w:val="auto"/>
        </w:rPr>
      </w:pPr>
    </w:p>
    <w:p>
      <w:pPr>
        <w:ind w:left="344" w:hanging="344"/>
        <w:spacing w:after="0"/>
        <w:tabs>
          <w:tab w:leader="none" w:pos="344" w:val="left"/>
        </w:tabs>
        <w:numPr>
          <w:ilvl w:val="0"/>
          <w:numId w:val="365"/>
        </w:numPr>
        <w:rPr>
          <w:rFonts w:ascii="Arial" w:cs="Arial" w:eastAsia="Arial" w:hAnsi="Arial"/>
          <w:sz w:val="18"/>
          <w:szCs w:val="18"/>
          <w:color w:val="auto"/>
        </w:rPr>
      </w:pPr>
      <w:r>
        <w:rPr>
          <w:rFonts w:ascii="Arial" w:cs="Arial" w:eastAsia="Arial" w:hAnsi="Arial"/>
          <w:sz w:val="18"/>
          <w:szCs w:val="18"/>
          <w:color w:val="auto"/>
        </w:rPr>
        <w:t>consecutive days without a stay of execution;</w:t>
      </w:r>
    </w:p>
    <w:p>
      <w:pPr>
        <w:spacing w:after="0" w:line="210" w:lineRule="exact"/>
        <w:rPr>
          <w:rFonts w:ascii="Arial" w:cs="Arial" w:eastAsia="Arial" w:hAnsi="Arial"/>
          <w:sz w:val="18"/>
          <w:szCs w:val="18"/>
          <w:color w:val="auto"/>
        </w:rPr>
      </w:pPr>
    </w:p>
    <w:p>
      <w:pPr>
        <w:ind w:left="4" w:firstLine="436"/>
        <w:spacing w:after="0" w:line="263" w:lineRule="auto"/>
        <w:tabs>
          <w:tab w:leader="none" w:pos="749"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Purchase and Sale Termination Date</w:t>
      </w:r>
      <w:r>
        <w:rPr>
          <w:rFonts w:ascii="Arial" w:cs="Arial" w:eastAsia="Arial" w:hAnsi="Arial"/>
          <w:sz w:val="18"/>
          <w:szCs w:val="18"/>
          <w:color w:val="auto"/>
        </w:rPr>
        <w:t>” under and as defined in the Sale Agreement shall occur under the Sale Agreement or any Originator shall for any reason cease to transfer, or cease to have the legal capacity to transfer, or otherwise be incapable of transferring Receivables to the Seller under the Sale Agreement;</w:t>
      </w:r>
    </w:p>
    <w:p>
      <w:pPr>
        <w:spacing w:after="0" w:line="183" w:lineRule="exact"/>
        <w:rPr>
          <w:rFonts w:ascii="Arial" w:cs="Arial" w:eastAsia="Arial" w:hAnsi="Arial"/>
          <w:sz w:val="18"/>
          <w:szCs w:val="18"/>
          <w:color w:val="auto"/>
        </w:rPr>
      </w:pPr>
    </w:p>
    <w:p>
      <w:pPr>
        <w:ind w:left="4" w:right="20" w:firstLine="436"/>
        <w:spacing w:after="0" w:line="286" w:lineRule="auto"/>
        <w:tabs>
          <w:tab w:leader="none" w:pos="699" w:val="left"/>
        </w:tabs>
        <w:numPr>
          <w:ilvl w:val="1"/>
          <w:numId w:val="365"/>
        </w:numPr>
        <w:rPr>
          <w:rFonts w:ascii="Arial" w:cs="Arial" w:eastAsia="Arial" w:hAnsi="Arial"/>
          <w:sz w:val="16"/>
          <w:szCs w:val="16"/>
          <w:color w:val="auto"/>
        </w:rPr>
      </w:pPr>
      <w:r>
        <w:rPr>
          <w:rFonts w:ascii="Arial" w:cs="Arial" w:eastAsia="Arial" w:hAnsi="Arial"/>
          <w:sz w:val="16"/>
          <w:szCs w:val="16"/>
          <w:color w:val="auto"/>
        </w:rPr>
        <w:t xml:space="preserve">as of the last day of any fiscal quarter of Holdings, to the extent that a Fixed Charge Coverage Trigger Event shall have occurred, the Fixed Charge Coverage Ratio shall be less than 1.0 to 1.0. For purposes of this </w:t>
      </w:r>
      <w:r>
        <w:rPr>
          <w:rFonts w:ascii="Arial" w:cs="Arial" w:eastAsia="Arial" w:hAnsi="Arial"/>
          <w:sz w:val="16"/>
          <w:szCs w:val="16"/>
          <w:u w:val="single" w:color="auto"/>
          <w:color w:val="auto"/>
        </w:rPr>
        <w:t>clause (n)</w:t>
      </w:r>
      <w:r>
        <w:rPr>
          <w:rFonts w:ascii="Arial" w:cs="Arial" w:eastAsia="Arial" w:hAnsi="Arial"/>
          <w:sz w:val="16"/>
          <w:szCs w:val="16"/>
          <w:color w:val="auto"/>
        </w:rPr>
        <w:t xml:space="preserve">, unless otherwise defined in this Agreement, terms used herein (including all defined terms used within such terms ) shall have the respective meaning assigned to such terms in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in the event the Credit Agreement is terminated or such defined terms are no longer used in the Credit Agreement, the respective meaning assigned to such terms immediately preceding such termination or non-usage shall be used for purposes of this Agreement and (ii) if, after the Closing Date, the covenant level set forth in Section 6.12 of the Credit Agreement (or any of the defined terms used in connection with such covenant) is amended, modified or waived, it shall, for all purposes of this Agreement similarly be amended, modified or waived, upon the Seller’s delivery of (A) a notice of such an amendment to the Credit Agreement (which notice shall enclose a copy of such amendment to the Credit Agreement) to the Administrator and each Purchaser not later than 30 days after the effectiveness of such amendment and (B) a certification that each of the following conditions were satisfied at the time of such Credit Agreement amendment: (x) the Majority Purchasers (without giving effect to the proviso in the definition of “Majority Purchasers”) and the Administrator were a party to the Credit Agreement, (y) such amendment, modification or waiver was consummated in accordance with the terms of the Credit Agreement and (z) the Majority Purchasers (without giving effect to the proviso in the definition of “Majority Purchasers”) and the Administrator consented to such amendment, modification or waiver pursuant to the Credit Agreement; or</w:t>
      </w:r>
    </w:p>
    <w:p>
      <w:pPr>
        <w:spacing w:after="0" w:line="173" w:lineRule="exact"/>
        <w:rPr>
          <w:rFonts w:ascii="Arial" w:cs="Arial" w:eastAsia="Arial" w:hAnsi="Arial"/>
          <w:sz w:val="16"/>
          <w:szCs w:val="16"/>
          <w:color w:val="auto"/>
        </w:rPr>
      </w:pPr>
    </w:p>
    <w:p>
      <w:pPr>
        <w:ind w:left="4" w:right="200" w:firstLine="436"/>
        <w:spacing w:after="0" w:line="277" w:lineRule="auto"/>
        <w:tabs>
          <w:tab w:leader="none" w:pos="699" w:val="left"/>
        </w:tabs>
        <w:numPr>
          <w:ilvl w:val="1"/>
          <w:numId w:val="365"/>
        </w:numPr>
        <w:rPr>
          <w:rFonts w:ascii="Arial" w:cs="Arial" w:eastAsia="Arial" w:hAnsi="Arial"/>
          <w:sz w:val="18"/>
          <w:szCs w:val="18"/>
          <w:color w:val="auto"/>
        </w:rPr>
      </w:pPr>
      <w:r>
        <w:rPr>
          <w:rFonts w:ascii="Arial" w:cs="Arial" w:eastAsia="Arial" w:hAnsi="Arial"/>
          <w:sz w:val="18"/>
          <w:szCs w:val="18"/>
          <w:color w:val="auto"/>
        </w:rPr>
        <w:t>either (i) a “Change of Control” (as defined in the Credit Agreement) occurs with respect to Holdings or (ii) Holdings breaches or defaults in respect of its negative covenant set</w:t>
      </w:r>
    </w:p>
    <w:p>
      <w:pPr>
        <w:sectPr>
          <w:pgSz w:w="11900" w:h="16838" w:orient="portrait"/>
          <w:cols w:equalWidth="0" w:num="1">
            <w:col w:w="11024"/>
          </w:cols>
          <w:pgMar w:left="436" w:top="274" w:right="439" w:bottom="1440" w:gutter="0" w:footer="0" w:header="0"/>
        </w:sectPr>
      </w:pPr>
    </w:p>
    <w:bookmarkStart w:id="302" w:name="page303"/>
    <w:bookmarkEnd w:id="302"/>
    <w:p>
      <w:pPr>
        <w:ind w:left="4" w:right="2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forth in </w:t>
      </w:r>
      <w:r>
        <w:rPr>
          <w:rFonts w:ascii="Arial" w:cs="Arial" w:eastAsia="Arial" w:hAnsi="Arial"/>
          <w:sz w:val="16"/>
          <w:szCs w:val="16"/>
          <w:u w:val="single" w:color="auto"/>
          <w:color w:val="auto"/>
        </w:rPr>
        <w:t>Section 6.03(c)</w:t>
      </w:r>
      <w:r>
        <w:rPr>
          <w:rFonts w:ascii="Arial" w:cs="Arial" w:eastAsia="Arial" w:hAnsi="Arial"/>
          <w:sz w:val="16"/>
          <w:szCs w:val="16"/>
          <w:color w:val="auto"/>
        </w:rPr>
        <w:t xml:space="preserve"> of the Credit Agreement, in each case, subject to any applicable grace periods set forth in the Credit Agreement with respect thereto. For purposes of this </w:t>
      </w:r>
      <w:r>
        <w:rPr>
          <w:rFonts w:ascii="Arial" w:cs="Arial" w:eastAsia="Arial" w:hAnsi="Arial"/>
          <w:sz w:val="16"/>
          <w:szCs w:val="16"/>
          <w:u w:val="single" w:color="auto"/>
          <w:color w:val="auto"/>
        </w:rPr>
        <w:t>clause (o)</w:t>
      </w:r>
      <w:r>
        <w:rPr>
          <w:rFonts w:ascii="Arial" w:cs="Arial" w:eastAsia="Arial" w:hAnsi="Arial"/>
          <w:sz w:val="16"/>
          <w:szCs w:val="16"/>
          <w:color w:val="auto"/>
        </w:rPr>
        <w:t xml:space="preserve"> terms used and covenant levels provided for in the Credit Agreement (including all defined terms used within such terms) shall have the respective meaning assigned to such terms and the covenant levels provided for, in each case, in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in the event the Credit Agreement is terminated or such defined terms are no longer used in the Credit Agreement, the respective meaning assigned to such terms immediately preceding such termination or non-usage shall be used for purposes of this Agreement and</w:t>
      </w:r>
    </w:p>
    <w:p>
      <w:pPr>
        <w:spacing w:after="0" w:line="2" w:lineRule="exact"/>
        <w:rPr>
          <w:sz w:val="20"/>
          <w:szCs w:val="20"/>
          <w:color w:val="auto"/>
        </w:rPr>
      </w:pPr>
    </w:p>
    <w:p>
      <w:pPr>
        <w:ind w:left="4" w:hanging="4"/>
        <w:spacing w:after="0" w:line="268" w:lineRule="auto"/>
        <w:tabs>
          <w:tab w:leader="none" w:pos="269" w:val="left"/>
        </w:tabs>
        <w:numPr>
          <w:ilvl w:val="0"/>
          <w:numId w:val="366"/>
        </w:numPr>
        <w:rPr>
          <w:rFonts w:ascii="Arial" w:cs="Arial" w:eastAsia="Arial" w:hAnsi="Arial"/>
          <w:sz w:val="17"/>
          <w:szCs w:val="17"/>
          <w:color w:val="auto"/>
        </w:rPr>
      </w:pPr>
      <w:r>
        <w:rPr>
          <w:rFonts w:ascii="Arial" w:cs="Arial" w:eastAsia="Arial" w:hAnsi="Arial"/>
          <w:sz w:val="17"/>
          <w:szCs w:val="17"/>
          <w:color w:val="auto"/>
        </w:rPr>
        <w:t xml:space="preserve">if, after the Closing Date, the defined term “Change of Control” or the covenant set forth in Section 6.03(c) of the Credit Agreement (or any of the defined terms used in connection with such covenant) is amended, modified or waived, then for all purposes of this Agreement </w:t>
      </w:r>
      <w:r>
        <w:rPr>
          <w:rFonts w:ascii="Arial" w:cs="Arial" w:eastAsia="Arial" w:hAnsi="Arial"/>
          <w:sz w:val="17"/>
          <w:szCs w:val="17"/>
          <w:u w:val="single" w:color="auto"/>
          <w:color w:val="auto"/>
        </w:rPr>
        <w:t>clause (o)</w:t>
      </w:r>
      <w:r>
        <w:rPr>
          <w:rFonts w:ascii="Arial" w:cs="Arial" w:eastAsia="Arial" w:hAnsi="Arial"/>
          <w:sz w:val="17"/>
          <w:szCs w:val="17"/>
          <w:color w:val="auto"/>
        </w:rPr>
        <w:t xml:space="preserve"> shall similarly be amended, modified or waived, upon the Seller’s delivery of (A) a notice of such an amendment to the Credit Agreement (which notice shall enclose a copy of such amendment to the Credit Agreement) to the Administrator and each Purchaser not later than 30 days after the effectiveness of such amendment and (B) a certification that each of the following conditions were satisfied at the time of such Credit Agreement amendment: (x) the Majority Purchasers (without giving effect to the proviso in the definition of “Majority Purchasers”) and the Administrator were a party to the Credit Agreement, (y) such amendment, modification or waiver was consummated in accordance with the terms of the Credit Agreement and (z) the Majority Purchasers (without giving effect to the proviso in the definition of “Majority Purchasers”) and the Administrator consented to such amendment, modification or waiver pursuant to the Credit Agreement.</w:t>
      </w:r>
    </w:p>
    <w:p>
      <w:pPr>
        <w:sectPr>
          <w:pgSz w:w="11900" w:h="16838" w:orient="portrait"/>
          <w:cols w:equalWidth="0" w:num="1">
            <w:col w:w="10984"/>
          </w:cols>
          <w:pgMar w:left="436" w:top="274" w:right="479" w:bottom="1440" w:gutter="0" w:footer="0" w:header="0"/>
        </w:sectPr>
      </w:pPr>
    </w:p>
    <w:bookmarkStart w:id="303" w:name="page304"/>
    <w:bookmarkEnd w:id="30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CREDIT AND COLLECTION POLICY</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File With: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WESCO Receivables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225 West Station Square Drive, Suite 700</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Pittsburgh, PA 15219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Treasurer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(412) 454-2374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Facsimile: (412) 454-2515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I</w:t>
      </w:r>
    </w:p>
    <w:p>
      <w:pPr>
        <w:sectPr>
          <w:pgSz w:w="11900" w:h="16838" w:orient="portrait"/>
          <w:cols w:equalWidth="0" w:num="1">
            <w:col w:w="9019"/>
          </w:cols>
          <w:pgMar w:left="1440" w:top="274" w:right="1440" w:bottom="1440" w:gutter="0" w:footer="0" w:header="0"/>
        </w:sectPr>
      </w:pPr>
    </w:p>
    <w:bookmarkStart w:id="304" w:name="page305"/>
    <w:bookmarkEnd w:id="304"/>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ectPr>
          <w:pgSz w:w="11900" w:h="16838" w:orient="portrait"/>
          <w:cols w:equalWidth="0" w:num="1">
            <w:col w:w="9019"/>
          </w:cols>
          <w:pgMar w:left="1440" w:top="274" w:right="1440" w:bottom="1440" w:gutter="0" w:footer="0" w:header="0"/>
        </w:sectPr>
      </w:pPr>
    </w:p>
    <w:p>
      <w:pPr>
        <w:spacing w:after="0" w:line="237"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[Reserved]</w:t>
      </w:r>
    </w:p>
    <w:p>
      <w:pPr>
        <w:spacing w:after="0" w:line="18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Schedule II</w:t>
      </w:r>
    </w:p>
    <w:p>
      <w:pPr>
        <w:sectPr>
          <w:pgSz w:w="11900" w:h="16838" w:orient="portrait"/>
          <w:cols w:equalWidth="0" w:num="1">
            <w:col w:w="9019"/>
          </w:cols>
          <w:pgMar w:left="1440" w:top="274" w:right="1440" w:bottom="1440" w:gutter="0" w:footer="0" w:header="0"/>
          <w:type w:val="continuous"/>
        </w:sectPr>
      </w:pPr>
    </w:p>
    <w:bookmarkStart w:id="305" w:name="page306"/>
    <w:bookmarkEnd w:id="305"/>
    <w:p>
      <w:pPr>
        <w:ind w:left="4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25" w:lineRule="exact"/>
        <w:rPr>
          <w:sz w:val="20"/>
          <w:szCs w:val="20"/>
          <w:color w:val="auto"/>
        </w:rPr>
      </w:pPr>
    </w:p>
    <w:p>
      <w:pPr>
        <w:jc w:val="right"/>
        <w:ind w:right="3879"/>
        <w:spacing w:after="0"/>
        <w:rPr>
          <w:sz w:val="20"/>
          <w:szCs w:val="20"/>
          <w:color w:val="auto"/>
        </w:rPr>
      </w:pPr>
      <w:r>
        <w:rPr>
          <w:rFonts w:ascii="Arial" w:cs="Arial" w:eastAsia="Arial" w:hAnsi="Arial"/>
          <w:sz w:val="18"/>
          <w:szCs w:val="18"/>
          <w:color w:val="auto"/>
        </w:rPr>
        <w:t>TRADE NAMES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Schedule III</w:t>
      </w:r>
    </w:p>
    <w:p>
      <w:pPr>
        <w:sectPr>
          <w:pgSz w:w="11900" w:h="16838" w:orient="portrait"/>
          <w:cols w:equalWidth="0" w:num="1">
            <w:col w:w="10019"/>
          </w:cols>
          <w:pgMar w:left="440" w:top="274" w:right="1440" w:bottom="1440" w:gutter="0" w:footer="0" w:header="0"/>
        </w:sectPr>
      </w:pPr>
    </w:p>
    <w:bookmarkStart w:id="306" w:name="page307"/>
    <w:bookmarkEnd w:id="306"/>
    <w:p>
      <w:pPr>
        <w:jc w:val="center"/>
        <w:ind w:righ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IV</w:t>
      </w:r>
    </w:p>
    <w:p>
      <w:pPr>
        <w:spacing w:after="0" w:line="225" w:lineRule="exact"/>
        <w:rPr>
          <w:sz w:val="20"/>
          <w:szCs w:val="20"/>
          <w:color w:val="auto"/>
        </w:rPr>
      </w:pPr>
    </w:p>
    <w:p>
      <w:pPr>
        <w:jc w:val="right"/>
        <w:ind w:right="3539"/>
        <w:spacing w:after="0"/>
        <w:rPr>
          <w:sz w:val="20"/>
          <w:szCs w:val="20"/>
          <w:color w:val="auto"/>
        </w:rPr>
      </w:pPr>
      <w:r>
        <w:rPr>
          <w:rFonts w:ascii="Arial" w:cs="Arial" w:eastAsia="Arial" w:hAnsi="Arial"/>
          <w:sz w:val="18"/>
          <w:szCs w:val="18"/>
          <w:color w:val="auto"/>
        </w:rPr>
        <w:t>NOTICE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WESCO RECEIVABLES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Seller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225 West Station Square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 15219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(412) 454-2374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(412) 222-7427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WESCO DISTRIBUTION,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Servicer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225 West Station Square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 15219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(412) 454-2374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(412) 222-7427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Tower at PNC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 15222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Brian Stanley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(412) 768-2001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(412) 762-9184</w:t>
      </w:r>
    </w:p>
    <w:p>
      <w:pPr>
        <w:spacing w:after="0" w:line="14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Schedule IV-1</w:t>
      </w:r>
    </w:p>
    <w:p>
      <w:pPr>
        <w:sectPr>
          <w:pgSz w:w="11900" w:h="16838" w:orient="portrait"/>
          <w:cols w:equalWidth="0" w:num="1">
            <w:col w:w="10019"/>
          </w:cols>
          <w:pgMar w:left="440" w:top="274" w:right="1440"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PNC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Purchaser Agent for PNC Bank, National Association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PNC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225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 15222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Brian Stanley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(412) 768-2001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(412) 762-9184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Committed Purchaser for PNC Bank, National Association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PNC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225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 15222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Brian Stanley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(412) 768-2001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(412) 762-9184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Committed Purchaser for Wells Fargo Bank, National Association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1100 Abernathy Rd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Jonathan Davis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(770) 508-2162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Purchaser Agent for Wells Fargo Bank, National Association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1100 Abernathy Rd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Jonathan Davis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(770) 508-2162</w:t>
      </w:r>
    </w:p>
    <w:p>
      <w:pPr>
        <w:spacing w:after="0" w:line="143"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Schedule IV-2</w:t>
      </w:r>
    </w:p>
    <w:p>
      <w:pPr>
        <w:sectPr>
          <w:pgSz w:w="11900" w:h="16838" w:orient="portrait"/>
          <w:cols w:equalWidth="0" w:num="1">
            <w:col w:w="10019"/>
          </w:cols>
          <w:pgMar w:left="440" w:top="274" w:right="1440"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FIFTH THIRD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Committed Purchaser for Fifth Third Bank, National Association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 Fountain Square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 45263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Andrew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(513) 534-0836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(513) 534-0319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FIFTH THIRD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Purchaser Agent for Fifth Third Bank, National Association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 Fountain Square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 45263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Kevin Gusweiler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(513) 534-0435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(513) 534-0319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LIBERTY STREET FINDING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Conduit Purchaser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Global Securitization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68 South Service Road, Suite 120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Melville, NY 11747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Jill A. Russo,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1-212-295-2742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1-212-302-8767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BANK OF NOVA SCOTIA,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Committed Purchaser for Liberty Street Funding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 King Street 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 M5H1H1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Doug Noe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416-945-4060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doug.noe@scotiabank.com</w:t>
      </w:r>
    </w:p>
    <w:p>
      <w:pPr>
        <w:spacing w:after="0" w:line="143"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Schedule IV-3</w:t>
      </w:r>
    </w:p>
    <w:p>
      <w:pPr>
        <w:sectPr>
          <w:pgSz w:w="11900" w:h="16838" w:orient="portrait"/>
          <w:cols w:equalWidth="0" w:num="1">
            <w:col w:w="10019"/>
          </w:cols>
          <w:pgMar w:left="440" w:top="274" w:right="1440"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Bank of Nova Scotia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 Vesey Street, 23rd Floor, New York, NY 10281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Darren Ward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1-212-255-5264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darren.ward@scotiabank.com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BANK OF NOVA SCOTIA,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Purchaser Agent for The Bank of Nova Scotia and Liberty Street Funding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 King Street 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 M5H1H1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Doug Noe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416-945-4060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doug.noe@scotiabank.com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Bank of Nova Scotia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 Vesey Street, 23rd Floor, New York, NY 10281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Darren Ward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1-212-255-5264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darren.ward@scotiabank.com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RELIANT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Conduit Purchaser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 Adelaide Street West</w:t>
      </w:r>
    </w:p>
    <w:p>
      <w:pPr>
        <w:spacing w:after="0" w:line="181" w:lineRule="auto"/>
        <w:rPr>
          <w:sz w:val="20"/>
          <w:szCs w:val="20"/>
          <w:color w:val="auto"/>
        </w:rPr>
      </w:pPr>
      <w:r>
        <w:rPr>
          <w:rFonts w:ascii="Arial" w:cs="Arial" w:eastAsia="Arial" w:hAnsi="Arial"/>
          <w:sz w:val="18"/>
          <w:szCs w:val="18"/>
          <w:color w:val="auto"/>
        </w:rPr>
        <w:t>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Toronto, ON, M5H 3P5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ASG Asset Securitization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(416) 307-6035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TORONTO-DOMINION BANK,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as a Committed Purchaser and Purchaser Agent for The Toronto-Dominion Bank and Reliant Trust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 Adelaide Street 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5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Schedule IV-4</w:t>
      </w:r>
    </w:p>
    <w:p>
      <w:pPr>
        <w:sectPr>
          <w:pgSz w:w="11900" w:h="16838" w:orient="portrait"/>
          <w:cols w:equalWidth="0" w:num="1">
            <w:col w:w="10019"/>
          </w:cols>
          <w:pgMar w:left="440" w:top="274" w:right="1440"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Toronto, ON, M5H 3P5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ASG Asset Securitization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(416) 307-6035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Purchaser Agent for Bank of America, 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NC2-109-02-02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13510 Ballantyne Corporate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Willem Van Beek / Chris Hayes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(980) 683-4585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(704) 409-0588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willem.van_beek@bofa.com / christopher.hayes@bofa.com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MACRO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Committed Purchaser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161 Bay Street</w:t>
      </w:r>
    </w:p>
    <w:p>
      <w:pPr>
        <w:spacing w:after="0" w:line="181" w:lineRule="auto"/>
        <w:rPr>
          <w:sz w:val="20"/>
          <w:szCs w:val="20"/>
          <w:color w:val="auto"/>
        </w:rPr>
      </w:pPr>
      <w:r>
        <w:rPr>
          <w:rFonts w:ascii="Arial" w:cs="Arial" w:eastAsia="Arial" w:hAnsi="Arial"/>
          <w:sz w:val="18"/>
          <w:szCs w:val="18"/>
          <w:color w:val="auto"/>
        </w:rPr>
        <w:t>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Toronto, ON M5J 2S8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Sunil Adalja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CANADIAN IMPERIAL BANK OF COMMERCE,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as Purchaser Agent for Canadian Imperial Bank of Commerce and Macro Trust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425 Lexington Avenue</w:t>
      </w:r>
    </w:p>
    <w:p>
      <w:pPr>
        <w:spacing w:after="0" w:line="181" w:lineRule="auto"/>
        <w:rPr>
          <w:sz w:val="20"/>
          <w:szCs w:val="20"/>
          <w:color w:val="auto"/>
        </w:rPr>
      </w:pPr>
      <w:r>
        <w:rPr>
          <w:rFonts w:ascii="Arial" w:cs="Arial" w:eastAsia="Arial" w:hAnsi="Arial"/>
          <w:sz w:val="18"/>
          <w:szCs w:val="18"/>
          <w:color w:val="auto"/>
        </w:rPr>
        <w:t>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Robert Castro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Purchaser Agent for HSBC Bank USA, National Association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452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Nicholas Walach</w:t>
      </w:r>
    </w:p>
    <w:p>
      <w:pPr>
        <w:spacing w:after="0" w:line="143"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Schedule IV-5</w:t>
      </w:r>
    </w:p>
    <w:p>
      <w:pPr>
        <w:sectPr>
          <w:pgSz w:w="11900" w:h="16838" w:orient="portrait"/>
          <w:cols w:equalWidth="0" w:num="1">
            <w:col w:w="10019"/>
          </w:cols>
          <w:pgMar w:left="440" w:top="274" w:right="1440"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HSBC BANK USA,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Committed Purchaser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452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Sean Moskal</w:t>
      </w:r>
    </w:p>
    <w:p>
      <w:pPr>
        <w:spacing w:after="0" w:line="143"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Schedule IV-6</w:t>
      </w:r>
    </w:p>
    <w:p>
      <w:pPr>
        <w:sectPr>
          <w:pgSz w:w="11900" w:h="16838" w:orient="portrait"/>
          <w:cols w:equalWidth="0" w:num="1">
            <w:col w:w="10019"/>
          </w:cols>
          <w:pgMar w:left="440" w:top="274" w:right="1440" w:bottom="1440" w:gutter="0" w:footer="0" w:header="0"/>
        </w:sectPr>
      </w:pPr>
    </w:p>
    <w:bookmarkStart w:id="312" w:name="page313"/>
    <w:bookmarkEnd w:id="312"/>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V</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SUBJECT ANIXTER FILING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Debtor</w:t>
            </w:r>
          </w:p>
        </w:tc>
        <w:tc>
          <w:tcPr>
            <w:tcW w:w="1880" w:type="dxa"/>
            <w:vAlign w:val="bottom"/>
          </w:tcPr>
          <w:p>
            <w:pPr>
              <w:ind w:left="880"/>
              <w:spacing w:after="0"/>
              <w:rPr>
                <w:sz w:val="20"/>
                <w:szCs w:val="20"/>
                <w:color w:val="auto"/>
              </w:rPr>
            </w:pPr>
            <w:r>
              <w:rPr>
                <w:rFonts w:ascii="Arial" w:cs="Arial" w:eastAsia="Arial" w:hAnsi="Arial"/>
                <w:sz w:val="14"/>
                <w:szCs w:val="14"/>
                <w:b w:val="1"/>
                <w:bCs w:val="1"/>
                <w:color w:val="auto"/>
              </w:rPr>
              <w:t>Secured Party</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Pr>
          <w:p>
            <w:pPr>
              <w:ind w:left="860"/>
              <w:spacing w:after="0"/>
              <w:rPr>
                <w:sz w:val="20"/>
                <w:szCs w:val="20"/>
                <w:color w:val="auto"/>
              </w:rPr>
            </w:pPr>
            <w:r>
              <w:rPr>
                <w:rFonts w:ascii="Arial" w:cs="Arial" w:eastAsia="Arial" w:hAnsi="Arial"/>
                <w:sz w:val="14"/>
                <w:szCs w:val="14"/>
                <w:b w:val="1"/>
                <w:bCs w:val="1"/>
                <w:color w:val="auto"/>
              </w:rPr>
              <w:t>Filing Location</w:t>
            </w:r>
          </w:p>
        </w:tc>
        <w:tc>
          <w:tcPr>
            <w:tcW w:w="100" w:type="dxa"/>
            <w:vAlign w:val="bottom"/>
          </w:tcPr>
          <w:p>
            <w:pPr>
              <w:spacing w:after="0"/>
              <w:rPr>
                <w:sz w:val="16"/>
                <w:szCs w:val="16"/>
                <w:color w:val="auto"/>
              </w:rPr>
            </w:pPr>
          </w:p>
        </w:tc>
        <w:tc>
          <w:tcPr>
            <w:tcW w:w="2540" w:type="dxa"/>
            <w:vAlign w:val="bottom"/>
          </w:tcPr>
          <w:p>
            <w:pPr>
              <w:ind w:left="920"/>
              <w:spacing w:after="0"/>
              <w:rPr>
                <w:sz w:val="20"/>
                <w:szCs w:val="20"/>
                <w:color w:val="auto"/>
              </w:rPr>
            </w:pPr>
            <w:r>
              <w:rPr>
                <w:rFonts w:ascii="Arial" w:cs="Arial" w:eastAsia="Arial" w:hAnsi="Arial"/>
                <w:sz w:val="14"/>
                <w:szCs w:val="14"/>
                <w:b w:val="1"/>
                <w:bCs w:val="1"/>
                <w:color w:val="auto"/>
              </w:rPr>
              <w:t>Filing Data</w:t>
            </w:r>
          </w:p>
        </w:tc>
      </w:tr>
      <w:tr>
        <w:trPr>
          <w:trHeight w:val="217"/>
        </w:trPr>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1"/>
              </w:rPr>
              <w:t>Anixter</w:t>
            </w:r>
          </w:p>
        </w:tc>
        <w:tc>
          <w:tcPr>
            <w:tcW w:w="2580" w:type="dxa"/>
            <w:vAlign w:val="bottom"/>
          </w:tcPr>
          <w:p>
            <w:pPr>
              <w:ind w:left="180"/>
              <w:spacing w:after="0" w:line="190" w:lineRule="exact"/>
              <w:rPr>
                <w:sz w:val="20"/>
                <w:szCs w:val="20"/>
                <w:color w:val="auto"/>
              </w:rPr>
            </w:pPr>
            <w:r>
              <w:rPr>
                <w:rFonts w:ascii="Arial" w:cs="Arial" w:eastAsia="Arial" w:hAnsi="Arial"/>
                <w:sz w:val="18"/>
                <w:szCs w:val="18"/>
                <w:color w:val="auto"/>
              </w:rPr>
              <w:t>Inc.</w:t>
            </w:r>
          </w:p>
        </w:tc>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Aten Technology, Inc.</w:t>
            </w: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 Department of State</w:t>
            </w:r>
          </w:p>
        </w:tc>
        <w:tc>
          <w:tcPr>
            <w:tcW w:w="100" w:type="dxa"/>
            <w:vAlign w:val="bottom"/>
          </w:tcPr>
          <w:p>
            <w:pPr>
              <w:spacing w:after="0"/>
              <w:rPr>
                <w:sz w:val="18"/>
                <w:szCs w:val="18"/>
                <w:color w:val="auto"/>
              </w:rPr>
            </w:pPr>
          </w:p>
        </w:tc>
        <w:tc>
          <w:tcPr>
            <w:tcW w:w="2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Initial Filing # 2017 0655235</w:t>
            </w:r>
          </w:p>
        </w:tc>
      </w:tr>
      <w:tr>
        <w:trPr>
          <w:trHeight w:val="350"/>
        </w:trPr>
        <w:tc>
          <w:tcPr>
            <w:tcW w:w="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rPr>
              <w:t>Schedule V-1</w:t>
            </w: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313" w:name="page314"/>
    <w:bookmarkEnd w:id="313"/>
    <w:p>
      <w:pPr>
        <w:jc w:val="center"/>
        <w:ind w:righ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VI</w:t>
      </w:r>
    </w:p>
    <w:p>
      <w:pPr>
        <w:spacing w:after="0" w:line="225" w:lineRule="exact"/>
        <w:rPr>
          <w:sz w:val="20"/>
          <w:szCs w:val="20"/>
          <w:color w:val="auto"/>
        </w:rPr>
      </w:pPr>
    </w:p>
    <w:p>
      <w:pPr>
        <w:jc w:val="right"/>
        <w:ind w:right="3839"/>
        <w:spacing w:after="0"/>
        <w:rPr>
          <w:sz w:val="20"/>
          <w:szCs w:val="20"/>
          <w:color w:val="auto"/>
        </w:rPr>
      </w:pPr>
      <w:r>
        <w:rPr>
          <w:rFonts w:ascii="Arial" w:cs="Arial" w:eastAsia="Arial" w:hAnsi="Arial"/>
          <w:sz w:val="18"/>
          <w:szCs w:val="18"/>
          <w:color w:val="auto"/>
        </w:rPr>
        <w:t>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Committed Purchaser for PNC Bank, National Association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Commitment: $</w:t>
      </w:r>
      <w:r>
        <w:rPr>
          <w:rFonts w:ascii="Arial" w:cs="Arial" w:eastAsia="Arial" w:hAnsi="Arial"/>
          <w:sz w:val="18"/>
          <w:szCs w:val="18"/>
          <w:color w:val="FF0000"/>
          <w:strike w:val="1"/>
        </w:rPr>
        <w:t>300,000,000</w:t>
      </w:r>
      <w:r>
        <w:rPr>
          <w:rFonts w:ascii="Arial" w:cs="Arial" w:eastAsia="Arial" w:hAnsi="Arial"/>
          <w:sz w:val="18"/>
          <w:szCs w:val="18"/>
          <w:u w:val="single" w:color="auto"/>
          <w:color w:val="0000FF"/>
        </w:rPr>
        <w:t>317,000,000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23495</wp:posOffset>
            </wp:positionV>
            <wp:extent cx="56578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FIFTH THIRD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Committed Purchaser for Fifth Third Bank, National Association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Commitment: $</w:t>
      </w:r>
      <w:r>
        <w:rPr>
          <w:rFonts w:ascii="Arial" w:cs="Arial" w:eastAsia="Arial" w:hAnsi="Arial"/>
          <w:sz w:val="18"/>
          <w:szCs w:val="18"/>
          <w:color w:val="FF0000"/>
          <w:strike w:val="1"/>
        </w:rPr>
        <w:t>225,000,000</w:t>
      </w:r>
      <w:r>
        <w:rPr>
          <w:rFonts w:ascii="Arial" w:cs="Arial" w:eastAsia="Arial" w:hAnsi="Arial"/>
          <w:sz w:val="18"/>
          <w:szCs w:val="18"/>
          <w:u w:val="single" w:color="auto"/>
          <w:color w:val="0000FF"/>
        </w:rPr>
        <w:t>235,000,000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23495</wp:posOffset>
            </wp:positionV>
            <wp:extent cx="56578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Committed Purchaser for Wells Fargo Bank, National Association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Commitment: $</w:t>
      </w:r>
      <w:r>
        <w:rPr>
          <w:rFonts w:ascii="Arial" w:cs="Arial" w:eastAsia="Arial" w:hAnsi="Arial"/>
          <w:sz w:val="18"/>
          <w:szCs w:val="18"/>
          <w:color w:val="FF0000"/>
          <w:strike w:val="1"/>
        </w:rPr>
        <w:t>225,000,000</w:t>
      </w:r>
      <w:r>
        <w:rPr>
          <w:rFonts w:ascii="Arial" w:cs="Arial" w:eastAsia="Arial" w:hAnsi="Arial"/>
          <w:sz w:val="18"/>
          <w:szCs w:val="18"/>
          <w:u w:val="single" w:color="auto"/>
          <w:color w:val="0000FF"/>
        </w:rPr>
        <w:t>242,000,000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23495</wp:posOffset>
            </wp:positionV>
            <wp:extent cx="56578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BANK OF NOVA SCOTIA,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Committed Purchaser for Liberty Street Funding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Commitment: $</w:t>
      </w:r>
      <w:r>
        <w:rPr>
          <w:rFonts w:ascii="Arial" w:cs="Arial" w:eastAsia="Arial" w:hAnsi="Arial"/>
          <w:sz w:val="18"/>
          <w:szCs w:val="18"/>
          <w:color w:val="FF0000"/>
          <w:strike w:val="1"/>
        </w:rPr>
        <w:t>175,000,000</w:t>
      </w:r>
      <w:r>
        <w:rPr>
          <w:rFonts w:ascii="Arial" w:cs="Arial" w:eastAsia="Arial" w:hAnsi="Arial"/>
          <w:sz w:val="18"/>
          <w:szCs w:val="18"/>
          <w:u w:val="single" w:color="auto"/>
          <w:color w:val="0000FF"/>
        </w:rPr>
        <w:t>192,000,000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23495</wp:posOffset>
            </wp:positionV>
            <wp:extent cx="56578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TORONTO-DOMINION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Committed Purchaser for Reliant Trust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Commitment: $</w:t>
      </w:r>
      <w:r>
        <w:rPr>
          <w:rFonts w:ascii="Arial" w:cs="Arial" w:eastAsia="Arial" w:hAnsi="Arial"/>
          <w:sz w:val="18"/>
          <w:szCs w:val="18"/>
          <w:color w:val="FF0000"/>
          <w:strike w:val="1"/>
        </w:rPr>
        <w:t>175,000,000</w:t>
      </w:r>
      <w:r>
        <w:rPr>
          <w:rFonts w:ascii="Arial" w:cs="Arial" w:eastAsia="Arial" w:hAnsi="Arial"/>
          <w:sz w:val="18"/>
          <w:szCs w:val="18"/>
          <w:u w:val="single" w:color="auto"/>
          <w:color w:val="0000FF"/>
        </w:rPr>
        <w:t>192,000,000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23495</wp:posOffset>
            </wp:positionV>
            <wp:extent cx="56578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CANADIAN IMPERIAL BANK OF COMMERCE,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Committed Purchaser for Canadian Imperial Bank of Commerce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Commitment: $</w:t>
      </w:r>
      <w:r>
        <w:rPr>
          <w:rFonts w:ascii="Arial" w:cs="Arial" w:eastAsia="Arial" w:hAnsi="Arial"/>
          <w:sz w:val="18"/>
          <w:szCs w:val="18"/>
          <w:color w:val="FF0000"/>
          <w:strike w:val="1"/>
        </w:rPr>
        <w:t>125,000,000</w:t>
      </w:r>
      <w:r>
        <w:rPr>
          <w:rFonts w:ascii="Arial" w:cs="Arial" w:eastAsia="Arial" w:hAnsi="Arial"/>
          <w:sz w:val="18"/>
          <w:szCs w:val="18"/>
          <w:u w:val="single" w:color="auto"/>
          <w:color w:val="0000FF"/>
        </w:rPr>
        <w:t>142,000,000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14605</wp:posOffset>
            </wp:positionV>
            <wp:extent cx="56578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Committed Purchaser for Bank of America, National Association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Commitment: $</w:t>
      </w:r>
      <w:r>
        <w:rPr>
          <w:rFonts w:ascii="Arial" w:cs="Arial" w:eastAsia="Arial" w:hAnsi="Arial"/>
          <w:sz w:val="18"/>
          <w:szCs w:val="18"/>
          <w:color w:val="FF0000"/>
          <w:strike w:val="1"/>
        </w:rPr>
        <w:t>125,000,000</w:t>
      </w:r>
      <w:r>
        <w:rPr>
          <w:rFonts w:ascii="Arial" w:cs="Arial" w:eastAsia="Arial" w:hAnsi="Arial"/>
          <w:sz w:val="18"/>
          <w:szCs w:val="18"/>
          <w:u w:val="single" w:color="auto"/>
          <w:color w:val="0000FF"/>
        </w:rPr>
        <w:t>140,000,000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23495</wp:posOffset>
            </wp:positionV>
            <wp:extent cx="56578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3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Schedule VI-1</w:t>
      </w:r>
    </w:p>
    <w:p>
      <w:pPr>
        <w:sectPr>
          <w:pgSz w:w="11900" w:h="16838" w:orient="portrait"/>
          <w:cols w:equalWidth="0" w:num="1">
            <w:col w:w="10019"/>
          </w:cols>
          <w:pgMar w:left="440" w:top="274" w:right="1440"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HSBC BANK USA,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Committed Purchaser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Commitment: $</w:t>
      </w:r>
      <w:r>
        <w:rPr>
          <w:rFonts w:ascii="Arial" w:cs="Arial" w:eastAsia="Arial" w:hAnsi="Arial"/>
          <w:sz w:val="18"/>
          <w:szCs w:val="18"/>
          <w:color w:val="FF0000"/>
          <w:strike w:val="1"/>
        </w:rPr>
        <w:t>50,000,000.00</w:t>
      </w:r>
      <w:r>
        <w:rPr>
          <w:rFonts w:ascii="Arial" w:cs="Arial" w:eastAsia="Arial" w:hAnsi="Arial"/>
          <w:sz w:val="18"/>
          <w:szCs w:val="18"/>
          <w:u w:val="single" w:color="auto"/>
          <w:color w:val="0000FF"/>
        </w:rPr>
        <w:t>65,000,000.00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23495</wp:posOffset>
            </wp:positionV>
            <wp:extent cx="65151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38"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Schedule VI-2</w:t>
      </w:r>
    </w:p>
    <w:p>
      <w:pPr>
        <w:sectPr>
          <w:pgSz w:w="11900" w:h="16838" w:orient="portrait"/>
          <w:cols w:equalWidth="0" w:num="1">
            <w:col w:w="10019"/>
          </w:cols>
          <w:pgMar w:left="440" w:top="274" w:right="1440" w:bottom="1440" w:gutter="0" w:footer="0" w:header="0"/>
        </w:sectPr>
      </w:pPr>
    </w:p>
    <w:bookmarkStart w:id="315" w:name="page316"/>
    <w:bookmarkEnd w:id="315"/>
    <w:p>
      <w:pPr>
        <w:jc w:val="center"/>
        <w:ind w:righ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VII</w:t>
      </w:r>
    </w:p>
    <w:p>
      <w:pPr>
        <w:spacing w:after="0" w:line="225" w:lineRule="exact"/>
        <w:rPr>
          <w:sz w:val="20"/>
          <w:szCs w:val="20"/>
          <w:color w:val="auto"/>
        </w:rPr>
      </w:pPr>
    </w:p>
    <w:p>
      <w:pPr>
        <w:jc w:val="right"/>
        <w:ind w:right="2439"/>
        <w:spacing w:after="0"/>
        <w:rPr>
          <w:sz w:val="20"/>
          <w:szCs w:val="20"/>
          <w:color w:val="auto"/>
        </w:rPr>
      </w:pPr>
      <w:r>
        <w:rPr>
          <w:rFonts w:ascii="Arial" w:cs="Arial" w:eastAsia="Arial" w:hAnsi="Arial"/>
          <w:sz w:val="18"/>
          <w:szCs w:val="18"/>
          <w:color w:val="auto"/>
        </w:rPr>
        <w:t>SCHEDULED COMMITMENT TERMINATION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Committed Purchaser for PNC Bank, National Association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Scheduled Commitment Termination Date: March 1,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FIFTH THIRD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Committed Purchaser for Fifth Third Bank, National Association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Scheduled Commitment Termination Date: March 1,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Committed Purchaser for Wells Fargo Bank, National Association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Scheduled Commitment Termination Date: March 1,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BANK OF NOVA SCOTIA,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Committed Purchaser for Liberty Street Funding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Scheduled Commitment Termination Date: March 1,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TORONTO-DOMINION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Committed Purchaser for Reliant Trust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Scheduled Commitment Termination Date: March 1,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Committed Purchaser for Bank of America, National Association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Scheduled Commitment Termination Date: March 1,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CANADIAN IMPERIAL BANK OF COMMERCE,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Committed Purchaser for Canadian Imperial Bank of Commerce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Scheduled Commitment Termination Date: March 1, 2025</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Schedule VII-1</w:t>
      </w:r>
    </w:p>
    <w:p>
      <w:pPr>
        <w:sectPr>
          <w:pgSz w:w="11900" w:h="16838" w:orient="portrait"/>
          <w:cols w:equalWidth="0" w:num="1">
            <w:col w:w="10019"/>
          </w:cols>
          <w:pgMar w:left="440" w:top="274" w:right="1440"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HSBC BANK USA,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Committed Purchaser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Scheduled Commitment Termination Date: March 1, 2025</w:t>
      </w:r>
    </w:p>
    <w:p>
      <w:pPr>
        <w:spacing w:after="0" w:line="158"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Schedule VII-2</w:t>
      </w:r>
    </w:p>
    <w:p>
      <w:pPr>
        <w:sectPr>
          <w:pgSz w:w="11900" w:h="16838" w:orient="portrait"/>
          <w:cols w:equalWidth="0" w:num="1">
            <w:col w:w="10019"/>
          </w:cols>
          <w:pgMar w:left="440" w:top="274" w:right="1440" w:bottom="1440" w:gutter="0" w:footer="0" w:header="0"/>
        </w:sectPr>
      </w:pPr>
    </w:p>
    <w:bookmarkStart w:id="317" w:name="page318"/>
    <w:bookmarkEnd w:id="317"/>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VIII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SUBJECT UCC</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Debtor</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3"/>
              </w:rPr>
              <w:t>Secured Party</w:t>
            </w:r>
          </w:p>
        </w:tc>
        <w:tc>
          <w:tcPr>
            <w:tcW w:w="100" w:type="dxa"/>
            <w:vAlign w:val="bottom"/>
          </w:tcPr>
          <w:p>
            <w:pPr>
              <w:spacing w:after="0"/>
              <w:rPr>
                <w:sz w:val="16"/>
                <w:szCs w:val="16"/>
                <w:color w:val="auto"/>
              </w:rPr>
            </w:pPr>
          </w:p>
        </w:tc>
        <w:tc>
          <w:tcPr>
            <w:tcW w:w="2640" w:type="dxa"/>
            <w:vAlign w:val="bottom"/>
          </w:tcPr>
          <w:p>
            <w:pPr>
              <w:ind w:left="840"/>
              <w:spacing w:after="0"/>
              <w:rPr>
                <w:sz w:val="20"/>
                <w:szCs w:val="20"/>
                <w:color w:val="auto"/>
              </w:rPr>
            </w:pPr>
            <w:r>
              <w:rPr>
                <w:rFonts w:ascii="Arial" w:cs="Arial" w:eastAsia="Arial" w:hAnsi="Arial"/>
                <w:sz w:val="14"/>
                <w:szCs w:val="14"/>
                <w:b w:val="1"/>
                <w:bCs w:val="1"/>
                <w:color w:val="auto"/>
              </w:rPr>
              <w:t>Filing Location</w:t>
            </w:r>
          </w:p>
        </w:tc>
        <w:tc>
          <w:tcPr>
            <w:tcW w:w="140" w:type="dxa"/>
            <w:vAlign w:val="bottom"/>
          </w:tcPr>
          <w:p>
            <w:pPr>
              <w:spacing w:after="0"/>
              <w:rPr>
                <w:sz w:val="16"/>
                <w:szCs w:val="16"/>
                <w:color w:val="auto"/>
              </w:rPr>
            </w:pPr>
          </w:p>
        </w:tc>
        <w:tc>
          <w:tcPr>
            <w:tcW w:w="2320" w:type="dxa"/>
            <w:vAlign w:val="bottom"/>
          </w:tcPr>
          <w:p>
            <w:pPr>
              <w:ind w:left="820"/>
              <w:spacing w:after="0"/>
              <w:rPr>
                <w:sz w:val="20"/>
                <w:szCs w:val="20"/>
                <w:color w:val="auto"/>
              </w:rPr>
            </w:pPr>
            <w:r>
              <w:rPr>
                <w:rFonts w:ascii="Arial" w:cs="Arial" w:eastAsia="Arial" w:hAnsi="Arial"/>
                <w:sz w:val="14"/>
                <w:szCs w:val="14"/>
                <w:b w:val="1"/>
                <w:bCs w:val="1"/>
                <w:color w:val="auto"/>
              </w:rPr>
              <w:t>Filing Data</w:t>
            </w:r>
          </w:p>
        </w:tc>
      </w:tr>
      <w:tr>
        <w:trPr>
          <w:trHeight w:val="189"/>
        </w:trPr>
        <w:tc>
          <w:tcPr>
            <w:tcW w:w="4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TVC</w:t>
            </w:r>
          </w:p>
        </w:tc>
        <w:tc>
          <w:tcPr>
            <w:tcW w:w="2760" w:type="dxa"/>
            <w:vAlign w:val="bottom"/>
          </w:tcPr>
          <w:p>
            <w:pPr>
              <w:spacing w:after="0" w:line="189" w:lineRule="exact"/>
              <w:rPr>
                <w:sz w:val="20"/>
                <w:szCs w:val="20"/>
                <w:color w:val="auto"/>
              </w:rPr>
            </w:pPr>
            <w:r>
              <w:rPr>
                <w:rFonts w:ascii="Arial" w:cs="Arial" w:eastAsia="Arial" w:hAnsi="Arial"/>
                <w:sz w:val="18"/>
                <w:szCs w:val="18"/>
                <w:color w:val="auto"/>
              </w:rPr>
              <w:t>Communications, L.L.C.</w:t>
            </w:r>
          </w:p>
        </w:tc>
        <w:tc>
          <w:tcPr>
            <w:tcW w:w="26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CommScope, Inc. of North Carolina</w:t>
            </w:r>
          </w:p>
        </w:tc>
        <w:tc>
          <w:tcPr>
            <w:tcW w:w="100" w:type="dxa"/>
            <w:vAlign w:val="bottom"/>
          </w:tcPr>
          <w:p>
            <w:pPr>
              <w:spacing w:after="0"/>
              <w:rPr>
                <w:sz w:val="16"/>
                <w:szCs w:val="16"/>
                <w:color w:val="auto"/>
              </w:rPr>
            </w:pPr>
          </w:p>
        </w:tc>
        <w:tc>
          <w:tcPr>
            <w:tcW w:w="2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Delaware Department of State</w:t>
            </w:r>
          </w:p>
        </w:tc>
        <w:tc>
          <w:tcPr>
            <w:tcW w:w="140" w:type="dxa"/>
            <w:vAlign w:val="bottom"/>
          </w:tcPr>
          <w:p>
            <w:pPr>
              <w:spacing w:after="0"/>
              <w:rPr>
                <w:sz w:val="16"/>
                <w:szCs w:val="16"/>
                <w:color w:val="auto"/>
              </w:rPr>
            </w:pPr>
          </w:p>
        </w:tc>
        <w:tc>
          <w:tcPr>
            <w:tcW w:w="23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Initial Filing # 2009 1997995</w:t>
            </w:r>
          </w:p>
        </w:tc>
      </w:tr>
      <w:tr>
        <w:trPr>
          <w:trHeight w:val="230"/>
        </w:trPr>
        <w:tc>
          <w:tcPr>
            <w:tcW w:w="4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U.C.C. Filing Section</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Filed 6/23/2009</w:t>
            </w: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VIII-1</w:t>
      </w:r>
    </w:p>
    <w:p>
      <w:pPr>
        <w:sectPr>
          <w:pgSz w:w="11900" w:h="16838" w:orient="portrait"/>
          <w:cols w:equalWidth="0" w:num="1">
            <w:col w:w="11020"/>
          </w:cols>
          <w:pgMar w:left="440" w:top="274" w:right="439" w:bottom="1440" w:gutter="0" w:footer="0" w:header="0"/>
        </w:sectPr>
      </w:pPr>
    </w:p>
    <w:bookmarkStart w:id="318" w:name="page319"/>
    <w:bookmarkEnd w:id="318"/>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IX</w:t>
      </w:r>
    </w:p>
    <w:p>
      <w:pPr>
        <w:sectPr>
          <w:pgSz w:w="11900" w:h="16838" w:orient="portrait"/>
          <w:cols w:equalWidth="0" w:num="1">
            <w:col w:w="9019"/>
          </w:cols>
          <w:pgMar w:left="1440" w:top="274"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Schedule IX-1</w:t>
      </w:r>
    </w:p>
    <w:p>
      <w:pPr>
        <w:sectPr>
          <w:pgSz w:w="11900" w:h="16838" w:orient="portrait"/>
          <w:cols w:equalWidth="0" w:num="1">
            <w:col w:w="9019"/>
          </w:cols>
          <w:pgMar w:left="1440" w:top="274" w:right="1440" w:bottom="1440" w:gutter="0" w:footer="0" w:header="0"/>
          <w:type w:val="continuous"/>
        </w:sectPr>
      </w:pPr>
    </w:p>
    <w:bookmarkStart w:id="319" w:name="page320"/>
    <w:bookmarkEnd w:id="31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EXCLUDED RECEIVABLES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Receivable</w:t>
      </w:r>
      <w:r>
        <w:rPr>
          <w:rFonts w:ascii="Arial" w:cs="Arial" w:eastAsia="Arial" w:hAnsi="Arial"/>
          <w:sz w:val="16"/>
          <w:szCs w:val="16"/>
          <w:color w:val="auto"/>
        </w:rPr>
        <w:t>” means any Receivable (without giving effect to the exclusion of “Excluded Receivables” from the definition thereof):</w:t>
      </w:r>
    </w:p>
    <w:p>
      <w:pPr>
        <w:spacing w:after="0" w:line="140" w:lineRule="exact"/>
        <w:rPr>
          <w:sz w:val="20"/>
          <w:szCs w:val="20"/>
          <w:color w:val="auto"/>
        </w:rPr>
      </w:pPr>
    </w:p>
    <w:p>
      <w:pPr>
        <w:ind w:left="280" w:hanging="224"/>
        <w:spacing w:after="0"/>
        <w:tabs>
          <w:tab w:leader="none" w:pos="28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that both (i) is owed by an Obligor not a resident of the United States and (ii) is denominated in a currency other than U.S. dollars,</w:t>
      </w:r>
    </w:p>
    <w:p>
      <w:pPr>
        <w:spacing w:after="0" w:line="236" w:lineRule="exact"/>
        <w:rPr>
          <w:rFonts w:ascii="Arial" w:cs="Arial" w:eastAsia="Arial" w:hAnsi="Arial"/>
          <w:sz w:val="17"/>
          <w:szCs w:val="17"/>
          <w:color w:val="auto"/>
        </w:rPr>
      </w:pPr>
    </w:p>
    <w:p>
      <w:pPr>
        <w:ind w:left="320" w:hanging="264"/>
        <w:spacing w:after="0"/>
        <w:tabs>
          <w:tab w:leader="none" w:pos="3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Obligor of which is Siemens AG or any Subsidiary thereof,</w:t>
      </w:r>
    </w:p>
    <w:p>
      <w:pPr>
        <w:spacing w:after="0" w:line="225" w:lineRule="exact"/>
        <w:rPr>
          <w:rFonts w:ascii="Arial" w:cs="Arial" w:eastAsia="Arial" w:hAnsi="Arial"/>
          <w:sz w:val="18"/>
          <w:szCs w:val="18"/>
          <w:color w:val="auto"/>
        </w:rPr>
      </w:pPr>
    </w:p>
    <w:p>
      <w:pPr>
        <w:ind w:left="380" w:hanging="324"/>
        <w:spacing w:after="0"/>
        <w:tabs>
          <w:tab w:leader="none" w:pos="3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Obligor of which is Siemens Energy AG or any Subsidiary thereof,</w:t>
      </w:r>
    </w:p>
    <w:p>
      <w:pPr>
        <w:spacing w:after="0" w:line="225" w:lineRule="exact"/>
        <w:rPr>
          <w:rFonts w:ascii="Arial" w:cs="Arial" w:eastAsia="Arial" w:hAnsi="Arial"/>
          <w:sz w:val="18"/>
          <w:szCs w:val="18"/>
          <w:color w:val="auto"/>
        </w:rPr>
      </w:pPr>
    </w:p>
    <w:p>
      <w:pPr>
        <w:ind w:left="360" w:hanging="304"/>
        <w:spacing w:after="0"/>
        <w:tabs>
          <w:tab w:leader="none" w:pos="3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Obligor of which is Mondelez International Inc. or any Subsidiary thereof,</w:t>
      </w:r>
    </w:p>
    <w:p>
      <w:pPr>
        <w:spacing w:after="0" w:line="225" w:lineRule="exact"/>
        <w:rPr>
          <w:rFonts w:ascii="Arial" w:cs="Arial" w:eastAsia="Arial" w:hAnsi="Arial"/>
          <w:sz w:val="18"/>
          <w:szCs w:val="18"/>
          <w:color w:val="auto"/>
        </w:rPr>
      </w:pPr>
    </w:p>
    <w:p>
      <w:pPr>
        <w:ind w:left="-380" w:right="540" w:firstLine="436"/>
        <w:spacing w:after="0" w:line="277" w:lineRule="auto"/>
        <w:tabs>
          <w:tab w:leader="none" w:pos="315"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Obligor of which is Evoqua Water Technologies LLC or any Subsidiary thereof and such Receivable was originated on or after September 26, 2019,</w:t>
      </w:r>
    </w:p>
    <w:p>
      <w:pPr>
        <w:spacing w:after="0" w:line="170" w:lineRule="exact"/>
        <w:rPr>
          <w:rFonts w:ascii="Arial" w:cs="Arial" w:eastAsia="Arial" w:hAnsi="Arial"/>
          <w:sz w:val="18"/>
          <w:szCs w:val="18"/>
          <w:color w:val="auto"/>
        </w:rPr>
      </w:pPr>
    </w:p>
    <w:p>
      <w:pPr>
        <w:ind w:left="360" w:hanging="304"/>
        <w:spacing w:after="0"/>
        <w:tabs>
          <w:tab w:leader="none" w:pos="3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20" w:hanging="364"/>
        <w:spacing w:after="0"/>
        <w:tabs>
          <w:tab w:leader="none" w:pos="4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60" w:hanging="404"/>
        <w:spacing w:after="0"/>
        <w:tabs>
          <w:tab w:leader="none" w:pos="4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380" w:right="40" w:firstLine="436"/>
        <w:spacing w:after="0" w:line="308" w:lineRule="auto"/>
        <w:tabs>
          <w:tab w:leader="none" w:pos="365" w:val="left"/>
        </w:tabs>
        <w:numPr>
          <w:ilvl w:val="0"/>
          <w:numId w:val="367"/>
        </w:numPr>
        <w:rPr>
          <w:rFonts w:ascii="Arial" w:cs="Arial" w:eastAsia="Arial" w:hAnsi="Arial"/>
          <w:sz w:val="17"/>
          <w:szCs w:val="17"/>
          <w:color w:val="auto"/>
        </w:rPr>
      </w:pPr>
      <w:r>
        <w:rPr>
          <w:rFonts w:ascii="Arial" w:cs="Arial" w:eastAsia="Arial" w:hAnsi="Arial"/>
          <w:sz w:val="17"/>
          <w:szCs w:val="17"/>
          <w:color w:val="auto"/>
        </w:rPr>
        <w:t>that is originated by any Originator that is joining the Sale Agreement on the date hereof and the Obligor of which is (a) Stanley Black &amp; Decker, Inc. (or any Subsidiary thereof), (b) [reserved] or (c) Electrical Components International Inc. (or any Subsidiary thereof),</w:t>
      </w:r>
    </w:p>
    <w:p>
      <w:pPr>
        <w:spacing w:after="0" w:line="146" w:lineRule="exact"/>
        <w:rPr>
          <w:rFonts w:ascii="Arial" w:cs="Arial" w:eastAsia="Arial" w:hAnsi="Arial"/>
          <w:sz w:val="17"/>
          <w:szCs w:val="17"/>
          <w:color w:val="auto"/>
        </w:rPr>
      </w:pPr>
    </w:p>
    <w:p>
      <w:pPr>
        <w:ind w:left="320" w:hanging="264"/>
        <w:spacing w:after="0"/>
        <w:tabs>
          <w:tab w:leader="none" w:pos="3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225" w:lineRule="exact"/>
        <w:rPr>
          <w:rFonts w:ascii="Arial" w:cs="Arial" w:eastAsia="Arial" w:hAnsi="Arial"/>
          <w:sz w:val="18"/>
          <w:szCs w:val="18"/>
          <w:color w:val="auto"/>
        </w:rPr>
      </w:pPr>
    </w:p>
    <w:p>
      <w:pPr>
        <w:ind w:left="360" w:hanging="304"/>
        <w:spacing w:after="0"/>
        <w:tabs>
          <w:tab w:leader="none" w:pos="3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Obligor of which is Honeywell International, Inc. or any Subsidiary thereof.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X-1</w:t>
      </w:r>
    </w:p>
    <w:p>
      <w:pPr>
        <w:sectPr>
          <w:pgSz w:w="11900" w:h="16838" w:orient="portrait"/>
          <w:cols w:equalWidth="0" w:num="1">
            <w:col w:w="10260"/>
          </w:cols>
          <w:pgMar w:left="820" w:top="274" w:right="819" w:bottom="1440" w:gutter="0" w:footer="0" w:header="0"/>
        </w:sectPr>
      </w:pPr>
    </w:p>
    <w:bookmarkStart w:id="320" w:name="page321"/>
    <w:bookmarkEnd w:id="32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CLOSING MEMORANDUM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XI-1</w:t>
      </w:r>
    </w:p>
    <w:p>
      <w:pPr>
        <w:sectPr>
          <w:pgSz w:w="11900" w:h="16838" w:orient="portrait"/>
          <w:cols w:equalWidth="0" w:num="1">
            <w:col w:w="9019"/>
          </w:cols>
          <w:pgMar w:left="1440" w:top="274" w:right="1440" w:bottom="1440" w:gutter="0" w:footer="0" w:header="0"/>
        </w:sectPr>
      </w:pPr>
    </w:p>
    <w:bookmarkStart w:id="321" w:name="page322"/>
    <w:bookmarkEnd w:id="32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to Fifth Amended And Restated Receivables Purchase Agreement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INFORMATION PACKAGE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w:t>
      </w:r>
    </w:p>
    <w:p>
      <w:pPr>
        <w:sectPr>
          <w:pgSz w:w="11900" w:h="16838" w:orient="portrait"/>
          <w:cols w:equalWidth="0" w:num="1">
            <w:col w:w="9019"/>
          </w:cols>
          <w:pgMar w:left="1440" w:top="274" w:right="1440" w:bottom="1440" w:gutter="0" w:footer="0" w:header="0"/>
        </w:sectPr>
      </w:pPr>
    </w:p>
    <w:bookmarkStart w:id="322" w:name="page323"/>
    <w:bookmarkEnd w:id="32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to Fifth Amended And Restated Receivables Purchase Agreement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PURCHASE NOTICE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B</w:t>
      </w:r>
    </w:p>
    <w:p>
      <w:pPr>
        <w:sectPr>
          <w:pgSz w:w="11900" w:h="16838" w:orient="portrait"/>
          <w:cols w:equalWidth="0" w:num="1">
            <w:col w:w="9019"/>
          </w:cols>
          <w:pgMar w:left="1440" w:top="274" w:right="1440" w:bottom="1440" w:gutter="0" w:footer="0" w:header="0"/>
        </w:sectPr>
      </w:pPr>
    </w:p>
    <w:bookmarkStart w:id="323" w:name="page324"/>
    <w:bookmarkEnd w:id="32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PURCHASE NOTICE</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_______ ___,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PNC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225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Pittsburgh, PA 15222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Reference is hereby made to the Fifth Amended and Restated Receivables Purchase Agreement, dated as of June 22, 2020 (as heretofore amended or supplemented, the “</w:t>
      </w:r>
      <w:r>
        <w:rPr>
          <w:rFonts w:ascii="Arial" w:cs="Arial" w:eastAsia="Arial" w:hAnsi="Arial"/>
          <w:sz w:val="17"/>
          <w:szCs w:val="17"/>
          <w:u w:val="single" w:color="auto"/>
          <w:color w:val="auto"/>
        </w:rPr>
        <w:t>Receivables Purchase Agreement</w:t>
      </w:r>
      <w:r>
        <w:rPr>
          <w:rFonts w:ascii="Arial" w:cs="Arial" w:eastAsia="Arial" w:hAnsi="Arial"/>
          <w:sz w:val="17"/>
          <w:szCs w:val="17"/>
          <w:color w:val="auto"/>
        </w:rPr>
        <w:t>”), among WESCO Receivables Corp. (“</w:t>
      </w:r>
      <w:r>
        <w:rPr>
          <w:rFonts w:ascii="Arial" w:cs="Arial" w:eastAsia="Arial" w:hAnsi="Arial"/>
          <w:sz w:val="17"/>
          <w:szCs w:val="17"/>
          <w:u w:val="single" w:color="auto"/>
          <w:color w:val="auto"/>
        </w:rPr>
        <w:t>Seller</w:t>
      </w:r>
      <w:r>
        <w:rPr>
          <w:rFonts w:ascii="Arial" w:cs="Arial" w:eastAsia="Arial" w:hAnsi="Arial"/>
          <w:sz w:val="17"/>
          <w:szCs w:val="17"/>
          <w:color w:val="auto"/>
        </w:rPr>
        <w:t>”), WESCO Distribution, Inc., as Servicer, PNC Bank, National Association (the “</w:t>
      </w:r>
      <w:r>
        <w:rPr>
          <w:rFonts w:ascii="Arial" w:cs="Arial" w:eastAsia="Arial" w:hAnsi="Arial"/>
          <w:sz w:val="17"/>
          <w:szCs w:val="17"/>
          <w:u w:val="single" w:color="auto"/>
          <w:color w:val="auto"/>
        </w:rPr>
        <w:t>Administrator</w:t>
      </w:r>
      <w:r>
        <w:rPr>
          <w:rFonts w:ascii="Arial" w:cs="Arial" w:eastAsia="Arial" w:hAnsi="Arial"/>
          <w:sz w:val="17"/>
          <w:szCs w:val="17"/>
          <w:color w:val="auto"/>
        </w:rPr>
        <w:t>”) and the various Purchaser Groups party thereto. Capitalized terms used in this Purchase Notice and not otherwise defined herein shall have the meanings assigned thereto in the Receivables Purchase Agreement.</w:t>
      </w:r>
    </w:p>
    <w:p>
      <w:pPr>
        <w:spacing w:after="0" w:line="171"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 xml:space="preserve">This letter constitutes a Purchase Notice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of the Receivables Purchase Agreement. Seller desires to sell an undivided variable interest in a pool of receivables on _______ ___, 20__, for a purchase price of $________. The Aggregate Investment after such purchase shall</w:t>
      </w:r>
    </w:p>
    <w:p>
      <w:pPr>
        <w:spacing w:after="0"/>
        <w:rPr>
          <w:sz w:val="20"/>
          <w:szCs w:val="20"/>
          <w:color w:val="auto"/>
        </w:rPr>
      </w:pPr>
      <w:r>
        <w:rPr>
          <w:rFonts w:ascii="Arial" w:cs="Arial" w:eastAsia="Arial" w:hAnsi="Arial"/>
          <w:sz w:val="18"/>
          <w:szCs w:val="18"/>
          <w:color w:val="auto"/>
        </w:rPr>
        <w:t>be $__________.</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Seller hereby represents and warrants as of the date hereof, and as of the date of Purchase, as follows:</w:t>
      </w:r>
    </w:p>
    <w:p>
      <w:pPr>
        <w:spacing w:after="0" w:line="117" w:lineRule="exact"/>
        <w:rPr>
          <w:sz w:val="20"/>
          <w:szCs w:val="20"/>
          <w:color w:val="auto"/>
        </w:rPr>
      </w:pPr>
    </w:p>
    <w:p>
      <w:pPr>
        <w:ind w:right="80" w:firstLine="436"/>
        <w:spacing w:after="0" w:line="311" w:lineRule="auto"/>
        <w:tabs>
          <w:tab w:leader="none" w:pos="655" w:val="left"/>
        </w:tabs>
        <w:numPr>
          <w:ilvl w:val="0"/>
          <w:numId w:val="368"/>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contained in </w:t>
      </w:r>
      <w:r>
        <w:rPr>
          <w:rFonts w:ascii="Arial" w:cs="Arial" w:eastAsia="Arial" w:hAnsi="Arial"/>
          <w:sz w:val="16"/>
          <w:szCs w:val="16"/>
          <w:u w:val="single" w:color="auto"/>
          <w:color w:val="auto"/>
        </w:rPr>
        <w:t>Exhibit III</w:t>
      </w:r>
      <w:r>
        <w:rPr>
          <w:rFonts w:ascii="Arial" w:cs="Arial" w:eastAsia="Arial" w:hAnsi="Arial"/>
          <w:sz w:val="16"/>
          <w:szCs w:val="16"/>
          <w:color w:val="auto"/>
        </w:rPr>
        <w:t xml:space="preserve"> of the Receivables Purchase Agreement are correct in all material respects on and as of such dates as though made on and as of such dates and shall be deemed to have been made on such dates;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representation and warranty relates solely to an earlier date, such representation and warranty was correct in all material respects as of such earlier date;</w:t>
      </w:r>
    </w:p>
    <w:p>
      <w:pPr>
        <w:spacing w:after="0" w:line="148" w:lineRule="exact"/>
        <w:rPr>
          <w:rFonts w:ascii="Arial" w:cs="Arial" w:eastAsia="Arial" w:hAnsi="Arial"/>
          <w:sz w:val="16"/>
          <w:szCs w:val="16"/>
          <w:color w:val="auto"/>
        </w:rPr>
      </w:pPr>
    </w:p>
    <w:p>
      <w:pPr>
        <w:ind w:left="700" w:hanging="264"/>
        <w:spacing w:after="0"/>
        <w:tabs>
          <w:tab w:leader="none" w:pos="7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no Termination Event or Unmatured Termination Event has occurred and is continuing, or would result from such purchase;</w:t>
      </w:r>
    </w:p>
    <w:p>
      <w:pPr>
        <w:spacing w:after="0" w:line="225" w:lineRule="exact"/>
        <w:rPr>
          <w:rFonts w:ascii="Arial" w:cs="Arial" w:eastAsia="Arial" w:hAnsi="Arial"/>
          <w:sz w:val="18"/>
          <w:szCs w:val="18"/>
          <w:color w:val="auto"/>
        </w:rPr>
      </w:pPr>
    </w:p>
    <w:p>
      <w:pPr>
        <w:ind w:right="260" w:firstLine="436"/>
        <w:spacing w:after="0" w:line="277" w:lineRule="auto"/>
        <w:tabs>
          <w:tab w:leader="none" w:pos="755"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after giving effect to the purchase proposed hereby, the Purchased Interest will not exceed 100%, no Purchaser’s Investment will exceed its Commitment and the Aggregate Investment will not exceed the Purchase Limit; and</w:t>
      </w:r>
    </w:p>
    <w:p>
      <w:pPr>
        <w:spacing w:after="0" w:line="170" w:lineRule="exact"/>
        <w:rPr>
          <w:rFonts w:ascii="Arial" w:cs="Arial" w:eastAsia="Arial" w:hAnsi="Arial"/>
          <w:sz w:val="18"/>
          <w:szCs w:val="18"/>
          <w:color w:val="auto"/>
        </w:rPr>
      </w:pPr>
    </w:p>
    <w:p>
      <w:pPr>
        <w:ind w:left="740" w:hanging="304"/>
        <w:spacing w:after="0"/>
        <w:tabs>
          <w:tab w:leader="none" w:pos="7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Facility Termination Date shall not have occurred.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w:t>
      </w:r>
    </w:p>
    <w:p>
      <w:pPr>
        <w:sectPr>
          <w:pgSz w:w="11900" w:h="16838" w:orient="portrait"/>
          <w:cols w:equalWidth="0" w:num="1">
            <w:col w:w="11020"/>
          </w:cols>
          <w:pgMar w:left="440" w:top="270" w:right="439" w:bottom="1440" w:gutter="0" w:footer="0" w:header="0"/>
        </w:sectPr>
      </w:pPr>
    </w:p>
    <w:bookmarkStart w:id="324" w:name="page325"/>
    <w:bookmarkEnd w:id="32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has caused this Purchase Notice to be executed by its duly authorized officer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WESCO RECEIVABLES CORP.</w:t>
      </w:r>
    </w:p>
    <w:p>
      <w:pPr>
        <w:spacing w:after="0" w:line="26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ANNEX B</w:t>
      </w:r>
    </w:p>
    <w:p>
      <w:pPr>
        <w:sectPr>
          <w:pgSz w:w="11900" w:h="16838" w:orient="portrait"/>
          <w:cols w:equalWidth="0" w:num="1">
            <w:col w:w="10960"/>
          </w:cols>
          <w:pgMar w:left="440" w:top="274" w:right="499"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6800" w:type="dxa"/>
            <w:vAlign w:val="bottom"/>
          </w:tcPr>
          <w:p>
            <w:pPr>
              <w:jc w:val="center"/>
              <w:ind w:right="4150"/>
              <w:spacing w:after="0"/>
              <w:rPr>
                <w:sz w:val="20"/>
                <w:szCs w:val="20"/>
                <w:color w:val="auto"/>
              </w:rPr>
            </w:pPr>
            <w:r>
              <w:rPr>
                <w:rFonts w:ascii="Arial" w:cs="Arial" w:eastAsia="Arial" w:hAnsi="Arial"/>
                <w:sz w:val="18"/>
                <w:szCs w:val="18"/>
                <w:color w:val="auto"/>
                <w:w w:val="99"/>
              </w:rPr>
              <w:t>ANNEX C</w:t>
            </w:r>
          </w:p>
        </w:tc>
      </w:tr>
      <w:tr>
        <w:trPr>
          <w:trHeight w:val="432"/>
        </w:trPr>
        <w:tc>
          <w:tcPr>
            <w:tcW w:w="4220" w:type="dxa"/>
            <w:vAlign w:val="bottom"/>
          </w:tcPr>
          <w:p>
            <w:pPr>
              <w:spacing w:after="0"/>
              <w:rPr>
                <w:sz w:val="24"/>
                <w:szCs w:val="24"/>
                <w:color w:val="auto"/>
              </w:rPr>
            </w:pPr>
          </w:p>
        </w:tc>
        <w:tc>
          <w:tcPr>
            <w:tcW w:w="6800" w:type="dxa"/>
            <w:vAlign w:val="bottom"/>
          </w:tcPr>
          <w:p>
            <w:pPr>
              <w:jc w:val="center"/>
              <w:ind w:right="4130"/>
              <w:spacing w:after="0"/>
              <w:rPr>
                <w:sz w:val="20"/>
                <w:szCs w:val="20"/>
                <w:color w:val="auto"/>
              </w:rPr>
            </w:pPr>
            <w:r>
              <w:rPr>
                <w:rFonts w:ascii="Arial" w:cs="Arial" w:eastAsia="Arial" w:hAnsi="Arial"/>
                <w:sz w:val="18"/>
                <w:szCs w:val="18"/>
                <w:color w:val="auto"/>
                <w:w w:val="95"/>
              </w:rPr>
              <w:t>FORM OF DAILY REPORT</w:t>
            </w:r>
          </w:p>
        </w:tc>
      </w:tr>
      <w:tr>
        <w:trPr>
          <w:trHeight w:val="243"/>
        </w:trPr>
        <w:tc>
          <w:tcPr>
            <w:tcW w:w="4220" w:type="dxa"/>
            <w:vAlign w:val="bottom"/>
          </w:tcPr>
          <w:p>
            <w:pPr>
              <w:spacing w:after="0"/>
              <w:rPr>
                <w:sz w:val="21"/>
                <w:szCs w:val="21"/>
                <w:color w:val="auto"/>
              </w:rPr>
            </w:pPr>
          </w:p>
        </w:tc>
        <w:tc>
          <w:tcPr>
            <w:tcW w:w="6800" w:type="dxa"/>
            <w:vAlign w:val="bottom"/>
          </w:tcPr>
          <w:p>
            <w:pPr>
              <w:spacing w:after="0"/>
              <w:rPr>
                <w:sz w:val="21"/>
                <w:szCs w:val="2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Gross A/R of Originators at prior month end</w:t>
            </w:r>
          </w:p>
        </w:tc>
        <w:tc>
          <w:tcPr>
            <w:tcW w:w="6800" w:type="dxa"/>
            <w:vAlign w:val="bottom"/>
            <w:shd w:val="clear" w:color="auto" w:fill="CCEEFF"/>
          </w:tcPr>
          <w:p>
            <w:pPr>
              <w:ind w:left="5700"/>
              <w:spacing w:after="0"/>
              <w:rPr>
                <w:sz w:val="20"/>
                <w:szCs w:val="20"/>
                <w:color w:val="auto"/>
              </w:rPr>
            </w:pPr>
            <w:r>
              <w:rPr>
                <w:rFonts w:ascii="Arial" w:cs="Arial" w:eastAsia="Arial" w:hAnsi="Arial"/>
                <w:sz w:val="18"/>
                <w:szCs w:val="18"/>
                <w:color w:val="auto"/>
              </w:rPr>
              <w:t>$ x,xxx,xxx</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 Originator sales since prior month end</w:t>
            </w:r>
          </w:p>
        </w:tc>
        <w:tc>
          <w:tcPr>
            <w:tcW w:w="6800" w:type="dxa"/>
            <w:vAlign w:val="bottom"/>
          </w:tcPr>
          <w:p>
            <w:pPr>
              <w:ind w:left="5700"/>
              <w:spacing w:after="0"/>
              <w:rPr>
                <w:sz w:val="20"/>
                <w:szCs w:val="20"/>
                <w:color w:val="auto"/>
              </w:rPr>
            </w:pPr>
            <w:r>
              <w:rPr>
                <w:rFonts w:ascii="Arial" w:cs="Arial" w:eastAsia="Arial" w:hAnsi="Arial"/>
                <w:sz w:val="18"/>
                <w:szCs w:val="18"/>
                <w:color w:val="auto"/>
              </w:rPr>
              <w:t>$ x,xxx,xxx</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 Originator collections since prior month end</w:t>
            </w:r>
          </w:p>
        </w:tc>
        <w:tc>
          <w:tcPr>
            <w:tcW w:w="6800" w:type="dxa"/>
            <w:vAlign w:val="bottom"/>
            <w:shd w:val="clear" w:color="auto" w:fill="CCEEFF"/>
          </w:tcPr>
          <w:p>
            <w:pPr>
              <w:ind w:left="5700"/>
              <w:spacing w:after="0"/>
              <w:rPr>
                <w:sz w:val="20"/>
                <w:szCs w:val="20"/>
                <w:color w:val="auto"/>
              </w:rPr>
            </w:pPr>
            <w:r>
              <w:rPr>
                <w:rFonts w:ascii="Arial" w:cs="Arial" w:eastAsia="Arial" w:hAnsi="Arial"/>
                <w:sz w:val="18"/>
                <w:szCs w:val="18"/>
                <w:color w:val="auto"/>
              </w:rPr>
              <w:t>($ x,xxx,xxx)</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Gross A/R of Originators</w:t>
            </w:r>
          </w:p>
        </w:tc>
        <w:tc>
          <w:tcPr>
            <w:tcW w:w="6800" w:type="dxa"/>
            <w:vAlign w:val="bottom"/>
          </w:tcPr>
          <w:p>
            <w:pPr>
              <w:ind w:left="5700"/>
              <w:spacing w:after="0"/>
              <w:rPr>
                <w:sz w:val="20"/>
                <w:szCs w:val="20"/>
                <w:color w:val="auto"/>
              </w:rPr>
            </w:pPr>
            <w:r>
              <w:rPr>
                <w:rFonts w:ascii="Arial" w:cs="Arial" w:eastAsia="Arial" w:hAnsi="Arial"/>
                <w:sz w:val="18"/>
                <w:szCs w:val="18"/>
                <w:color w:val="auto"/>
              </w:rPr>
              <w:t>$ x,xxx,xxx</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 Advance Rate Proxy from Prior Month End</w:t>
            </w:r>
          </w:p>
        </w:tc>
        <w:tc>
          <w:tcPr>
            <w:tcW w:w="6800" w:type="dxa"/>
            <w:vAlign w:val="bottom"/>
            <w:shd w:val="clear" w:color="auto" w:fill="CCEEFF"/>
          </w:tcPr>
          <w:p>
            <w:pPr>
              <w:ind w:left="5700"/>
              <w:spacing w:after="0"/>
              <w:rPr>
                <w:sz w:val="20"/>
                <w:szCs w:val="20"/>
                <w:color w:val="auto"/>
              </w:rPr>
            </w:pPr>
            <w:r>
              <w:rPr>
                <w:rFonts w:ascii="Arial" w:cs="Arial" w:eastAsia="Arial" w:hAnsi="Arial"/>
                <w:sz w:val="18"/>
                <w:szCs w:val="18"/>
                <w:color w:val="auto"/>
              </w:rPr>
              <w:t>($ x,xxx,xxx)</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 Maximum Aggregate Investment</w:t>
            </w:r>
          </w:p>
        </w:tc>
        <w:tc>
          <w:tcPr>
            <w:tcW w:w="6800" w:type="dxa"/>
            <w:vAlign w:val="bottom"/>
          </w:tcPr>
          <w:p>
            <w:pPr>
              <w:ind w:left="5700"/>
              <w:spacing w:after="0"/>
              <w:rPr>
                <w:sz w:val="20"/>
                <w:szCs w:val="20"/>
                <w:color w:val="auto"/>
              </w:rPr>
            </w:pPr>
            <w:r>
              <w:rPr>
                <w:rFonts w:ascii="Arial" w:cs="Arial" w:eastAsia="Arial" w:hAnsi="Arial"/>
                <w:sz w:val="18"/>
                <w:szCs w:val="18"/>
                <w:color w:val="auto"/>
              </w:rPr>
              <w:t>$ x,xxx,xxx</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Aggregate Investment</w:t>
            </w:r>
          </w:p>
        </w:tc>
        <w:tc>
          <w:tcPr>
            <w:tcW w:w="6800" w:type="dxa"/>
            <w:vAlign w:val="bottom"/>
            <w:shd w:val="clear" w:color="auto" w:fill="CCEEFF"/>
          </w:tcPr>
          <w:p>
            <w:pPr>
              <w:ind w:left="5700"/>
              <w:spacing w:after="0"/>
              <w:rPr>
                <w:sz w:val="20"/>
                <w:szCs w:val="20"/>
                <w:color w:val="auto"/>
              </w:rPr>
            </w:pPr>
            <w:r>
              <w:rPr>
                <w:rFonts w:ascii="Arial" w:cs="Arial" w:eastAsia="Arial" w:hAnsi="Arial"/>
                <w:sz w:val="18"/>
                <w:szCs w:val="18"/>
                <w:color w:val="auto"/>
              </w:rPr>
              <w:t>$ x,xxx,xxx</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Total Reserves Proxy</w:t>
            </w:r>
          </w:p>
        </w:tc>
        <w:tc>
          <w:tcPr>
            <w:tcW w:w="6800" w:type="dxa"/>
            <w:vAlign w:val="bottom"/>
          </w:tcPr>
          <w:p>
            <w:pPr>
              <w:ind w:left="5700"/>
              <w:spacing w:after="0"/>
              <w:rPr>
                <w:sz w:val="20"/>
                <w:szCs w:val="20"/>
                <w:color w:val="auto"/>
              </w:rPr>
            </w:pPr>
            <w:r>
              <w:rPr>
                <w:rFonts w:ascii="Arial" w:cs="Arial" w:eastAsia="Arial" w:hAnsi="Arial"/>
                <w:sz w:val="18"/>
                <w:szCs w:val="18"/>
                <w:color w:val="auto"/>
              </w:rPr>
              <w:t>$ x,xxx,xxx</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Gross A/R of Originators</w:t>
            </w:r>
          </w:p>
        </w:tc>
        <w:tc>
          <w:tcPr>
            <w:tcW w:w="6800" w:type="dxa"/>
            <w:vAlign w:val="bottom"/>
            <w:shd w:val="clear" w:color="auto" w:fill="CCEEFF"/>
          </w:tcPr>
          <w:p>
            <w:pPr>
              <w:ind w:left="5700"/>
              <w:spacing w:after="0"/>
              <w:rPr>
                <w:sz w:val="20"/>
                <w:szCs w:val="20"/>
                <w:color w:val="auto"/>
              </w:rPr>
            </w:pPr>
            <w:r>
              <w:rPr>
                <w:rFonts w:ascii="Arial" w:cs="Arial" w:eastAsia="Arial" w:hAnsi="Arial"/>
                <w:sz w:val="18"/>
                <w:szCs w:val="18"/>
                <w:color w:val="auto"/>
              </w:rPr>
              <w:t>$ x,xxx,xxx</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Ineligible A/R (proxied from Prior Month End)</w:t>
            </w:r>
          </w:p>
        </w:tc>
        <w:tc>
          <w:tcPr>
            <w:tcW w:w="6800" w:type="dxa"/>
            <w:vAlign w:val="bottom"/>
          </w:tcPr>
          <w:p>
            <w:pPr>
              <w:ind w:left="5700"/>
              <w:spacing w:after="0"/>
              <w:rPr>
                <w:sz w:val="20"/>
                <w:szCs w:val="20"/>
                <w:color w:val="auto"/>
              </w:rPr>
            </w:pPr>
            <w:r>
              <w:rPr>
                <w:rFonts w:ascii="Arial" w:cs="Arial" w:eastAsia="Arial" w:hAnsi="Arial"/>
                <w:sz w:val="18"/>
                <w:szCs w:val="18"/>
                <w:color w:val="auto"/>
              </w:rPr>
              <w:t>$ x,xxx,xxx</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6"/>
              </w:rPr>
              <w:t>Excess Concentrations (proxied from Prior Month End)</w:t>
            </w:r>
          </w:p>
        </w:tc>
        <w:tc>
          <w:tcPr>
            <w:tcW w:w="6800" w:type="dxa"/>
            <w:vAlign w:val="bottom"/>
            <w:shd w:val="clear" w:color="auto" w:fill="CCEEFF"/>
          </w:tcPr>
          <w:p>
            <w:pPr>
              <w:ind w:left="5700"/>
              <w:spacing w:after="0"/>
              <w:rPr>
                <w:sz w:val="20"/>
                <w:szCs w:val="20"/>
                <w:color w:val="auto"/>
              </w:rPr>
            </w:pPr>
            <w:r>
              <w:rPr>
                <w:rFonts w:ascii="Arial" w:cs="Arial" w:eastAsia="Arial" w:hAnsi="Arial"/>
                <w:sz w:val="18"/>
                <w:szCs w:val="18"/>
                <w:color w:val="auto"/>
              </w:rPr>
              <w:t>$ x,xxx,xxx</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Net Receivables Pool Balance</w:t>
            </w:r>
          </w:p>
        </w:tc>
        <w:tc>
          <w:tcPr>
            <w:tcW w:w="6800" w:type="dxa"/>
            <w:vAlign w:val="bottom"/>
          </w:tcPr>
          <w:p>
            <w:pPr>
              <w:ind w:left="5700"/>
              <w:spacing w:after="0"/>
              <w:rPr>
                <w:sz w:val="20"/>
                <w:szCs w:val="20"/>
                <w:color w:val="auto"/>
              </w:rPr>
            </w:pPr>
            <w:r>
              <w:rPr>
                <w:rFonts w:ascii="Arial" w:cs="Arial" w:eastAsia="Arial" w:hAnsi="Arial"/>
                <w:sz w:val="18"/>
                <w:szCs w:val="18"/>
                <w:color w:val="auto"/>
              </w:rPr>
              <w:t>$ x,xxx,xxx</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Purchased Interest</w:t>
            </w:r>
          </w:p>
        </w:tc>
        <w:tc>
          <w:tcPr>
            <w:tcW w:w="6800" w:type="dxa"/>
            <w:vAlign w:val="bottom"/>
            <w:shd w:val="clear" w:color="auto" w:fill="CCEEFF"/>
          </w:tcPr>
          <w:p>
            <w:pPr>
              <w:ind w:left="6400"/>
              <w:spacing w:after="0"/>
              <w:rPr>
                <w:sz w:val="20"/>
                <w:szCs w:val="20"/>
                <w:color w:val="auto"/>
              </w:rPr>
            </w:pPr>
            <w:r>
              <w:rPr>
                <w:rFonts w:ascii="Arial" w:cs="Arial" w:eastAsia="Arial" w:hAnsi="Arial"/>
                <w:sz w:val="18"/>
                <w:szCs w:val="18"/>
                <w:color w:val="auto"/>
              </w:rPr>
              <w:t>xx%</w:t>
            </w:r>
          </w:p>
        </w:tc>
      </w:tr>
      <w:tr>
        <w:trPr>
          <w:trHeight w:val="364"/>
        </w:trPr>
        <w:tc>
          <w:tcPr>
            <w:tcW w:w="4220" w:type="dxa"/>
            <w:vAlign w:val="bottom"/>
          </w:tcPr>
          <w:p>
            <w:pPr>
              <w:spacing w:after="0"/>
              <w:rPr>
                <w:sz w:val="24"/>
                <w:szCs w:val="24"/>
                <w:color w:val="auto"/>
              </w:rPr>
            </w:pPr>
          </w:p>
        </w:tc>
        <w:tc>
          <w:tcPr>
            <w:tcW w:w="6800" w:type="dxa"/>
            <w:vAlign w:val="bottom"/>
          </w:tcPr>
          <w:p>
            <w:pPr>
              <w:jc w:val="center"/>
              <w:ind w:right="4150"/>
              <w:spacing w:after="0"/>
              <w:rPr>
                <w:sz w:val="20"/>
                <w:szCs w:val="20"/>
                <w:color w:val="auto"/>
              </w:rPr>
            </w:pPr>
            <w:r>
              <w:rPr>
                <w:rFonts w:ascii="Arial" w:cs="Arial" w:eastAsia="Arial" w:hAnsi="Arial"/>
                <w:sz w:val="18"/>
                <w:szCs w:val="18"/>
                <w:color w:val="auto"/>
                <w:w w:val="99"/>
              </w:rPr>
              <w:t>ANNEX C</w:t>
            </w:r>
          </w:p>
        </w:tc>
      </w:tr>
    </w:tbl>
    <w:p>
      <w:pPr>
        <w:jc w:val="center"/>
        <w:ind w:right="4150"/>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26" w:name="page327"/>
    <w:bookmarkEnd w:id="32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to Fifth Amended And Restated Receivables Purchase Agreement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ASSUMPTION AGREEMENT</w:t>
      </w:r>
    </w:p>
    <w:p>
      <w:pPr>
        <w:sectPr>
          <w:pgSz w:w="11900" w:h="16838" w:orient="portrait"/>
          <w:cols w:equalWidth="0" w:num="1">
            <w:col w:w="9019"/>
          </w:cols>
          <w:pgMar w:left="1440" w:top="274" w:right="1440"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ASSUMPTION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ASSUMPTION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[______ __, ____], is among WESCO RECEIVABLES CORP.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“Seller”), [________], as purchaser (the “[_____]Conduit Purchaser”), [________], as the related committed purchaser (the “[______] Related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Committed Purchaser” and together with the Conduit Purchaser, the “[_____] Purchasers”), and [________], as agent for the Purchasers (the “[______]</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Purchaser Agent” and together with the Purchasers, the “[_______] Purchaser Group”).</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The Seller and various others are parties to a certain Fifth Amended and Restated Receivables Purchase Agreement dated as of June 22, 2020 (as amended through the date hereof, the “Receivables Purchase Agreement”). Capitalized terms used and not otherwise defined herein have the respective meaning assigned to such terms in the Receivables Purchase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parties hereto hereby agree as follows:</w:t>
      </w:r>
    </w:p>
    <w:p>
      <w:pPr>
        <w:spacing w:after="0" w:line="225" w:lineRule="exact"/>
        <w:rPr>
          <w:sz w:val="20"/>
          <w:szCs w:val="20"/>
          <w:color w:val="auto"/>
        </w:rPr>
      </w:pPr>
    </w:p>
    <w:p>
      <w:pPr>
        <w:ind w:right="180" w:firstLine="440"/>
        <w:spacing w:after="0" w:line="291" w:lineRule="auto"/>
        <w:rPr>
          <w:sz w:val="20"/>
          <w:szCs w:val="20"/>
          <w:color w:val="auto"/>
        </w:rPr>
      </w:pPr>
      <w:r>
        <w:rPr>
          <w:rFonts w:ascii="Arial" w:cs="Arial" w:eastAsia="Arial" w:hAnsi="Arial"/>
          <w:sz w:val="16"/>
          <w:szCs w:val="16"/>
          <w:color w:val="auto"/>
        </w:rPr>
        <w:t xml:space="preserve">SECTION 1. This letter constitutes an Assumption Agreement pursuant to </w:t>
      </w:r>
      <w:r>
        <w:rPr>
          <w:rFonts w:ascii="Arial" w:cs="Arial" w:eastAsia="Arial" w:hAnsi="Arial"/>
          <w:sz w:val="16"/>
          <w:szCs w:val="16"/>
          <w:u w:val="single" w:color="auto"/>
          <w:color w:val="auto"/>
        </w:rPr>
        <w:t>Section 1.2(e)</w:t>
      </w:r>
      <w:r>
        <w:rPr>
          <w:rFonts w:ascii="Arial" w:cs="Arial" w:eastAsia="Arial" w:hAnsi="Arial"/>
          <w:sz w:val="16"/>
          <w:szCs w:val="16"/>
          <w:color w:val="auto"/>
        </w:rPr>
        <w:t xml:space="preserve"> of the Receivables Purchase Agreement. The Seller desires [the [_____] Purchasers] [the [______] Related Committed Purchaser] to [become Purchasers under] [increase its existing Commitment under]</w:t>
      </w:r>
    </w:p>
    <w:p>
      <w:pPr>
        <w:spacing w:after="0"/>
        <w:rPr>
          <w:sz w:val="20"/>
          <w:szCs w:val="20"/>
          <w:color w:val="auto"/>
        </w:rPr>
      </w:pPr>
      <w:r>
        <w:rPr>
          <w:rFonts w:ascii="Arial" w:cs="Arial" w:eastAsia="Arial" w:hAnsi="Arial"/>
          <w:sz w:val="16"/>
          <w:szCs w:val="16"/>
          <w:color w:val="auto"/>
        </w:rPr>
        <w:t>the Receivables Purchase Agreement and upon the terms and subject to the conditions set forth in the Receivables Purchase Agreement, the [________]</w:t>
      </w:r>
    </w:p>
    <w:p>
      <w:pPr>
        <w:spacing w:after="0" w:line="32"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Purchasers agree to [become Purchasers thereunder] [increase its Commitment in an amount equal to the amount set forth as the “Commitment” under the signature of the [______] Related Committed Purchaser hereto].</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Seller hereby represents and warrants to the [________] Purchasers as of the date hereof, as follows:</w:t>
      </w:r>
    </w:p>
    <w:p>
      <w:pPr>
        <w:spacing w:after="0" w:line="117" w:lineRule="exact"/>
        <w:rPr>
          <w:sz w:val="20"/>
          <w:szCs w:val="20"/>
          <w:color w:val="auto"/>
        </w:rPr>
      </w:pPr>
    </w:p>
    <w:p>
      <w:pPr>
        <w:ind w:right="80" w:firstLine="436"/>
        <w:spacing w:after="0" w:line="311" w:lineRule="auto"/>
        <w:tabs>
          <w:tab w:leader="none" w:pos="655" w:val="left"/>
        </w:tabs>
        <w:numPr>
          <w:ilvl w:val="0"/>
          <w:numId w:val="369"/>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contained in </w:t>
      </w:r>
      <w:r>
        <w:rPr>
          <w:rFonts w:ascii="Arial" w:cs="Arial" w:eastAsia="Arial" w:hAnsi="Arial"/>
          <w:sz w:val="16"/>
          <w:szCs w:val="16"/>
          <w:u w:val="single" w:color="auto"/>
          <w:color w:val="auto"/>
        </w:rPr>
        <w:t>Exhibit III</w:t>
      </w:r>
      <w:r>
        <w:rPr>
          <w:rFonts w:ascii="Arial" w:cs="Arial" w:eastAsia="Arial" w:hAnsi="Arial"/>
          <w:sz w:val="16"/>
          <w:szCs w:val="16"/>
          <w:color w:val="auto"/>
        </w:rPr>
        <w:t xml:space="preserve"> of the Receivables Purchase Agreement are correct in all material respects on and as of such dates as though made on and as of such dates and shall be deemed to have been made on such dates;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representation and warranty relates solely to an earlier date, such representation and warranty was correct in all material respects as of such earlier date;</w:t>
      </w:r>
    </w:p>
    <w:p>
      <w:pPr>
        <w:spacing w:after="0" w:line="148" w:lineRule="exact"/>
        <w:rPr>
          <w:rFonts w:ascii="Arial" w:cs="Arial" w:eastAsia="Arial" w:hAnsi="Arial"/>
          <w:sz w:val="16"/>
          <w:szCs w:val="16"/>
          <w:color w:val="auto"/>
        </w:rPr>
      </w:pPr>
    </w:p>
    <w:p>
      <w:pPr>
        <w:ind w:left="700" w:hanging="264"/>
        <w:spacing w:after="0"/>
        <w:tabs>
          <w:tab w:leader="none" w:pos="7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no Termination Event or Unmatured Termination Event has occurred and is continuing, or would result from such purchase; and</w:t>
      </w:r>
    </w:p>
    <w:p>
      <w:pPr>
        <w:spacing w:after="0" w:line="225" w:lineRule="exact"/>
        <w:rPr>
          <w:rFonts w:ascii="Arial" w:cs="Arial" w:eastAsia="Arial" w:hAnsi="Arial"/>
          <w:sz w:val="18"/>
          <w:szCs w:val="18"/>
          <w:color w:val="auto"/>
        </w:rPr>
      </w:pPr>
    </w:p>
    <w:p>
      <w:pPr>
        <w:ind w:left="760" w:hanging="324"/>
        <w:spacing w:after="0"/>
        <w:tabs>
          <w:tab w:leader="none" w:pos="7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Facility Termination Date shall not have occurred.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SECTION 2. Upon execution and delivery of this Assumption Agreement by the Seller and each member of the [______] Purchaser Group,</w:t>
      </w:r>
    </w:p>
    <w:p>
      <w:pPr>
        <w:spacing w:after="0" w:line="3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satisfaction of the other conditions to assignment specified in </w:t>
      </w:r>
      <w:r>
        <w:rPr>
          <w:rFonts w:ascii="Arial" w:cs="Arial" w:eastAsia="Arial" w:hAnsi="Arial"/>
          <w:sz w:val="18"/>
          <w:szCs w:val="18"/>
          <w:u w:val="single" w:color="auto"/>
          <w:color w:val="auto"/>
        </w:rPr>
        <w:t>Section 1.2(e)</w:t>
      </w:r>
      <w:r>
        <w:rPr>
          <w:rFonts w:ascii="Arial" w:cs="Arial" w:eastAsia="Arial" w:hAnsi="Arial"/>
          <w:sz w:val="18"/>
          <w:szCs w:val="18"/>
          <w:color w:val="auto"/>
        </w:rPr>
        <w:t xml:space="preserve"> of the Receivables Purchase Agreement (including the consent of the Administrator and each of the other Purchasers party thereto) and receipt by the Administrator of counterparts of this Agreement (whether by facsimile or otherwise) executed by</w:t>
      </w:r>
    </w:p>
    <w:p>
      <w:pPr>
        <w:sectPr>
          <w:pgSz w:w="11900" w:h="16838" w:orient="portrait"/>
          <w:cols w:equalWidth="0" w:num="1">
            <w:col w:w="11020"/>
          </w:cols>
          <w:pgMar w:left="440" w:top="274" w:right="439" w:bottom="1440" w:gutter="0" w:footer="0" w:header="0"/>
        </w:sectPr>
      </w:pPr>
    </w:p>
    <w:bookmarkStart w:id="328" w:name="page329"/>
    <w:bookmarkEnd w:id="3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parties hereto, [the [_____] Purchasers shall become a party to, and have the rights and obligations of Purchasers under, the Receivables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Purchase Agreement] [the [______] Related Committed Purchaser shall increase its Commitment in the amount set forth as the “Commitment”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signature of the [______] Related Committed Purchaser, hereto].</w:t>
      </w:r>
    </w:p>
    <w:p>
      <w:pPr>
        <w:spacing w:after="0" w:line="211"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SECTION 3. Each party hereto hereby covenants and agrees that it will not institute against, or join any other Person in instituting against, any Conduit Purchaser, any bankruptcy, reorganization, arrangement, insolvency or liquidation proceeding, or other proceeding under any federal or state bankruptcy or similar law, for one year and one day after the latest maturing Notes issued by such Conduit Purchaser is paid in full. The covenant contained in this paragraph shall survive any termination of the Receivables Purchase Agreement.</w:t>
      </w:r>
    </w:p>
    <w:p>
      <w:pPr>
        <w:spacing w:after="0" w:line="17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SECTION 4. THIS AGREEMENT SHALL BE GOVERNED BY THE INTERNAL LAWS OF THE STATE OF NEW YORK. This Agreement may not be amended, supplemented or waived except pursuant to a writing signed by the party to be charged. This Agreement may be executed in counterparts, and by the different parties on different counterparts, each of which shall constitute an original, but all together shall constitute one and the same agreement.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 on following page)</w:t>
      </w:r>
    </w:p>
    <w:p>
      <w:pPr>
        <w:sectPr>
          <w:pgSz w:w="11900" w:h="16838" w:orient="portrait"/>
          <w:cols w:equalWidth="0" w:num="1">
            <w:col w:w="10960"/>
          </w:cols>
          <w:pgMar w:left="440" w:top="274" w:right="499" w:bottom="1440" w:gutter="0" w:footer="0" w:header="0"/>
        </w:sectPr>
      </w:pPr>
    </w:p>
    <w:bookmarkStart w:id="329" w:name="page330"/>
    <w:bookmarkEnd w:id="329"/>
    <w:p>
      <w:pPr>
        <w:ind w:left="2860" w:hanging="2866"/>
        <w:spacing w:after="0" w:line="51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by their duly authorized officers as of the date first above written. [___________], as a Conduit Purchaser</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2040890</wp:posOffset>
            </wp:positionH>
            <wp:positionV relativeFrom="paragraph">
              <wp:posOffset>14605</wp:posOffset>
            </wp:positionV>
            <wp:extent cx="257175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2829560</wp:posOffset>
            </wp:positionH>
            <wp:positionV relativeFrom="paragraph">
              <wp:posOffset>14605</wp:posOffset>
            </wp:positionV>
            <wp:extent cx="17830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2829560</wp:posOffset>
            </wp:positionH>
            <wp:positionV relativeFrom="paragraph">
              <wp:posOffset>14605</wp:posOffset>
            </wp:positionV>
            <wp:extent cx="17830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[___________], as a Related Committed Purchaser</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2040890</wp:posOffset>
            </wp:positionH>
            <wp:positionV relativeFrom="paragraph">
              <wp:posOffset>14605</wp:posOffset>
            </wp:positionV>
            <wp:extent cx="257175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2829560</wp:posOffset>
            </wp:positionH>
            <wp:positionV relativeFrom="paragraph">
              <wp:posOffset>14605</wp:posOffset>
            </wp:positionV>
            <wp:extent cx="17830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2829560</wp:posOffset>
            </wp:positionH>
            <wp:positionV relativeFrom="paragraph">
              <wp:posOffset>14605</wp:posOffset>
            </wp:positionV>
            <wp:extent cx="17830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[Commitment]</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[_____________], as Purchaser Agent for [_________]</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2040890</wp:posOffset>
            </wp:positionH>
            <wp:positionV relativeFrom="paragraph">
              <wp:posOffset>14605</wp:posOffset>
            </wp:positionV>
            <wp:extent cx="257175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2829560</wp:posOffset>
            </wp:positionH>
            <wp:positionV relativeFrom="paragraph">
              <wp:posOffset>14605</wp:posOffset>
            </wp:positionV>
            <wp:extent cx="17830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2829560</wp:posOffset>
            </wp:positionH>
            <wp:positionV relativeFrom="paragraph">
              <wp:posOffset>14605</wp:posOffset>
            </wp:positionV>
            <wp:extent cx="17830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[Address]</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ANNEX D</w:t>
      </w:r>
    </w:p>
    <w:p>
      <w:pPr>
        <w:sectPr>
          <w:pgSz w:w="11900" w:h="16838" w:orient="portrait"/>
          <w:cols w:equalWidth="0" w:num="1">
            <w:col w:w="10220"/>
          </w:cols>
          <w:pgMar w:left="880" w:top="274" w:right="799"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WESCO RECEIVABLES CORP., as Seller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14605</wp:posOffset>
            </wp:positionV>
            <wp:extent cx="17830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14605</wp:posOffset>
            </wp:positionV>
            <wp:extent cx="17830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Consented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14605</wp:posOffset>
            </wp:positionV>
            <wp:extent cx="17830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14605</wp:posOffset>
            </wp:positionV>
            <wp:extent cx="17830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Consented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PURCHASERS]</w:t>
      </w:r>
    </w:p>
    <w:p>
      <w:pPr>
        <w:spacing w:after="0" w:line="158" w:lineRule="exact"/>
        <w:rPr>
          <w:sz w:val="20"/>
          <w:szCs w:val="20"/>
          <w:color w:val="auto"/>
        </w:rPr>
      </w:pPr>
    </w:p>
    <w:p>
      <w:pPr>
        <w:jc w:val="right"/>
        <w:ind w:right="4119"/>
        <w:spacing w:after="0"/>
        <w:rPr>
          <w:sz w:val="20"/>
          <w:szCs w:val="20"/>
          <w:color w:val="auto"/>
        </w:rPr>
      </w:pPr>
      <w:r>
        <w:rPr>
          <w:rFonts w:ascii="Arial" w:cs="Arial" w:eastAsia="Arial" w:hAnsi="Arial"/>
          <w:sz w:val="18"/>
          <w:szCs w:val="18"/>
          <w:color w:val="auto"/>
        </w:rPr>
        <w:t>ANNEX D</w:t>
      </w:r>
    </w:p>
    <w:p>
      <w:pPr>
        <w:sectPr>
          <w:pgSz w:w="11900" w:h="16838" w:orient="portrait"/>
          <w:cols w:equalWidth="0" w:num="1">
            <w:col w:w="10019"/>
          </w:cols>
          <w:pgMar w:left="440" w:top="274" w:right="1440" w:bottom="1440" w:gutter="0" w:footer="0" w:header="0"/>
        </w:sectPr>
      </w:pPr>
    </w:p>
    <w:bookmarkStart w:id="331" w:name="page332"/>
    <w:bookmarkEnd w:id="33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to Fifth Amended And Restated Receivables Purchase Agreement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TRANSFER SUPPLEMENT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E</w:t>
      </w:r>
    </w:p>
    <w:p>
      <w:pPr>
        <w:sectPr>
          <w:pgSz w:w="11900" w:h="16838" w:orient="portrait"/>
          <w:cols w:equalWidth="0" w:num="1">
            <w:col w:w="9019"/>
          </w:cols>
          <w:pgMar w:left="1440" w:top="274" w:right="1440" w:bottom="1440" w:gutter="0" w:footer="0" w:header="0"/>
        </w:sectPr>
      </w:pPr>
    </w:p>
    <w:bookmarkStart w:id="332" w:name="page333"/>
    <w:bookmarkEnd w:id="332"/>
    <w:tbl>
      <w:tblPr>
        <w:tblLayout w:type="fixed"/>
        <w:tblInd w:w="4"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ANNEX E</w:t>
            </w:r>
          </w:p>
        </w:tc>
      </w:tr>
      <w:tr>
        <w:trPr>
          <w:trHeight w:val="438"/>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Pr>
          <w:p>
            <w:pPr>
              <w:jc w:val="center"/>
              <w:spacing w:after="0"/>
              <w:rPr>
                <w:sz w:val="20"/>
                <w:szCs w:val="20"/>
                <w:color w:val="auto"/>
              </w:rPr>
            </w:pPr>
            <w:r>
              <w:rPr>
                <w:rFonts w:ascii="Arial" w:cs="Arial" w:eastAsia="Arial" w:hAnsi="Arial"/>
                <w:sz w:val="18"/>
                <w:szCs w:val="18"/>
                <w:i w:val="1"/>
                <w:iCs w:val="1"/>
                <w:color w:val="auto"/>
                <w:w w:val="90"/>
              </w:rPr>
              <w:t>Form of Transfer Supplement</w:t>
            </w:r>
          </w:p>
        </w:tc>
        <w:tc>
          <w:tcPr>
            <w:tcW w:w="8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Pr>
          <w:p>
            <w:pPr>
              <w:jc w:val="center"/>
              <w:ind w:left="10"/>
              <w:spacing w:after="0"/>
              <w:rPr>
                <w:sz w:val="20"/>
                <w:szCs w:val="20"/>
                <w:color w:val="auto"/>
              </w:rPr>
            </w:pPr>
            <w:r>
              <w:rPr>
                <w:rFonts w:ascii="Arial" w:cs="Arial" w:eastAsia="Arial" w:hAnsi="Arial"/>
                <w:sz w:val="18"/>
                <w:szCs w:val="18"/>
                <w:i w:val="1"/>
                <w:iCs w:val="1"/>
                <w:color w:val="auto"/>
                <w:w w:val="91"/>
              </w:rPr>
              <w:t>with respect to</w:t>
            </w:r>
          </w:p>
        </w:tc>
        <w:tc>
          <w:tcPr>
            <w:tcW w:w="8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Pr>
          <w:p>
            <w:pPr>
              <w:jc w:val="center"/>
              <w:spacing w:after="0"/>
              <w:rPr>
                <w:sz w:val="20"/>
                <w:szCs w:val="20"/>
                <w:color w:val="auto"/>
              </w:rPr>
            </w:pPr>
            <w:r>
              <w:rPr>
                <w:rFonts w:ascii="Arial" w:cs="Arial" w:eastAsia="Arial" w:hAnsi="Arial"/>
                <w:sz w:val="18"/>
                <w:szCs w:val="18"/>
                <w:i w:val="1"/>
                <w:iCs w:val="1"/>
                <w:color w:val="auto"/>
                <w:w w:val="89"/>
              </w:rPr>
              <w:t>WESCO Receivables Corp.</w:t>
            </w:r>
          </w:p>
        </w:tc>
        <w:tc>
          <w:tcPr>
            <w:tcW w:w="80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tcPr>
          <w:p>
            <w:pPr>
              <w:jc w:val="center"/>
              <w:spacing w:after="0"/>
              <w:rPr>
                <w:sz w:val="20"/>
                <w:szCs w:val="20"/>
                <w:color w:val="auto"/>
              </w:rPr>
            </w:pPr>
            <w:r>
              <w:rPr>
                <w:rFonts w:ascii="Arial" w:cs="Arial" w:eastAsia="Arial" w:hAnsi="Arial"/>
                <w:sz w:val="18"/>
                <w:szCs w:val="18"/>
                <w:i w:val="1"/>
                <w:iCs w:val="1"/>
                <w:color w:val="auto"/>
                <w:w w:val="88"/>
              </w:rPr>
              <w:t>Receivables Purchase Agreement</w:t>
            </w:r>
          </w:p>
        </w:tc>
        <w:tc>
          <w:tcPr>
            <w:tcW w:w="800" w:type="dxa"/>
            <w:vAlign w:val="bottom"/>
          </w:tcPr>
          <w:p>
            <w:pPr>
              <w:spacing w:after="0"/>
              <w:rPr>
                <w:sz w:val="20"/>
                <w:szCs w:val="20"/>
                <w:color w:val="auto"/>
              </w:rPr>
            </w:pPr>
          </w:p>
        </w:tc>
      </w:tr>
      <w:tr>
        <w:trPr>
          <w:trHeight w:val="432"/>
        </w:trPr>
        <w:tc>
          <w:tcPr>
            <w:tcW w:w="10220" w:type="dxa"/>
            <w:vAlign w:val="bottom"/>
            <w:gridSpan w:val="3"/>
          </w:tcPr>
          <w:p>
            <w:pPr>
              <w:jc w:val="center"/>
              <w:ind w:left="690"/>
              <w:spacing w:after="0"/>
              <w:rPr>
                <w:sz w:val="20"/>
                <w:szCs w:val="20"/>
                <w:color w:val="auto"/>
              </w:rPr>
            </w:pPr>
            <w:r>
              <w:rPr>
                <w:rFonts w:ascii="Arial" w:cs="Arial" w:eastAsia="Arial" w:hAnsi="Arial"/>
                <w:sz w:val="18"/>
                <w:szCs w:val="18"/>
                <w:color w:val="auto"/>
                <w:w w:val="91"/>
              </w:rPr>
              <w:t>[_______ __, ______]</w:t>
            </w:r>
          </w:p>
        </w:tc>
        <w:tc>
          <w:tcPr>
            <w:tcW w:w="800" w:type="dxa"/>
            <w:vAlign w:val="bottom"/>
          </w:tcPr>
          <w:p>
            <w:pPr>
              <w:spacing w:after="0"/>
              <w:rPr>
                <w:sz w:val="24"/>
                <w:szCs w:val="24"/>
                <w:color w:val="auto"/>
              </w:rPr>
            </w:pPr>
          </w:p>
        </w:tc>
      </w:tr>
      <w:tr>
        <w:trPr>
          <w:trHeight w:val="391"/>
        </w:trPr>
        <w:tc>
          <w:tcPr>
            <w:tcW w:w="10220" w:type="dxa"/>
            <w:vAlign w:val="bottom"/>
            <w:gridSpan w:val="3"/>
          </w:tcPr>
          <w:p>
            <w:pPr>
              <w:spacing w:after="0"/>
              <w:rPr>
                <w:sz w:val="20"/>
                <w:szCs w:val="20"/>
                <w:color w:val="auto"/>
              </w:rPr>
            </w:pPr>
            <w:r>
              <w:rPr>
                <w:rFonts w:ascii="Arial" w:cs="Arial" w:eastAsia="Arial" w:hAnsi="Arial"/>
                <w:sz w:val="18"/>
                <w:szCs w:val="18"/>
                <w:color w:val="auto"/>
              </w:rPr>
              <w:t>Section 1.</w:t>
            </w:r>
          </w:p>
        </w:tc>
        <w:tc>
          <w:tcPr>
            <w:tcW w:w="800" w:type="dxa"/>
            <w:vAlign w:val="bottom"/>
          </w:tcPr>
          <w:p>
            <w:pPr>
              <w:spacing w:after="0"/>
              <w:rPr>
                <w:sz w:val="24"/>
                <w:szCs w:val="24"/>
                <w:color w:val="auto"/>
              </w:rPr>
            </w:pPr>
          </w:p>
        </w:tc>
      </w:tr>
      <w:tr>
        <w:trPr>
          <w:trHeight w:val="264"/>
        </w:trPr>
        <w:tc>
          <w:tcPr>
            <w:tcW w:w="6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5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16"/>
        </w:trPr>
        <w:tc>
          <w:tcPr>
            <w:tcW w:w="10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[Commitment assigned:</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97"/>
              </w:rPr>
              <w:t>$_______</w:t>
            </w:r>
          </w:p>
        </w:tc>
      </w:tr>
      <w:tr>
        <w:trPr>
          <w:trHeight w:val="216"/>
        </w:trPr>
        <w:tc>
          <w:tcPr>
            <w:tcW w:w="10220" w:type="dxa"/>
            <w:vAlign w:val="bottom"/>
            <w:gridSpan w:val="3"/>
          </w:tcPr>
          <w:p>
            <w:pPr>
              <w:ind w:left="360"/>
              <w:spacing w:after="0"/>
              <w:rPr>
                <w:sz w:val="20"/>
                <w:szCs w:val="20"/>
                <w:color w:val="auto"/>
              </w:rPr>
            </w:pPr>
            <w:r>
              <w:rPr>
                <w:rFonts w:ascii="Arial" w:cs="Arial" w:eastAsia="Arial" w:hAnsi="Arial"/>
                <w:sz w:val="18"/>
                <w:szCs w:val="18"/>
                <w:color w:val="auto"/>
              </w:rPr>
              <w:t>Assignor’s remaining Commitment:</w:t>
            </w:r>
          </w:p>
        </w:tc>
        <w:tc>
          <w:tcPr>
            <w:tcW w:w="800" w:type="dxa"/>
            <w:vAlign w:val="bottom"/>
          </w:tcPr>
          <w:p>
            <w:pPr>
              <w:spacing w:after="0"/>
              <w:rPr>
                <w:sz w:val="20"/>
                <w:szCs w:val="20"/>
                <w:color w:val="auto"/>
              </w:rPr>
            </w:pPr>
            <w:r>
              <w:rPr>
                <w:rFonts w:ascii="Arial" w:cs="Arial" w:eastAsia="Arial" w:hAnsi="Arial"/>
                <w:sz w:val="18"/>
                <w:szCs w:val="18"/>
                <w:color w:val="auto"/>
                <w:w w:val="97"/>
              </w:rPr>
              <w:t>$_______</w:t>
            </w:r>
          </w:p>
        </w:tc>
      </w:tr>
      <w:tr>
        <w:trPr>
          <w:trHeight w:val="216"/>
        </w:trPr>
        <w:tc>
          <w:tcPr>
            <w:tcW w:w="10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Investment allocable to Commitment assigned:</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97"/>
              </w:rPr>
              <w:t>$_______</w:t>
            </w:r>
          </w:p>
        </w:tc>
      </w:tr>
      <w:tr>
        <w:trPr>
          <w:trHeight w:val="216"/>
        </w:trPr>
        <w:tc>
          <w:tcPr>
            <w:tcW w:w="10220" w:type="dxa"/>
            <w:vAlign w:val="bottom"/>
            <w:gridSpan w:val="3"/>
          </w:tcPr>
          <w:p>
            <w:pPr>
              <w:spacing w:after="0" w:line="216" w:lineRule="exact"/>
              <w:rPr>
                <w:sz w:val="20"/>
                <w:szCs w:val="20"/>
                <w:color w:val="auto"/>
              </w:rPr>
            </w:pPr>
            <w:r>
              <w:rPr>
                <w:rFonts w:ascii="Arial" w:cs="Arial" w:eastAsia="Arial" w:hAnsi="Arial"/>
                <w:sz w:val="17"/>
                <w:szCs w:val="17"/>
                <w:color w:val="auto"/>
              </w:rPr>
              <w:t>Investment assigned:]</w:t>
            </w:r>
            <w:r>
              <w:rPr>
                <w:rFonts w:ascii="Arial" w:cs="Arial" w:eastAsia="Arial" w:hAnsi="Arial"/>
                <w:sz w:val="25"/>
                <w:szCs w:val="25"/>
                <w:color w:val="auto"/>
                <w:vertAlign w:val="superscript"/>
              </w:rPr>
              <w:t>1</w:t>
            </w:r>
          </w:p>
        </w:tc>
        <w:tc>
          <w:tcPr>
            <w:tcW w:w="800" w:type="dxa"/>
            <w:vAlign w:val="bottom"/>
          </w:tcPr>
          <w:p>
            <w:pPr>
              <w:spacing w:after="0"/>
              <w:rPr>
                <w:sz w:val="18"/>
                <w:szCs w:val="18"/>
                <w:color w:val="auto"/>
              </w:rPr>
            </w:pPr>
          </w:p>
        </w:tc>
      </w:tr>
      <w:tr>
        <w:trPr>
          <w:trHeight w:val="216"/>
        </w:trPr>
        <w:tc>
          <w:tcPr>
            <w:tcW w:w="10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Assignor’s remaining Investment:</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97"/>
              </w:rPr>
              <w:t>$_______</w:t>
            </w:r>
          </w:p>
        </w:tc>
      </w:tr>
      <w:tr>
        <w:trPr>
          <w:trHeight w:val="216"/>
        </w:trPr>
        <w:tc>
          <w:tcPr>
            <w:tcW w:w="10220" w:type="dxa"/>
            <w:vAlign w:val="bottom"/>
            <w:gridSpan w:val="3"/>
          </w:tcPr>
          <w:p>
            <w:pPr>
              <w:spacing w:after="0"/>
              <w:rPr>
                <w:sz w:val="20"/>
                <w:szCs w:val="20"/>
                <w:color w:val="auto"/>
              </w:rPr>
            </w:pPr>
            <w:r>
              <w:rPr>
                <w:rFonts w:ascii="Arial" w:cs="Arial" w:eastAsia="Arial" w:hAnsi="Arial"/>
                <w:sz w:val="18"/>
                <w:szCs w:val="18"/>
                <w:color w:val="auto"/>
              </w:rPr>
              <w:t>Discount (if any) allocable to Investment assigned:</w:t>
            </w:r>
          </w:p>
        </w:tc>
        <w:tc>
          <w:tcPr>
            <w:tcW w:w="800" w:type="dxa"/>
            <w:vAlign w:val="bottom"/>
          </w:tcPr>
          <w:p>
            <w:pPr>
              <w:spacing w:after="0"/>
              <w:rPr>
                <w:sz w:val="20"/>
                <w:szCs w:val="20"/>
                <w:color w:val="auto"/>
              </w:rPr>
            </w:pPr>
            <w:r>
              <w:rPr>
                <w:rFonts w:ascii="Arial" w:cs="Arial" w:eastAsia="Arial" w:hAnsi="Arial"/>
                <w:sz w:val="18"/>
                <w:szCs w:val="18"/>
                <w:color w:val="auto"/>
                <w:w w:val="97"/>
              </w:rPr>
              <w:t>$_______</w:t>
            </w:r>
          </w:p>
        </w:tc>
      </w:tr>
      <w:tr>
        <w:trPr>
          <w:trHeight w:val="216"/>
        </w:trPr>
        <w:tc>
          <w:tcPr>
            <w:tcW w:w="10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Discount(if any) allocable to Assignor’s remaining Investment:</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97"/>
              </w:rPr>
              <w:t>$_______</w:t>
            </w:r>
          </w:p>
        </w:tc>
      </w:tr>
      <w:tr>
        <w:trPr>
          <w:trHeight w:val="392"/>
        </w:trPr>
        <w:tc>
          <w:tcPr>
            <w:tcW w:w="10220" w:type="dxa"/>
            <w:vAlign w:val="bottom"/>
            <w:gridSpan w:val="3"/>
          </w:tcPr>
          <w:p>
            <w:pPr>
              <w:spacing w:after="0"/>
              <w:rPr>
                <w:sz w:val="20"/>
                <w:szCs w:val="20"/>
                <w:color w:val="auto"/>
              </w:rPr>
            </w:pPr>
            <w:r>
              <w:rPr>
                <w:rFonts w:ascii="Arial" w:cs="Arial" w:eastAsia="Arial" w:hAnsi="Arial"/>
                <w:sz w:val="18"/>
                <w:szCs w:val="18"/>
                <w:color w:val="auto"/>
              </w:rPr>
              <w:t>Section 2.</w:t>
            </w:r>
          </w:p>
        </w:tc>
        <w:tc>
          <w:tcPr>
            <w:tcW w:w="800" w:type="dxa"/>
            <w:vAlign w:val="bottom"/>
          </w:tcPr>
          <w:p>
            <w:pPr>
              <w:spacing w:after="0"/>
              <w:rPr>
                <w:sz w:val="24"/>
                <w:szCs w:val="2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9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44"/>
        </w:trPr>
        <w:tc>
          <w:tcPr>
            <w:tcW w:w="10220" w:type="dxa"/>
            <w:vAlign w:val="bottom"/>
            <w:gridSpan w:val="3"/>
          </w:tcPr>
          <w:p>
            <w:pPr>
              <w:ind w:left="440"/>
              <w:spacing w:after="0"/>
              <w:rPr>
                <w:sz w:val="20"/>
                <w:szCs w:val="20"/>
                <w:color w:val="auto"/>
              </w:rPr>
            </w:pPr>
            <w:r>
              <w:rPr>
                <w:rFonts w:ascii="Arial" w:cs="Arial" w:eastAsia="Arial" w:hAnsi="Arial"/>
                <w:sz w:val="18"/>
                <w:szCs w:val="18"/>
                <w:color w:val="auto"/>
              </w:rPr>
              <w:t>Effective Date of this Transfer Supplement: [__________]</w:t>
            </w:r>
          </w:p>
        </w:tc>
        <w:tc>
          <w:tcPr>
            <w:tcW w:w="80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right="280" w:firstLine="440"/>
        <w:spacing w:after="0" w:line="275" w:lineRule="auto"/>
        <w:rPr>
          <w:sz w:val="20"/>
          <w:szCs w:val="20"/>
          <w:color w:val="auto"/>
        </w:rPr>
      </w:pPr>
      <w:r>
        <w:rPr>
          <w:rFonts w:ascii="Arial" w:cs="Arial" w:eastAsia="Arial" w:hAnsi="Arial"/>
          <w:sz w:val="17"/>
          <w:szCs w:val="17"/>
          <w:color w:val="auto"/>
        </w:rPr>
        <w:t>Upon execution and delivery of this Transfer Supplement by transferee and transferor and the satisfaction of the other conditions to assignment specified in [</w:t>
      </w:r>
      <w:r>
        <w:rPr>
          <w:rFonts w:ascii="Arial" w:cs="Arial" w:eastAsia="Arial" w:hAnsi="Arial"/>
          <w:sz w:val="17"/>
          <w:szCs w:val="17"/>
          <w:u w:val="single" w:color="auto"/>
          <w:color w:val="auto"/>
        </w:rPr>
        <w:t>Section 6.3(c)</w:t>
      </w:r>
      <w:r>
        <w:rPr>
          <w:rFonts w:ascii="Arial" w:cs="Arial" w:eastAsia="Arial" w:hAnsi="Arial"/>
          <w:sz w:val="17"/>
          <w:szCs w:val="17"/>
          <w:color w:val="auto"/>
        </w:rPr>
        <w:t>] [</w:t>
      </w:r>
      <w:r>
        <w:rPr>
          <w:rFonts w:ascii="Arial" w:cs="Arial" w:eastAsia="Arial" w:hAnsi="Arial"/>
          <w:sz w:val="17"/>
          <w:szCs w:val="17"/>
          <w:u w:val="single" w:color="auto"/>
          <w:color w:val="auto"/>
        </w:rPr>
        <w:t>Section 6.3(e)</w:t>
      </w:r>
      <w:r>
        <w:rPr>
          <w:rFonts w:ascii="Arial" w:cs="Arial" w:eastAsia="Arial" w:hAnsi="Arial"/>
          <w:sz w:val="17"/>
          <w:szCs w:val="17"/>
          <w:color w:val="auto"/>
        </w:rPr>
        <w:t>] of the Receivables Purchase Agreement, from and after the effective date specified above, the transferee shall become a party to, and have the rights and obligations of a [Conduit Purchaser] [Related Committed Purchaser] under, the Fifth Amended and Restated Receivables Purchase Agreement dated as of June 22, 2020 (as amended through the date hereof, the “Receivables Purchase Agreement”), among WESCO Receivables Corp., WESCO Distribution, Inc. and various other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7715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9" w:lineRule="exact"/>
        <w:rPr>
          <w:sz w:val="20"/>
          <w:szCs w:val="20"/>
          <w:color w:val="auto"/>
        </w:rPr>
      </w:pPr>
    </w:p>
    <w:p>
      <w:pPr>
        <w:ind w:left="424" w:hanging="424"/>
        <w:spacing w:after="0"/>
        <w:tabs>
          <w:tab w:leader="none" w:pos="424" w:val="left"/>
        </w:tabs>
        <w:numPr>
          <w:ilvl w:val="0"/>
          <w:numId w:val="370"/>
        </w:numPr>
        <w:rPr>
          <w:rFonts w:ascii="Arial" w:cs="Arial" w:eastAsia="Arial" w:hAnsi="Arial"/>
          <w:sz w:val="27"/>
          <w:szCs w:val="27"/>
          <w:color w:val="auto"/>
          <w:vertAlign w:val="superscript"/>
        </w:rPr>
      </w:pPr>
      <w:r>
        <w:rPr>
          <w:rFonts w:ascii="Arial" w:cs="Arial" w:eastAsia="Arial" w:hAnsi="Arial"/>
          <w:sz w:val="18"/>
          <w:szCs w:val="18"/>
          <w:color w:val="auto"/>
        </w:rPr>
        <w:t>Bracketed language is only applicable to assignments by Related Committed Purchasers pursuant to Section 6.3(c).</w:t>
      </w:r>
    </w:p>
    <w:p>
      <w:pPr>
        <w:spacing w:after="0" w:line="134" w:lineRule="exact"/>
        <w:rPr>
          <w:rFonts w:ascii="Arial" w:cs="Arial" w:eastAsia="Arial" w:hAnsi="Arial"/>
          <w:sz w:val="27"/>
          <w:szCs w:val="27"/>
          <w:color w:val="auto"/>
          <w:vertAlign w:val="superscript"/>
        </w:rPr>
      </w:pPr>
    </w:p>
    <w:p>
      <w:pPr>
        <w:ind w:left="5124"/>
        <w:spacing w:after="0"/>
        <w:rPr>
          <w:rFonts w:ascii="Arial" w:cs="Arial" w:eastAsia="Arial" w:hAnsi="Arial"/>
          <w:sz w:val="27"/>
          <w:szCs w:val="27"/>
          <w:color w:val="auto"/>
          <w:vertAlign w:val="superscript"/>
        </w:rPr>
      </w:pPr>
      <w:r>
        <w:rPr>
          <w:rFonts w:ascii="Arial" w:cs="Arial" w:eastAsia="Arial" w:hAnsi="Arial"/>
          <w:sz w:val="18"/>
          <w:szCs w:val="18"/>
          <w:color w:val="auto"/>
        </w:rPr>
        <w:t>ANNEX E</w:t>
      </w:r>
    </w:p>
    <w:p>
      <w:pPr>
        <w:sectPr>
          <w:pgSz w:w="11900" w:h="16838" w:orient="portrait"/>
          <w:cols w:equalWidth="0" w:num="1">
            <w:col w:w="11024"/>
          </w:cols>
          <w:pgMar w:left="436" w:top="257" w:right="439" w:bottom="1440" w:gutter="0" w:footer="0" w:header="0"/>
        </w:sectPr>
      </w:pPr>
    </w:p>
    <w:bookmarkStart w:id="333" w:name="page334"/>
    <w:bookmarkEnd w:id="33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ASSIGNOR: [_________], as a [Related Committed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Purchaser for [_______]] [Conduit Purchaser]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257175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14605</wp:posOffset>
            </wp:positionV>
            <wp:extent cx="220281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34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14605</wp:posOffset>
            </wp:positionV>
            <wp:extent cx="220281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ASSIGNEE: [_________], as a [Related Committed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Purchaser for [_______]] [Conduit Purchaser]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257175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34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14605</wp:posOffset>
            </wp:positionV>
            <wp:extent cx="220281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34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14605</wp:posOffset>
            </wp:positionV>
            <wp:extent cx="220281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[Commitment Assigned]</w:t>
      </w:r>
      <w:r>
        <w:rPr>
          <w:rFonts w:ascii="Arial" w:cs="Arial" w:eastAsia="Arial" w:hAnsi="Arial"/>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715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6" w:lineRule="exact"/>
        <w:rPr>
          <w:sz w:val="20"/>
          <w:szCs w:val="20"/>
          <w:color w:val="auto"/>
        </w:rPr>
      </w:pPr>
    </w:p>
    <w:p>
      <w:pPr>
        <w:ind w:left="424" w:hanging="424"/>
        <w:spacing w:after="0"/>
        <w:tabs>
          <w:tab w:leader="none" w:pos="424" w:val="left"/>
        </w:tabs>
        <w:numPr>
          <w:ilvl w:val="0"/>
          <w:numId w:val="371"/>
        </w:numPr>
        <w:rPr>
          <w:rFonts w:ascii="Arial" w:cs="Arial" w:eastAsia="Arial" w:hAnsi="Arial"/>
          <w:sz w:val="24"/>
          <w:szCs w:val="24"/>
          <w:color w:val="auto"/>
          <w:vertAlign w:val="superscript"/>
        </w:rPr>
      </w:pPr>
      <w:r>
        <w:rPr>
          <w:rFonts w:ascii="Arial" w:cs="Arial" w:eastAsia="Arial" w:hAnsi="Arial"/>
          <w:sz w:val="16"/>
          <w:szCs w:val="16"/>
          <w:color w:val="auto"/>
        </w:rPr>
        <w:t xml:space="preserve">Bracketed language is only applicable to assignments by Related Committed Purchasers pursuant to </w:t>
      </w:r>
      <w:r>
        <w:rPr>
          <w:rFonts w:ascii="Arial" w:cs="Arial" w:eastAsia="Arial" w:hAnsi="Arial"/>
          <w:sz w:val="16"/>
          <w:szCs w:val="16"/>
          <w:u w:val="single" w:color="auto"/>
          <w:color w:val="auto"/>
        </w:rPr>
        <w:t>Section 6.3(c)</w:t>
      </w:r>
      <w:r>
        <w:rPr>
          <w:rFonts w:ascii="Arial" w:cs="Arial" w:eastAsia="Arial" w:hAnsi="Arial"/>
          <w:sz w:val="16"/>
          <w:szCs w:val="16"/>
          <w:color w:val="auto"/>
        </w:rPr>
        <w:t>.</w:t>
      </w:r>
    </w:p>
    <w:p>
      <w:pPr>
        <w:spacing w:after="0" w:line="134" w:lineRule="exact"/>
        <w:rPr>
          <w:rFonts w:ascii="Arial" w:cs="Arial" w:eastAsia="Arial" w:hAnsi="Arial"/>
          <w:sz w:val="24"/>
          <w:szCs w:val="24"/>
          <w:color w:val="auto"/>
          <w:vertAlign w:val="superscript"/>
        </w:rPr>
      </w:pPr>
    </w:p>
    <w:p>
      <w:pPr>
        <w:ind w:left="5124"/>
        <w:spacing w:after="0"/>
        <w:rPr>
          <w:rFonts w:ascii="Arial" w:cs="Arial" w:eastAsia="Arial" w:hAnsi="Arial"/>
          <w:sz w:val="24"/>
          <w:szCs w:val="24"/>
          <w:color w:val="auto"/>
          <w:vertAlign w:val="superscript"/>
        </w:rPr>
      </w:pPr>
      <w:r>
        <w:rPr>
          <w:rFonts w:ascii="Arial" w:cs="Arial" w:eastAsia="Arial" w:hAnsi="Arial"/>
          <w:sz w:val="18"/>
          <w:szCs w:val="18"/>
          <w:color w:val="auto"/>
        </w:rPr>
        <w:t>ANNEX E</w:t>
      </w:r>
    </w:p>
    <w:p>
      <w:pPr>
        <w:sectPr>
          <w:pgSz w:w="11900" w:h="16838" w:orient="portrait"/>
          <w:cols w:equalWidth="0" w:num="1">
            <w:col w:w="10023"/>
          </w:cols>
          <w:pgMar w:left="436" w:top="274" w:right="1440" w:bottom="1440" w:gutter="0" w:footer="0" w:header="0"/>
        </w:sectPr>
      </w:pPr>
    </w:p>
    <w:bookmarkStart w:id="334" w:name="page335"/>
    <w:bookmarkEnd w:id="3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date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Purchaser Agent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 Purchaser Group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14605</wp:posOffset>
            </wp:positionV>
            <wp:extent cx="217741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14605</wp:posOffset>
            </wp:positionV>
            <wp:extent cx="217741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165" w:lineRule="exact"/>
        <w:rPr>
          <w:sz w:val="20"/>
          <w:szCs w:val="20"/>
          <w:color w:val="auto"/>
        </w:rPr>
      </w:pPr>
    </w:p>
    <w:p>
      <w:pPr>
        <w:jc w:val="right"/>
        <w:ind w:right="4119"/>
        <w:spacing w:after="0"/>
        <w:rPr>
          <w:sz w:val="20"/>
          <w:szCs w:val="20"/>
          <w:color w:val="auto"/>
        </w:rPr>
      </w:pPr>
      <w:r>
        <w:rPr>
          <w:rFonts w:ascii="Arial" w:cs="Arial" w:eastAsia="Arial" w:hAnsi="Arial"/>
          <w:sz w:val="18"/>
          <w:szCs w:val="18"/>
          <w:color w:val="auto"/>
        </w:rPr>
        <w:t>ANNEX E</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6AE494"/>
    <w:multiLevelType w:val="hybridMultilevel"/>
    <w:lvl w:ilvl="0">
      <w:lvlJc w:val="left"/>
      <w:lvlText w:val="☐"/>
      <w:numFmt w:val="bullet"/>
      <w:start w:val="1"/>
    </w:lvl>
  </w:abstractNum>
  <w:abstractNum w:abstractNumId="1">
    <w:nsid w:val="3494B2FB"/>
    <w:multiLevelType w:val="hybridMultilevel"/>
    <w:lvl w:ilvl="0">
      <w:lvlJc w:val="left"/>
      <w:lvlText w:val="(%1)"/>
      <w:numFmt w:val="lowerLetter"/>
      <w:start w:val="1"/>
    </w:lvl>
  </w:abstractNum>
  <w:abstractNum w:abstractNumId="2">
    <w:nsid w:val="B13A31"/>
    <w:multiLevelType w:val="hybridMultilevel"/>
    <w:lvl w:ilvl="0">
      <w:lvlJc w:val="left"/>
      <w:lvlText w:val="(%1)"/>
      <w:numFmt w:val="lowerLetter"/>
      <w:start w:val="1"/>
    </w:lvl>
  </w:abstractNum>
  <w:abstractNum w:abstractNumId="3">
    <w:nsid w:val="64429599"/>
    <w:multiLevelType w:val="hybridMultilevel"/>
    <w:lvl w:ilvl="0">
      <w:lvlJc w:val="left"/>
      <w:lvlText w:val="%1"/>
      <w:numFmt w:val="lowerLetter"/>
      <w:start w:val="1"/>
    </w:lvl>
    <w:lvl w:ilvl="1">
      <w:lvlJc w:val="left"/>
      <w:lvlText w:val="(%2)"/>
      <w:numFmt w:val="lowerLetter"/>
      <w:start w:val="5"/>
    </w:lvl>
  </w:abstractNum>
  <w:abstractNum w:abstractNumId="4">
    <w:nsid w:val="631F1690"/>
    <w:multiLevelType w:val="hybridMultilevel"/>
    <w:lvl w:ilvl="0">
      <w:lvlJc w:val="left"/>
      <w:lvlText w:val="(%1)"/>
      <w:numFmt w:val="lowerLetter"/>
      <w:start w:val="9"/>
    </w:lvl>
    <w:lvl w:ilvl="1">
      <w:lvlJc w:val="left"/>
      <w:lvlText w:val="(%2)"/>
      <w:numFmt w:val="lowerLetter"/>
      <w:start w:val="6"/>
    </w:lvl>
  </w:abstractNum>
  <w:abstractNum w:abstractNumId="5">
    <w:nsid w:val="25973E32"/>
    <w:multiLevelType w:val="hybridMultilevel"/>
    <w:lvl w:ilvl="0">
      <w:lvlJc w:val="left"/>
      <w:lvlText w:val="(%1)"/>
      <w:numFmt w:val="lowerLetter"/>
      <w:start w:val="1"/>
    </w:lvl>
  </w:abstractNum>
  <w:abstractNum w:abstractNumId="6">
    <w:nsid w:val="EAD6F57"/>
    <w:multiLevelType w:val="hybridMultilevel"/>
    <w:lvl w:ilvl="0">
      <w:lvlJc w:val="left"/>
      <w:lvlText w:val="(%1)"/>
      <w:numFmt w:val="lowerLetter"/>
      <w:start w:val="3"/>
    </w:lvl>
  </w:abstractNum>
  <w:abstractNum w:abstractNumId="7">
    <w:nsid w:val="6EC9D844"/>
    <w:multiLevelType w:val="hybridMultilevel"/>
    <w:lvl w:ilvl="0">
      <w:lvlJc w:val="left"/>
      <w:lvlText w:val="(%1)"/>
      <w:numFmt w:val="lowerLetter"/>
      <w:start w:val="1"/>
    </w:lvl>
  </w:abstractNum>
  <w:abstractNum w:abstractNumId="8">
    <w:nsid w:val="5C49EAEE"/>
    <w:multiLevelType w:val="hybridMultilevel"/>
    <w:lvl w:ilvl="0">
      <w:lvlJc w:val="left"/>
      <w:lvlText w:val="(%1)"/>
      <w:numFmt w:val="lowerLetter"/>
      <w:start w:val="4"/>
    </w:lvl>
  </w:abstractNum>
  <w:abstractNum w:abstractNumId="9">
    <w:nsid w:val="64AF49B"/>
    <w:multiLevelType w:val="hybridMultilevel"/>
    <w:lvl w:ilvl="0">
      <w:lvlJc w:val="left"/>
      <w:lvlText w:val="(%1)"/>
      <w:numFmt w:val="lowerLetter"/>
      <w:start w:val="1"/>
    </w:lvl>
  </w:abstractNum>
  <w:abstractNum w:abstractNumId="10">
    <w:nsid w:val="397C46BC"/>
    <w:multiLevelType w:val="hybridMultilevel"/>
    <w:lvl w:ilvl="0">
      <w:lvlJc w:val="left"/>
      <w:lvlText w:val="(%1)"/>
      <w:numFmt w:val="lowerLetter"/>
      <w:start w:val="1"/>
    </w:lvl>
  </w:abstractNum>
  <w:abstractNum w:abstractNumId="11">
    <w:nsid w:val="7E448DE9"/>
    <w:multiLevelType w:val="hybridMultilevel"/>
    <w:lvl w:ilvl="0">
      <w:lvlJc w:val="left"/>
      <w:lvlText w:val="(%1)"/>
      <w:numFmt w:val="lowerLetter"/>
      <w:start w:val="1"/>
    </w:lvl>
  </w:abstractNum>
  <w:abstractNum w:abstractNumId="12">
    <w:nsid w:val="5A9CC3E5"/>
    <w:multiLevelType w:val="hybridMultilevel"/>
    <w:lvl w:ilvl="0">
      <w:lvlJc w:val="left"/>
      <w:lvlText w:val="(%1)"/>
      <w:numFmt w:val="lowerLetter"/>
      <w:start w:val="1"/>
    </w:lvl>
  </w:abstractNum>
  <w:abstractNum w:abstractNumId="13">
    <w:nsid w:val="1AFE3625"/>
    <w:multiLevelType w:val="hybridMultilevel"/>
    <w:lvl w:ilvl="0">
      <w:lvlJc w:val="left"/>
      <w:lvlText w:val="(%1)"/>
      <w:numFmt w:val="lowerLetter"/>
      <w:start w:val="2"/>
    </w:lvl>
  </w:abstractNum>
  <w:abstractNum w:abstractNumId="14">
    <w:nsid w:val="3CA88ECF"/>
    <w:multiLevelType w:val="hybridMultilevel"/>
    <w:lvl w:ilvl="0">
      <w:lvlJc w:val="left"/>
      <w:lvlText w:val="(%1)"/>
      <w:numFmt w:val="lowerRoman"/>
      <w:start w:val="2"/>
    </w:lvl>
  </w:abstractNum>
  <w:abstractNum w:abstractNumId="15">
    <w:nsid w:val="6EBE4208"/>
    <w:multiLevelType w:val="hybridMultilevel"/>
    <w:lvl w:ilvl="0">
      <w:lvlJc w:val="left"/>
      <w:lvlText w:val="(%1)"/>
      <w:numFmt w:val="lowerLetter"/>
      <w:start w:val="2"/>
    </w:lvl>
  </w:abstractNum>
  <w:abstractNum w:abstractNumId="16">
    <w:nsid w:val="C058DF5"/>
    <w:multiLevelType w:val="hybridMultilevel"/>
    <w:lvl w:ilvl="0">
      <w:lvlJc w:val="left"/>
      <w:lvlText w:val="(%1)"/>
      <w:numFmt w:val="lowerLetter"/>
      <w:start w:val="3"/>
    </w:lvl>
  </w:abstractNum>
  <w:abstractNum w:abstractNumId="17">
    <w:nsid w:val="CBE5BE9"/>
    <w:multiLevelType w:val="hybridMultilevel"/>
    <w:lvl w:ilvl="0">
      <w:lvlJc w:val="left"/>
      <w:lvlText w:val="§"/>
      <w:numFmt w:val="bullet"/>
      <w:start w:val="1"/>
    </w:lvl>
  </w:abstractNum>
  <w:abstractNum w:abstractNumId="18">
    <w:nsid w:val="3102BBE2"/>
    <w:multiLevelType w:val="hybridMultilevel"/>
    <w:lvl w:ilvl="0">
      <w:lvlJc w:val="left"/>
      <w:lvlText w:val="(%1)"/>
      <w:numFmt w:val="lowerRoman"/>
      <w:start w:val="6"/>
    </w:lvl>
  </w:abstractNum>
  <w:abstractNum w:abstractNumId="19">
    <w:nsid w:val="26A02C5E"/>
    <w:multiLevelType w:val="hybridMultilevel"/>
    <w:lvl w:ilvl="0">
      <w:lvlJc w:val="left"/>
      <w:lvlText w:val="(%1)"/>
      <w:numFmt w:val="lowerLetter"/>
      <w:start w:val="1"/>
    </w:lvl>
  </w:abstractNum>
  <w:abstractNum w:abstractNumId="20">
    <w:nsid w:val="541C8153"/>
    <w:multiLevelType w:val="hybridMultilevel"/>
    <w:lvl w:ilvl="0">
      <w:lvlJc w:val="left"/>
      <w:lvlText w:val="(%1)"/>
      <w:numFmt w:val="lowerLetter"/>
      <w:start w:val="4"/>
    </w:lvl>
  </w:abstractNum>
  <w:abstractNum w:abstractNumId="21">
    <w:nsid w:val="67906F60"/>
    <w:multiLevelType w:val="hybridMultilevel"/>
    <w:lvl w:ilvl="0">
      <w:lvlJc w:val="left"/>
      <w:lvlText w:val="(%1)"/>
      <w:numFmt w:val="lowerLetter"/>
      <w:start w:val="14"/>
    </w:lvl>
  </w:abstractNum>
  <w:abstractNum w:abstractNumId="22">
    <w:nsid w:val="10DB9DAA"/>
    <w:multiLevelType w:val="hybridMultilevel"/>
    <w:lvl w:ilvl="0">
      <w:lvlJc w:val="left"/>
      <w:lvlText w:val="(%1)"/>
      <w:numFmt w:val="lowerLetter"/>
      <w:start w:val="1"/>
    </w:lvl>
  </w:abstractNum>
  <w:abstractNum w:abstractNumId="23">
    <w:nsid w:val="697D2D2"/>
    <w:multiLevelType w:val="hybridMultilevel"/>
    <w:lvl w:ilvl="0">
      <w:lvlJc w:val="left"/>
      <w:lvlText w:val="(%1)"/>
      <w:numFmt w:val="lowerLetter"/>
      <w:start w:val="8"/>
    </w:lvl>
  </w:abstractNum>
  <w:abstractNum w:abstractNumId="24">
    <w:nsid w:val="6D68AB2"/>
    <w:multiLevelType w:val="hybridMultilevel"/>
    <w:lvl w:ilvl="0">
      <w:lvlJc w:val="left"/>
      <w:lvlText w:val="(%1)"/>
      <w:numFmt w:val="lowerLetter"/>
      <w:start w:val="2"/>
    </w:lvl>
  </w:abstractNum>
  <w:abstractNum w:abstractNumId="25">
    <w:nsid w:val="3A966CD0"/>
    <w:multiLevelType w:val="hybridMultilevel"/>
    <w:lvl w:ilvl="0">
      <w:lvlJc w:val="left"/>
      <w:lvlText w:val="(%1)"/>
      <w:numFmt w:val="lowerRoman"/>
      <w:start w:val="2"/>
    </w:lvl>
  </w:abstractNum>
  <w:abstractNum w:abstractNumId="26">
    <w:nsid w:val="63F37E85"/>
    <w:multiLevelType w:val="hybridMultilevel"/>
    <w:lvl w:ilvl="0">
      <w:lvlJc w:val="left"/>
      <w:lvlText w:val="(%1)"/>
      <w:numFmt w:val="lowerRoman"/>
      <w:start w:val="2"/>
    </w:lvl>
  </w:abstractNum>
  <w:abstractNum w:abstractNumId="27">
    <w:nsid w:val="5895F5FA"/>
    <w:multiLevelType w:val="hybridMultilevel"/>
    <w:lvl w:ilvl="0">
      <w:lvlJc w:val="left"/>
      <w:lvlText w:val="(%1)"/>
      <w:numFmt w:val="lowerRoman"/>
      <w:start w:val="2"/>
    </w:lvl>
  </w:abstractNum>
  <w:abstractNum w:abstractNumId="28">
    <w:nsid w:val="38A5D054"/>
    <w:multiLevelType w:val="hybridMultilevel"/>
    <w:lvl w:ilvl="0">
      <w:lvlJc w:val="left"/>
      <w:lvlText w:val="(%1)"/>
      <w:numFmt w:val="lowerLetter"/>
      <w:start w:val="4"/>
    </w:lvl>
  </w:abstractNum>
  <w:abstractNum w:abstractNumId="29">
    <w:nsid w:val="F3F09D8"/>
    <w:multiLevelType w:val="hybridMultilevel"/>
    <w:lvl w:ilvl="0">
      <w:lvlJc w:val="left"/>
      <w:lvlText w:val="(%1)"/>
      <w:numFmt w:val="lowerLetter"/>
      <w:start w:val="4"/>
    </w:lvl>
  </w:abstractNum>
  <w:abstractNum w:abstractNumId="30">
    <w:nsid w:val="4B793735"/>
    <w:multiLevelType w:val="hybridMultilevel"/>
    <w:lvl w:ilvl="0">
      <w:lvlJc w:val="left"/>
      <w:lvlText w:val="(%1)"/>
      <w:numFmt w:val="lowerLetter"/>
      <w:start w:val="13"/>
    </w:lvl>
  </w:abstractNum>
  <w:abstractNum w:abstractNumId="31">
    <w:nsid w:val="4A10B4E8"/>
    <w:multiLevelType w:val="hybridMultilevel"/>
    <w:lvl w:ilvl="0">
      <w:lvlJc w:val="left"/>
      <w:lvlText w:val="(%1)"/>
      <w:numFmt w:val="decimal"/>
      <w:start w:val="30"/>
    </w:lvl>
  </w:abstractNum>
  <w:abstractNum w:abstractNumId="32">
    <w:nsid w:val="43D3BCD4"/>
    <w:multiLevelType w:val="hybridMultilevel"/>
    <w:lvl w:ilvl="0">
      <w:lvlJc w:val="left"/>
      <w:lvlText w:val="(%1)"/>
      <w:numFmt w:val="lowerLetter"/>
      <w:start w:val="1"/>
    </w:lvl>
  </w:abstractNum>
  <w:abstractNum w:abstractNumId="33">
    <w:nsid w:val="4C2A7166"/>
    <w:multiLevelType w:val="hybridMultilevel"/>
    <w:lvl w:ilvl="0">
      <w:lvlJc w:val="left"/>
      <w:lvlText w:val="(%1)"/>
      <w:numFmt w:val="lowerLetter"/>
      <w:start w:val="1"/>
    </w:lvl>
  </w:abstractNum>
  <w:abstractNum w:abstractNumId="34">
    <w:nsid w:val="2E534A82"/>
    <w:multiLevelType w:val="hybridMultilevel"/>
    <w:lvl w:ilvl="0">
      <w:lvlJc w:val="left"/>
      <w:lvlText w:val="(%1)"/>
      <w:numFmt w:val="lowerLetter"/>
      <w:start w:val="5"/>
    </w:lvl>
  </w:abstractNum>
  <w:abstractNum w:abstractNumId="35">
    <w:nsid w:val="26F2D364"/>
    <w:multiLevelType w:val="hybridMultilevel"/>
    <w:lvl w:ilvl="0">
      <w:lvlJc w:val="left"/>
      <w:lvlText w:val="(%1)"/>
      <w:numFmt w:val="lowerLetter"/>
      <w:start w:val="1"/>
    </w:lvl>
  </w:abstractNum>
  <w:abstractNum w:abstractNumId="36">
    <w:nsid w:val="71C1AF98"/>
    <w:multiLevelType w:val="hybridMultilevel"/>
    <w:lvl w:ilvl="0">
      <w:lvlJc w:val="left"/>
      <w:lvlText w:val="(%1)"/>
      <w:numFmt w:val="lowerLetter"/>
      <w:start w:val="1"/>
    </w:lvl>
  </w:abstractNum>
  <w:abstractNum w:abstractNumId="37">
    <w:nsid w:val="3D00B9D9"/>
    <w:multiLevelType w:val="hybridMultilevel"/>
    <w:lvl w:ilvl="0">
      <w:lvlJc w:val="left"/>
      <w:lvlText w:val="(%1)"/>
      <w:numFmt w:val="decimal"/>
      <w:start w:val="519"/>
    </w:lvl>
  </w:abstractNum>
  <w:abstractNum w:abstractNumId="38">
    <w:nsid w:val="15BCABA8"/>
    <w:multiLevelType w:val="hybridMultilevel"/>
    <w:lvl w:ilvl="0">
      <w:lvlJc w:val="left"/>
      <w:lvlText w:val="(%1)"/>
      <w:numFmt w:val="lowerRoman"/>
      <w:start w:val="2"/>
    </w:lvl>
  </w:abstractNum>
  <w:abstractNum w:abstractNumId="39">
    <w:nsid w:val="4E0B9A87"/>
    <w:multiLevelType w:val="hybridMultilevel"/>
    <w:lvl w:ilvl="0">
      <w:lvlJc w:val="left"/>
      <w:lvlText w:val="(%1)"/>
      <w:numFmt w:val="lowerLetter"/>
      <w:start w:val="5"/>
    </w:lvl>
  </w:abstractNum>
  <w:abstractNum w:abstractNumId="40">
    <w:nsid w:val="434BAE75"/>
    <w:multiLevelType w:val="hybridMultilevel"/>
    <w:lvl w:ilvl="0">
      <w:lvlJc w:val="left"/>
      <w:lvlText w:val="(%1)"/>
      <w:numFmt w:val="lowerLetter"/>
      <w:start w:val="1"/>
    </w:lvl>
  </w:abstractNum>
  <w:abstractNum w:abstractNumId="41">
    <w:nsid w:val="4F38F265"/>
    <w:multiLevelType w:val="hybridMultilevel"/>
    <w:lvl w:ilvl="0">
      <w:lvlJc w:val="left"/>
      <w:lvlText w:val="(%1)"/>
      <w:numFmt w:val="lowerLetter"/>
      <w:start w:val="3"/>
    </w:lvl>
  </w:abstractNum>
  <w:abstractNum w:abstractNumId="42">
    <w:nsid w:val="4C502870"/>
    <w:multiLevelType w:val="hybridMultilevel"/>
    <w:lvl w:ilvl="0">
      <w:lvlJc w:val="left"/>
      <w:lvlText w:val="(%1)"/>
      <w:numFmt w:val="lowerRoman"/>
      <w:start w:val="2"/>
    </w:lvl>
  </w:abstractNum>
  <w:abstractNum w:abstractNumId="43">
    <w:nsid w:val="1DE8725A"/>
    <w:multiLevelType w:val="hybridMultilevel"/>
    <w:lvl w:ilvl="0">
      <w:lvlJc w:val="left"/>
      <w:lvlText w:val="(%1)"/>
      <w:numFmt w:val="lowerLetter"/>
      <w:start w:val="2"/>
    </w:lvl>
  </w:abstractNum>
  <w:abstractNum w:abstractNumId="44">
    <w:nsid w:val="6A37288A"/>
    <w:multiLevelType w:val="hybridMultilevel"/>
    <w:lvl w:ilvl="0">
      <w:lvlJc w:val="left"/>
      <w:lvlText w:val="(%1)"/>
      <w:numFmt w:val="lowerLetter"/>
      <w:start w:val="11"/>
    </w:lvl>
  </w:abstractNum>
  <w:abstractNum w:abstractNumId="45">
    <w:nsid w:val="8F8B73F"/>
    <w:multiLevelType w:val="hybridMultilevel"/>
    <w:lvl w:ilvl="0">
      <w:lvlJc w:val="left"/>
      <w:lvlText w:val="(%1)"/>
      <w:numFmt w:val="lowerLetter"/>
      <w:start w:val="17"/>
    </w:lvl>
  </w:abstractNum>
  <w:abstractNum w:abstractNumId="46">
    <w:nsid w:val="CA6B462"/>
    <w:multiLevelType w:val="hybridMultilevel"/>
    <w:lvl w:ilvl="0">
      <w:lvlJc w:val="left"/>
      <w:lvlText w:val="(%1)"/>
      <w:numFmt w:val="lowerLetter"/>
      <w:start w:val="19"/>
    </w:lvl>
  </w:abstractNum>
  <w:abstractNum w:abstractNumId="47">
    <w:nsid w:val="763CB680"/>
    <w:multiLevelType w:val="hybridMultilevel"/>
    <w:lvl w:ilvl="0">
      <w:lvlJc w:val="left"/>
      <w:lvlText w:val="(%1)"/>
      <w:numFmt w:val="lowerLetter"/>
      <w:start w:val="1"/>
    </w:lvl>
  </w:abstractNum>
  <w:abstractNum w:abstractNumId="48">
    <w:nsid w:val="15B71329"/>
    <w:multiLevelType w:val="hybridMultilevel"/>
    <w:lvl w:ilvl="0">
      <w:lvlJc w:val="left"/>
      <w:lvlText w:val="(%1)"/>
      <w:numFmt w:val="lowerLetter"/>
      <w:start w:val="1"/>
    </w:lvl>
  </w:abstractNum>
  <w:abstractNum w:abstractNumId="49">
    <w:nsid w:val="3DA97044"/>
    <w:multiLevelType w:val="hybridMultilevel"/>
    <w:lvl w:ilvl="0">
      <w:lvlJc w:val="left"/>
      <w:lvlText w:val="(%1)"/>
      <w:numFmt w:val="lowerLetter"/>
      <w:start w:val="2"/>
    </w:lvl>
  </w:abstractNum>
  <w:abstractNum w:abstractNumId="50">
    <w:nsid w:val="1CDCE2DE"/>
    <w:multiLevelType w:val="hybridMultilevel"/>
    <w:lvl w:ilvl="0">
      <w:lvlJc w:val="left"/>
      <w:lvlText w:val="(%1)"/>
      <w:numFmt w:val="lowerLetter"/>
      <w:start w:val="1"/>
    </w:lvl>
  </w:abstractNum>
  <w:abstractNum w:abstractNumId="51">
    <w:nsid w:val="69D3947C"/>
    <w:multiLevelType w:val="hybridMultilevel"/>
    <w:lvl w:ilvl="0">
      <w:lvlJc w:val="left"/>
      <w:lvlText w:val="(%1)"/>
      <w:numFmt w:val="lowerRoman"/>
      <w:start w:val="1"/>
    </w:lvl>
  </w:abstractNum>
  <w:abstractNum w:abstractNumId="52">
    <w:nsid w:val="2539DFA5"/>
    <w:multiLevelType w:val="hybridMultilevel"/>
    <w:lvl w:ilvl="0">
      <w:lvlJc w:val="left"/>
      <w:lvlText w:val="(%1)"/>
      <w:numFmt w:val="lowerLetter"/>
      <w:start w:val="2"/>
    </w:lvl>
  </w:abstractNum>
  <w:abstractNum w:abstractNumId="53">
    <w:nsid w:val="2DB88089"/>
    <w:multiLevelType w:val="hybridMultilevel"/>
    <w:lvl w:ilvl="0">
      <w:lvlJc w:val="left"/>
      <w:lvlText w:val="(%1)"/>
      <w:numFmt w:val="lowerRoman"/>
      <w:start w:val="1"/>
    </w:lvl>
  </w:abstractNum>
  <w:abstractNum w:abstractNumId="54">
    <w:nsid w:val="706B674E"/>
    <w:multiLevelType w:val="hybridMultilevel"/>
    <w:lvl w:ilvl="0">
      <w:lvlJc w:val="left"/>
      <w:lvlText w:val="(%1)"/>
      <w:numFmt w:val="upperLetter"/>
      <w:start w:val="35"/>
    </w:lvl>
    <w:lvl w:ilvl="1">
      <w:lvlJc w:val="left"/>
      <w:lvlText w:val="(%2)"/>
      <w:numFmt w:val="lowerLetter"/>
      <w:start w:val="2"/>
    </w:lvl>
  </w:abstractNum>
  <w:abstractNum w:abstractNumId="55">
    <w:nsid w:val="2C106A57"/>
    <w:multiLevelType w:val="hybridMultilevel"/>
    <w:lvl w:ilvl="0">
      <w:lvlJc w:val="left"/>
      <w:lvlText w:val="(%1)"/>
      <w:numFmt w:val="lowerLetter"/>
      <w:start w:val="2"/>
    </w:lvl>
  </w:abstractNum>
  <w:abstractNum w:abstractNumId="56">
    <w:nsid w:val="684EED59"/>
    <w:multiLevelType w:val="hybridMultilevel"/>
    <w:lvl w:ilvl="0">
      <w:lvlJc w:val="left"/>
      <w:lvlText w:val="(%1)"/>
      <w:numFmt w:val="lowerLetter"/>
      <w:start w:val="5"/>
    </w:lvl>
  </w:abstractNum>
  <w:abstractNum w:abstractNumId="57">
    <w:nsid w:val="545EE5D3"/>
    <w:multiLevelType w:val="hybridMultilevel"/>
    <w:lvl w:ilvl="0">
      <w:lvlJc w:val="left"/>
      <w:lvlText w:val="(%1)"/>
      <w:numFmt w:val="lowerRoman"/>
      <w:start w:val="1"/>
    </w:lvl>
  </w:abstractNum>
  <w:abstractNum w:abstractNumId="58">
    <w:nsid w:val="4A66051"/>
    <w:multiLevelType w:val="hybridMultilevel"/>
    <w:lvl w:ilvl="0">
      <w:lvlJc w:val="left"/>
      <w:lvlText w:val="%1"/>
      <w:numFmt w:val="lowerRoman"/>
      <w:start w:val="1"/>
    </w:lvl>
    <w:lvl w:ilvl="1">
      <w:lvlJc w:val="left"/>
      <w:lvlText w:val="(%2)"/>
      <w:numFmt w:val="lowerLetter"/>
      <w:start w:val="2"/>
    </w:lvl>
  </w:abstractNum>
  <w:abstractNum w:abstractNumId="59">
    <w:nsid w:val="20F4BDAD"/>
    <w:multiLevelType w:val="hybridMultilevel"/>
    <w:lvl w:ilvl="0">
      <w:lvlJc w:val="left"/>
      <w:lvlText w:val="(%1)"/>
      <w:numFmt w:val="lowerRoman"/>
      <w:start w:val="7"/>
    </w:lvl>
    <w:lvl w:ilvl="1">
      <w:lvlJc w:val="left"/>
      <w:lvlText w:val="(%2)"/>
      <w:numFmt w:val="lowerLetter"/>
      <w:start w:val="3"/>
    </w:lvl>
  </w:abstractNum>
  <w:abstractNum w:abstractNumId="60">
    <w:nsid w:val="639DEFAC"/>
    <w:multiLevelType w:val="hybridMultilevel"/>
    <w:lvl w:ilvl="0">
      <w:lvlJc w:val="left"/>
      <w:lvlText w:val="(%1)"/>
      <w:numFmt w:val="lowerLetter"/>
      <w:start w:val="5"/>
    </w:lvl>
  </w:abstractNum>
  <w:abstractNum w:abstractNumId="61">
    <w:nsid w:val="501F9786"/>
    <w:multiLevelType w:val="hybridMultilevel"/>
    <w:lvl w:ilvl="0">
      <w:lvlJc w:val="left"/>
      <w:lvlText w:val="(%1)"/>
      <w:numFmt w:val="lowerLetter"/>
      <w:start w:val="8"/>
    </w:lvl>
  </w:abstractNum>
  <w:abstractNum w:abstractNumId="62">
    <w:nsid w:val="6B057295"/>
    <w:multiLevelType w:val="hybridMultilevel"/>
    <w:lvl w:ilvl="0">
      <w:lvlJc w:val="left"/>
      <w:lvlText w:val="%1"/>
      <w:numFmt w:val="lowerLetter"/>
      <w:start w:val="1"/>
    </w:lvl>
    <w:lvl w:ilvl="1">
      <w:lvlJc w:val="left"/>
      <w:lvlText w:val="(%2)"/>
      <w:numFmt w:val="lowerLetter"/>
      <w:start w:val="11"/>
    </w:lvl>
  </w:abstractNum>
  <w:abstractNum w:abstractNumId="63">
    <w:nsid w:val="2771AC80"/>
    <w:multiLevelType w:val="hybridMultilevel"/>
    <w:lvl w:ilvl="0">
      <w:lvlJc w:val="left"/>
      <w:lvlText w:val="(%1)"/>
      <w:numFmt w:val="lowerLetter"/>
      <w:start w:val="35"/>
    </w:lvl>
    <w:lvl w:ilvl="1">
      <w:lvlJc w:val="left"/>
      <w:lvlText w:val="(%2)"/>
      <w:numFmt w:val="lowerLetter"/>
      <w:start w:val="12"/>
    </w:lvl>
  </w:abstractNum>
  <w:abstractNum w:abstractNumId="64">
    <w:nsid w:val="1C4A08EC"/>
    <w:multiLevelType w:val="hybridMultilevel"/>
    <w:lvl w:ilvl="0">
      <w:lvlJc w:val="left"/>
      <w:lvlText w:val="(%1)"/>
      <w:numFmt w:val="lowerLetter"/>
      <w:start w:val="14"/>
    </w:lvl>
  </w:abstractNum>
  <w:abstractNum w:abstractNumId="65">
    <w:nsid w:val="1958BD17"/>
    <w:multiLevelType w:val="hybridMultilevel"/>
    <w:lvl w:ilvl="0">
      <w:lvlJc w:val="left"/>
      <w:lvlText w:val="(%1)"/>
      <w:numFmt w:val="lowerLetter"/>
      <w:start w:val="2"/>
    </w:lvl>
  </w:abstractNum>
  <w:abstractNum w:abstractNumId="66">
    <w:nsid w:val="4E647FE4"/>
    <w:multiLevelType w:val="hybridMultilevel"/>
    <w:lvl w:ilvl="0">
      <w:lvlJc w:val="left"/>
      <w:lvlText w:val="(%1)"/>
      <w:numFmt w:val="lowerLetter"/>
      <w:start w:val="2"/>
    </w:lvl>
    <w:lvl w:ilvl="1">
      <w:lvlJc w:val="left"/>
      <w:lvlText w:val="(%2)"/>
      <w:numFmt w:val="lowerRoman"/>
      <w:start w:val="1"/>
    </w:lvl>
  </w:abstractNum>
  <w:abstractNum w:abstractNumId="67">
    <w:nsid w:val="E0BB885"/>
    <w:multiLevelType w:val="hybridMultilevel"/>
    <w:lvl w:ilvl="0">
      <w:lvlJc w:val="left"/>
      <w:lvlText w:val="(%1)"/>
      <w:numFmt w:val="lowerLetter"/>
      <w:start w:val="4"/>
    </w:lvl>
  </w:abstractNum>
  <w:abstractNum w:abstractNumId="68">
    <w:nsid w:val="565976F1"/>
    <w:multiLevelType w:val="hybridMultilevel"/>
    <w:lvl w:ilvl="0">
      <w:lvlJc w:val="left"/>
      <w:lvlText w:val="(%1)"/>
      <w:numFmt w:val="lowerLetter"/>
      <w:start w:val="6"/>
    </w:lvl>
  </w:abstractNum>
  <w:abstractNum w:abstractNumId="69">
    <w:nsid w:val="64212B8C"/>
    <w:multiLevelType w:val="hybridMultilevel"/>
    <w:lvl w:ilvl="0">
      <w:lvlJc w:val="left"/>
      <w:lvlText w:val="%1"/>
      <w:numFmt w:val="upperLetter"/>
      <w:start w:val="1"/>
    </w:lvl>
    <w:lvl w:ilvl="1">
      <w:lvlJc w:val="left"/>
      <w:lvlText w:val="(%2)"/>
      <w:numFmt w:val="lowerLetter"/>
      <w:start w:val="2"/>
    </w:lvl>
  </w:abstractNum>
  <w:abstractNum w:abstractNumId="70">
    <w:nsid w:val="5C17530C"/>
    <w:multiLevelType w:val="hybridMultilevel"/>
    <w:lvl w:ilvl="0">
      <w:lvlJc w:val="left"/>
      <w:lvlText w:val="(%1)"/>
      <w:numFmt w:val="upperLetter"/>
      <w:start w:val="2"/>
    </w:lvl>
    <w:lvl w:ilvl="1">
      <w:lvlJc w:val="left"/>
      <w:lvlText w:val="(%2)"/>
      <w:numFmt w:val="lowerLetter"/>
      <w:start w:val="3"/>
    </w:lvl>
  </w:abstractNum>
  <w:abstractNum w:abstractNumId="71">
    <w:nsid w:val="19A52566"/>
    <w:multiLevelType w:val="hybridMultilevel"/>
    <w:lvl w:ilvl="0">
      <w:lvlJc w:val="left"/>
      <w:lvlText w:val="(%1)"/>
      <w:numFmt w:val="lowerLetter"/>
      <w:start w:val="5"/>
    </w:lvl>
  </w:abstractNum>
  <w:abstractNum w:abstractNumId="72">
    <w:nsid w:val="335A1DF1"/>
    <w:multiLevelType w:val="hybridMultilevel"/>
    <w:lvl w:ilvl="0">
      <w:lvlJc w:val="left"/>
      <w:lvlText w:val="(%1)"/>
      <w:numFmt w:val="upperLetter"/>
      <w:start w:val="1"/>
    </w:lvl>
    <w:lvl w:ilvl="1">
      <w:lvlJc w:val="left"/>
      <w:lvlText w:val="(%2)"/>
      <w:numFmt w:val="lowerLetter"/>
      <w:start w:val="2"/>
    </w:lvl>
  </w:abstractNum>
  <w:abstractNum w:abstractNumId="73">
    <w:nsid w:val="28677B7C"/>
    <w:multiLevelType w:val="hybridMultilevel"/>
    <w:lvl w:ilvl="0">
      <w:lvlJc w:val="left"/>
      <w:lvlText w:val="%1"/>
      <w:numFmt w:val="lowerLetter"/>
      <w:start w:val="1"/>
    </w:lvl>
    <w:lvl w:ilvl="1">
      <w:lvlJc w:val="left"/>
      <w:lvlText w:val="(%2)"/>
      <w:numFmt w:val="lowerLetter"/>
      <w:start w:val="2"/>
    </w:lvl>
  </w:abstractNum>
  <w:abstractNum w:abstractNumId="74">
    <w:nsid w:val="378D97C0"/>
    <w:multiLevelType w:val="hybridMultilevel"/>
    <w:lvl w:ilvl="0">
      <w:lvlJc w:val="left"/>
      <w:lvlText w:val="(%1)"/>
      <w:numFmt w:val="lowerLetter"/>
      <w:start w:val="61"/>
    </w:lvl>
    <w:lvl w:ilvl="1">
      <w:lvlJc w:val="left"/>
      <w:lvlText w:val="(%2)"/>
      <w:numFmt w:val="lowerLetter"/>
      <w:start w:val="3"/>
    </w:lvl>
  </w:abstractNum>
  <w:abstractNum w:abstractNumId="75">
    <w:nsid w:val="1D91467C"/>
    <w:multiLevelType w:val="hybridMultilevel"/>
    <w:lvl w:ilvl="0">
      <w:lvlJc w:val="left"/>
      <w:lvlText w:val="(%1)"/>
      <w:numFmt w:val="lowerLetter"/>
      <w:start w:val="2"/>
    </w:lvl>
  </w:abstractNum>
  <w:abstractNum w:abstractNumId="76">
    <w:nsid w:val="316032BB"/>
    <w:multiLevelType w:val="hybridMultilevel"/>
    <w:lvl w:ilvl="0">
      <w:lvlJc w:val="left"/>
      <w:lvlText w:val="(%1)"/>
      <w:numFmt w:val="lowerLetter"/>
      <w:start w:val="3"/>
    </w:lvl>
  </w:abstractNum>
  <w:abstractNum w:abstractNumId="77">
    <w:nsid w:val="44344C22"/>
    <w:multiLevelType w:val="hybridMultilevel"/>
    <w:lvl w:ilvl="0">
      <w:lvlJc w:val="left"/>
      <w:lvlText w:val="(%1)"/>
      <w:numFmt w:val="lowerLetter"/>
      <w:start w:val="2"/>
    </w:lvl>
  </w:abstractNum>
  <w:abstractNum w:abstractNumId="78">
    <w:nsid w:val="13CDFCFC"/>
    <w:multiLevelType w:val="hybridMultilevel"/>
    <w:lvl w:ilvl="0">
      <w:lvlJc w:val="left"/>
      <w:lvlText w:val="(%1)"/>
      <w:numFmt w:val="lowerLetter"/>
      <w:start w:val="7"/>
    </w:lvl>
  </w:abstractNum>
  <w:abstractNum w:abstractNumId="79">
    <w:nsid w:val="471745E4"/>
    <w:multiLevelType w:val="hybridMultilevel"/>
    <w:lvl w:ilvl="0">
      <w:lvlJc w:val="left"/>
      <w:lvlText w:val="(%1)"/>
      <w:numFmt w:val="lowerLetter"/>
      <w:start w:val="2"/>
    </w:lvl>
  </w:abstractNum>
  <w:abstractNum w:abstractNumId="80">
    <w:nsid w:val="1DDBC66"/>
    <w:multiLevelType w:val="hybridMultilevel"/>
    <w:lvl w:ilvl="0">
      <w:lvlJc w:val="left"/>
      <w:lvlText w:val="%1"/>
      <w:numFmt w:val="upperLetter"/>
      <w:start w:val="1"/>
    </w:lvl>
    <w:lvl w:ilvl="1">
      <w:lvlJc w:val="left"/>
      <w:lvlText w:val="(%2)"/>
      <w:numFmt w:val="lowerLetter"/>
      <w:start w:val="4"/>
    </w:lvl>
  </w:abstractNum>
  <w:abstractNum w:abstractNumId="81">
    <w:nsid w:val="30AADFDA"/>
    <w:multiLevelType w:val="hybridMultilevel"/>
    <w:lvl w:ilvl="0">
      <w:lvlJc w:val="left"/>
      <w:lvlText w:val="(%1)"/>
      <w:numFmt w:val="upperLetter"/>
      <w:start w:val="1"/>
    </w:lvl>
    <w:lvl w:ilvl="1">
      <w:lvlJc w:val="left"/>
      <w:lvlText w:val="%2"/>
      <w:numFmt w:val="lowerLetter"/>
      <w:start w:val="1"/>
    </w:lvl>
  </w:abstractNum>
  <w:abstractNum w:abstractNumId="82">
    <w:nsid w:val="30EADA61"/>
    <w:multiLevelType w:val="hybridMultilevel"/>
    <w:lvl w:ilvl="0">
      <w:lvlJc w:val="left"/>
      <w:lvlText w:val="(%1)"/>
      <w:numFmt w:val="lowerRoman"/>
      <w:start w:val="1"/>
    </w:lvl>
  </w:abstractNum>
  <w:abstractNum w:abstractNumId="83">
    <w:nsid w:val="27179C0B"/>
    <w:multiLevelType w:val="hybridMultilevel"/>
    <w:lvl w:ilvl="0">
      <w:lvlJc w:val="left"/>
      <w:lvlText w:val="(%1)"/>
      <w:numFmt w:val="lowerLetter"/>
      <w:start w:val="1"/>
    </w:lvl>
    <w:lvl w:ilvl="1">
      <w:lvlJc w:val="left"/>
      <w:lvlText w:val="(%2)"/>
      <w:numFmt w:val="lowerRoman"/>
      <w:start w:val="1"/>
    </w:lvl>
  </w:abstractNum>
  <w:abstractNum w:abstractNumId="84">
    <w:nsid w:val="5E636063"/>
    <w:multiLevelType w:val="hybridMultilevel"/>
    <w:lvl w:ilvl="0">
      <w:lvlJc w:val="left"/>
      <w:lvlText w:val="(%1)"/>
      <w:numFmt w:val="lowerLetter"/>
      <w:start w:val="1"/>
    </w:lvl>
  </w:abstractNum>
  <w:abstractNum w:abstractNumId="85">
    <w:nsid w:val="215641AF"/>
    <w:multiLevelType w:val="hybridMultilevel"/>
    <w:lvl w:ilvl="0">
      <w:lvlJc w:val="left"/>
      <w:lvlText w:val="(%1)"/>
      <w:numFmt w:val="lowerLetter"/>
      <w:start w:val="2"/>
    </w:lvl>
  </w:abstractNum>
  <w:abstractNum w:abstractNumId="86">
    <w:nsid w:val="53280662"/>
    <w:multiLevelType w:val="hybridMultilevel"/>
    <w:lvl w:ilvl="0">
      <w:lvlJc w:val="left"/>
      <w:lvlText w:val="(%1)"/>
      <w:numFmt w:val="lowerLetter"/>
      <w:start w:val="1"/>
    </w:lvl>
  </w:abstractNum>
  <w:abstractNum w:abstractNumId="87">
    <w:nsid w:val="46B24DB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88">
    <w:nsid w:val="75B52783"/>
    <w:multiLevelType w:val="hybridMultilevel"/>
    <w:lvl w:ilvl="0">
      <w:lvlJc w:val="left"/>
      <w:lvlText w:val="(%1)"/>
      <w:numFmt w:val="decimal"/>
      <w:start w:val="10"/>
    </w:lvl>
    <w:lvl w:ilvl="1">
      <w:lvlJc w:val="left"/>
      <w:lvlText w:val="(%2)"/>
      <w:numFmt w:val="lowerLetter"/>
      <w:start w:val="5"/>
    </w:lvl>
    <w:lvl w:ilvl="2">
      <w:lvlJc w:val="left"/>
      <w:lvlText w:val="(%3)"/>
      <w:numFmt w:val="lowerRoman"/>
      <w:start w:val="2"/>
    </w:lvl>
    <w:lvl w:ilvl="3">
      <w:lvlJc w:val="left"/>
      <w:lvlText w:val="(%4)"/>
      <w:numFmt w:val="upperLetter"/>
      <w:start w:val="1"/>
    </w:lvl>
  </w:abstractNum>
  <w:abstractNum w:abstractNumId="89">
    <w:nsid w:val="57CE66B4"/>
    <w:multiLevelType w:val="hybridMultilevel"/>
    <w:lvl w:ilvl="0">
      <w:lvlJc w:val="left"/>
      <w:lvlText w:val="%1"/>
      <w:numFmt w:val="lowerLetter"/>
      <w:start w:val="1"/>
    </w:lvl>
    <w:lvl w:ilvl="1">
      <w:lvlJc w:val="left"/>
      <w:lvlText w:val="(%2)"/>
      <w:numFmt w:val="upperLetter"/>
      <w:start w:val="2"/>
    </w:lvl>
    <w:lvl w:ilvl="2">
      <w:lvlJc w:val="left"/>
      <w:lvlText w:val="(%3)"/>
      <w:numFmt w:val="decimal"/>
      <w:start w:val="1"/>
    </w:lvl>
  </w:abstractNum>
  <w:abstractNum w:abstractNumId="90">
    <w:nsid w:val="67A70B69"/>
    <w:multiLevelType w:val="hybridMultilevel"/>
    <w:lvl w:ilvl="0">
      <w:lvlJc w:val="left"/>
      <w:lvlText w:val="(%1)"/>
      <w:numFmt w:val="lowerLetter"/>
      <w:start w:val="24"/>
    </w:lvl>
    <w:lvl w:ilvl="1">
      <w:lvlJc w:val="left"/>
      <w:lvlText w:val="(%2)"/>
      <w:numFmt w:val="upperLetter"/>
      <w:start w:val="2"/>
    </w:lvl>
    <w:lvl w:ilvl="2">
      <w:lvlJc w:val="left"/>
      <w:lvlText w:val="(%3)"/>
      <w:numFmt w:val="decimal"/>
      <w:start w:val="2"/>
    </w:lvl>
  </w:abstractNum>
  <w:abstractNum w:abstractNumId="91">
    <w:nsid w:val="5953172F"/>
    <w:multiLevelType w:val="hybridMultilevel"/>
    <w:lvl w:ilvl="0">
      <w:lvlJc w:val="left"/>
      <w:lvlText w:val="%1"/>
      <w:numFmt w:val="lowerLetter"/>
      <w:start w:val="1"/>
    </w:lvl>
    <w:lvl w:ilvl="1">
      <w:lvlJc w:val="left"/>
      <w:lvlText w:val="(%2)"/>
      <w:numFmt w:val="lowerLetter"/>
      <w:start w:val="61"/>
    </w:lvl>
  </w:abstractNum>
  <w:abstractNum w:abstractNumId="92">
    <w:nsid w:val="27EDFE3A"/>
    <w:multiLevelType w:val="hybridMultilevel"/>
    <w:lvl w:ilvl="0">
      <w:lvlJc w:val="left"/>
      <w:lvlText w:val="(%1)"/>
      <w:numFmt w:val="lowerLetter"/>
      <w:start w:val="7"/>
    </w:lvl>
    <w:lvl w:ilvl="1">
      <w:lvlJc w:val="left"/>
      <w:lvlText w:val="%2"/>
      <w:numFmt w:val="lowerLetter"/>
      <w:start w:val="1"/>
    </w:lvl>
  </w:abstractNum>
  <w:abstractNum w:abstractNumId="93">
    <w:nsid w:val="52AC7DFF"/>
    <w:multiLevelType w:val="hybridMultilevel"/>
    <w:lvl w:ilvl="0">
      <w:lvlJc w:val="left"/>
      <w:lvlText w:val="(%1)"/>
      <w:numFmt w:val="lowerLetter"/>
      <w:start w:val="2"/>
    </w:lvl>
  </w:abstractNum>
  <w:abstractNum w:abstractNumId="94">
    <w:nsid w:val="C4C3AF"/>
    <w:multiLevelType w:val="hybridMultilevel"/>
    <w:lvl w:ilvl="0">
      <w:lvlJc w:val="left"/>
      <w:lvlText w:val="(%1)"/>
      <w:numFmt w:val="lowerLetter"/>
      <w:start w:val="4"/>
    </w:lvl>
  </w:abstractNum>
  <w:abstractNum w:abstractNumId="95">
    <w:nsid w:val="44380727"/>
    <w:multiLevelType w:val="hybridMultilevel"/>
    <w:lvl w:ilvl="0">
      <w:lvlJc w:val="left"/>
      <w:lvlText w:val="(%1)"/>
      <w:numFmt w:val="lowerLetter"/>
      <w:start w:val="1"/>
    </w:lvl>
  </w:abstractNum>
  <w:abstractNum w:abstractNumId="96">
    <w:nsid w:val="6C053B16"/>
    <w:multiLevelType w:val="hybridMultilevel"/>
    <w:lvl w:ilvl="0">
      <w:lvlJc w:val="left"/>
      <w:lvlText w:val="(%1)"/>
      <w:numFmt w:val="lowerLetter"/>
      <w:start w:val="9"/>
    </w:lvl>
    <w:lvl w:ilvl="1">
      <w:lvlJc w:val="left"/>
      <w:lvlText w:val="(%2)"/>
      <w:numFmt w:val="lowerLetter"/>
      <w:start w:val="2"/>
    </w:lvl>
  </w:abstractNum>
  <w:abstractNum w:abstractNumId="97">
    <w:nsid w:val="4F294393"/>
    <w:multiLevelType w:val="hybridMultilevel"/>
    <w:lvl w:ilvl="0">
      <w:lvlJc w:val="left"/>
      <w:lvlText w:val="(%1)"/>
      <w:numFmt w:val="lowerLetter"/>
      <w:start w:val="1"/>
    </w:lvl>
  </w:abstractNum>
  <w:abstractNum w:abstractNumId="98">
    <w:nsid w:val="5243BFAC"/>
    <w:multiLevelType w:val="hybridMultilevel"/>
    <w:lvl w:ilvl="0">
      <w:lvlJc w:val="left"/>
      <w:lvlText w:val="(%1)"/>
      <w:numFmt w:val="lowerLetter"/>
      <w:start w:val="3"/>
    </w:lvl>
    <w:lvl w:ilvl="1">
      <w:lvlJc w:val="left"/>
      <w:lvlText w:val="(%2)"/>
      <w:numFmt w:val="lowerRoman"/>
      <w:start w:val="1"/>
    </w:lvl>
  </w:abstractNum>
  <w:abstractNum w:abstractNumId="99">
    <w:nsid w:val="425EB207"/>
    <w:multiLevelType w:val="hybridMultilevel"/>
    <w:lvl w:ilvl="0">
      <w:lvlJc w:val="left"/>
      <w:lvlText w:val="(%1)"/>
      <w:numFmt w:val="lowerLetter"/>
      <w:start w:val="4"/>
    </w:lvl>
  </w:abstractNum>
  <w:abstractNum w:abstractNumId="100">
    <w:nsid w:val="334A6F1F"/>
    <w:multiLevelType w:val="hybridMultilevel"/>
    <w:lvl w:ilvl="0">
      <w:lvlJc w:val="left"/>
      <w:lvlText w:val="(%1)"/>
      <w:numFmt w:val="lowerLetter"/>
      <w:start w:val="5"/>
    </w:lvl>
  </w:abstractNum>
  <w:abstractNum w:abstractNumId="101">
    <w:nsid w:val="2E5B12B8"/>
    <w:multiLevelType w:val="hybridMultilevel"/>
    <w:lvl w:ilvl="0">
      <w:lvlJc w:val="left"/>
      <w:lvlText w:val="(%1)"/>
      <w:numFmt w:val="lowerLetter"/>
      <w:start w:val="6"/>
    </w:lvl>
  </w:abstractNum>
  <w:abstractNum w:abstractNumId="102">
    <w:nsid w:val="5C03D76D"/>
    <w:multiLevelType w:val="hybridMultilevel"/>
    <w:lvl w:ilvl="0">
      <w:lvlJc w:val="left"/>
      <w:lvlText w:val="%1"/>
      <w:numFmt w:val="upperLetter"/>
      <w:start w:val="1"/>
    </w:lvl>
    <w:lvl w:ilvl="1">
      <w:lvlJc w:val="left"/>
      <w:lvlText w:val="(%2)"/>
      <w:numFmt w:val="lowerLetter"/>
      <w:start w:val="2"/>
    </w:lvl>
  </w:abstractNum>
  <w:abstractNum w:abstractNumId="103">
    <w:nsid w:val="66A48D11"/>
    <w:multiLevelType w:val="hybridMultilevel"/>
    <w:lvl w:ilvl="0">
      <w:lvlJc w:val="left"/>
      <w:lvlText w:val="(%1)"/>
      <w:numFmt w:val="upperLetter"/>
      <w:start w:val="2"/>
    </w:lvl>
    <w:lvl w:ilvl="1">
      <w:lvlJc w:val="left"/>
      <w:lvlText w:val="(%2)"/>
      <w:numFmt w:val="lowerLetter"/>
      <w:start w:val="3"/>
    </w:lvl>
  </w:abstractNum>
  <w:abstractNum w:abstractNumId="104">
    <w:nsid w:val="56C28E34"/>
    <w:multiLevelType w:val="hybridMultilevel"/>
    <w:lvl w:ilvl="0">
      <w:lvlJc w:val="left"/>
      <w:lvlText w:val="(%1)"/>
      <w:numFmt w:val="lowerLetter"/>
      <w:start w:val="4"/>
    </w:lvl>
  </w:abstractNum>
  <w:abstractNum w:abstractNumId="105">
    <w:nsid w:val="13916F2D"/>
    <w:multiLevelType w:val="hybridMultilevel"/>
    <w:lvl w:ilvl="0">
      <w:lvlJc w:val="left"/>
      <w:lvlText w:val="(%1)"/>
      <w:numFmt w:val="lowerLetter"/>
      <w:start w:val="1"/>
    </w:lvl>
  </w:abstractNum>
  <w:abstractNum w:abstractNumId="106">
    <w:nsid w:val="435D38D"/>
    <w:multiLevelType w:val="hybridMultilevel"/>
    <w:lvl w:ilvl="0">
      <w:lvlJc w:val="left"/>
      <w:lvlText w:val="(%1)"/>
      <w:numFmt w:val="lowerLetter"/>
      <w:start w:val="2"/>
    </w:lvl>
  </w:abstractNum>
  <w:abstractNum w:abstractNumId="107">
    <w:nsid w:val="822C0EF"/>
    <w:multiLevelType w:val="hybridMultilevel"/>
    <w:lvl w:ilvl="0">
      <w:lvlJc w:val="left"/>
      <w:lvlText w:val="(%1)"/>
      <w:numFmt w:val="lowerRoman"/>
      <w:start w:val="1"/>
    </w:lvl>
    <w:lvl w:ilvl="1">
      <w:lvlJc w:val="left"/>
      <w:lvlText w:val="(%2)"/>
      <w:numFmt w:val="lowerLetter"/>
      <w:start w:val="2"/>
    </w:lvl>
  </w:abstractNum>
  <w:abstractNum w:abstractNumId="108">
    <w:nsid w:val="57C5BB4F"/>
    <w:multiLevelType w:val="hybridMultilevel"/>
    <w:lvl w:ilvl="0">
      <w:lvlJc w:val="left"/>
      <w:lvlText w:val="(%1)"/>
      <w:numFmt w:val="lowerLetter"/>
      <w:start w:val="1"/>
    </w:lvl>
  </w:abstractNum>
  <w:abstractNum w:abstractNumId="109">
    <w:nsid w:val="1803D089"/>
    <w:multiLevelType w:val="hybridMultilevel"/>
    <w:lvl w:ilvl="0">
      <w:lvlJc w:val="left"/>
      <w:lvlText w:val="(%1)"/>
      <w:numFmt w:val="lowerLetter"/>
      <w:start w:val="2"/>
    </w:lvl>
  </w:abstractNum>
  <w:abstractNum w:abstractNumId="110">
    <w:nsid w:val="4F3A06D4"/>
    <w:multiLevelType w:val="hybridMultilevel"/>
    <w:lvl w:ilvl="0">
      <w:lvlJc w:val="left"/>
      <w:lvlText w:val="%1"/>
      <w:numFmt w:val="lowerRoman"/>
      <w:start w:val="1"/>
    </w:lvl>
    <w:lvl w:ilvl="1">
      <w:lvlJc w:val="left"/>
      <w:lvlText w:val="(%2)"/>
      <w:numFmt w:val="lowerLetter"/>
      <w:start w:val="2"/>
    </w:lvl>
  </w:abstractNum>
  <w:abstractNum w:abstractNumId="111">
    <w:nsid w:val="59A377B6"/>
    <w:multiLevelType w:val="hybridMultilevel"/>
    <w:lvl w:ilvl="0">
      <w:lvlJc w:val="left"/>
      <w:lvlText w:val="(%1)"/>
      <w:numFmt w:val="lowerRoman"/>
      <w:start w:val="4"/>
    </w:lvl>
    <w:lvl w:ilvl="1">
      <w:lvlJc w:val="left"/>
      <w:lvlText w:val="%2"/>
      <w:numFmt w:val="lowerLetter"/>
      <w:start w:val="1"/>
    </w:lvl>
  </w:abstractNum>
  <w:abstractNum w:abstractNumId="112">
    <w:nsid w:val="48AEB063"/>
    <w:multiLevelType w:val="hybridMultilevel"/>
    <w:lvl w:ilvl="0">
      <w:lvlJc w:val="left"/>
      <w:lvlText w:val="(%1)"/>
      <w:numFmt w:val="lowerLetter"/>
      <w:start w:val="35"/>
    </w:lvl>
    <w:lvl w:ilvl="1">
      <w:lvlJc w:val="left"/>
      <w:lvlText w:val="(%2)"/>
      <w:numFmt w:val="lowerLetter"/>
      <w:start w:val="2"/>
    </w:lvl>
  </w:abstractNum>
  <w:abstractNum w:abstractNumId="113">
    <w:nsid w:val="24E135"/>
    <w:multiLevelType w:val="hybridMultilevel"/>
    <w:lvl w:ilvl="0">
      <w:lvlJc w:val="left"/>
      <w:lvlText w:val="(%1)"/>
      <w:numFmt w:val="lowerLetter"/>
      <w:start w:val="61"/>
    </w:lvl>
    <w:lvl w:ilvl="1">
      <w:lvlJc w:val="left"/>
      <w:lvlText w:val="(%2)"/>
      <w:numFmt w:val="lowerLetter"/>
      <w:start w:val="3"/>
    </w:lvl>
  </w:abstractNum>
  <w:abstractNum w:abstractNumId="114">
    <w:nsid w:val="BB13C1"/>
    <w:multiLevelType w:val="hybridMultilevel"/>
    <w:lvl w:ilvl="0">
      <w:lvlJc w:val="left"/>
      <w:lvlText w:val="(%1)"/>
      <w:numFmt w:val="lowerLetter"/>
      <w:start w:val="1"/>
    </w:lvl>
  </w:abstractNum>
  <w:abstractNum w:abstractNumId="115">
    <w:nsid w:val="271210C7"/>
    <w:multiLevelType w:val="hybridMultilevel"/>
    <w:lvl w:ilvl="0">
      <w:lvlJc w:val="left"/>
      <w:lvlText w:val="(%1)"/>
      <w:numFmt w:val="lowerLetter"/>
      <w:start w:val="1"/>
    </w:lvl>
  </w:abstractNum>
  <w:abstractNum w:abstractNumId="116">
    <w:nsid w:val="217B22E4"/>
    <w:multiLevelType w:val="hybridMultilevel"/>
    <w:lvl w:ilvl="0">
      <w:lvlJc w:val="left"/>
      <w:lvlText w:val="(%1)"/>
      <w:numFmt w:val="lowerLetter"/>
      <w:start w:val="2"/>
    </w:lvl>
  </w:abstractNum>
  <w:abstractNum w:abstractNumId="117">
    <w:nsid w:val="53E31A24"/>
    <w:multiLevelType w:val="hybridMultilevel"/>
    <w:lvl w:ilvl="0">
      <w:lvlJc w:val="left"/>
      <w:lvlText w:val="(%1)"/>
      <w:numFmt w:val="lowerLetter"/>
      <w:start w:val="5"/>
    </w:lvl>
  </w:abstractNum>
  <w:abstractNum w:abstractNumId="118">
    <w:nsid w:val="6DC45E83"/>
    <w:multiLevelType w:val="hybridMultilevel"/>
    <w:lvl w:ilvl="0">
      <w:lvlJc w:val="left"/>
      <w:lvlText w:val="(%1)"/>
      <w:numFmt w:val="decimal"/>
      <w:start w:val="10"/>
    </w:lvl>
    <w:lvl w:ilvl="1">
      <w:lvlJc w:val="left"/>
      <w:lvlText w:val="(%2)"/>
      <w:numFmt w:val="lowerLetter"/>
      <w:start w:val="16"/>
    </w:lvl>
  </w:abstractNum>
  <w:abstractNum w:abstractNumId="119">
    <w:nsid w:val="17304A67"/>
    <w:multiLevelType w:val="hybridMultilevel"/>
    <w:lvl w:ilvl="0">
      <w:lvlJc w:val="left"/>
      <w:lvlText w:val="(%1)"/>
      <w:numFmt w:val="lowerLetter"/>
      <w:start w:val="19"/>
    </w:lvl>
  </w:abstractNum>
  <w:abstractNum w:abstractNumId="120">
    <w:nsid w:val="2BB180D8"/>
    <w:multiLevelType w:val="hybridMultilevel"/>
    <w:lvl w:ilvl="0">
      <w:lvlJc w:val="left"/>
      <w:lvlText w:val="(%1)"/>
      <w:numFmt w:val="decimal"/>
      <w:start w:val="1"/>
    </w:lvl>
  </w:abstractNum>
  <w:abstractNum w:abstractNumId="121">
    <w:nsid w:val="556B69ED"/>
    <w:multiLevelType w:val="hybridMultilevel"/>
    <w:lvl w:ilvl="0">
      <w:lvlJc w:val="left"/>
      <w:lvlText w:val="(%1)"/>
      <w:numFmt w:val="lowerLetter"/>
      <w:start w:val="1"/>
    </w:lvl>
  </w:abstractNum>
  <w:abstractNum w:abstractNumId="122">
    <w:nsid w:val="70836196"/>
    <w:multiLevelType w:val="hybridMultilevel"/>
    <w:lvl w:ilvl="0">
      <w:lvlJc w:val="left"/>
      <w:lvlText w:val="(%1)"/>
      <w:numFmt w:val="lowerLetter"/>
      <w:start w:val="1"/>
    </w:lvl>
  </w:abstractNum>
  <w:abstractNum w:abstractNumId="123">
    <w:nsid w:val="539F7F12"/>
    <w:multiLevelType w:val="hybridMultilevel"/>
    <w:lvl w:ilvl="0">
      <w:lvlJc w:val="left"/>
      <w:lvlText w:val="(%1)"/>
      <w:numFmt w:val="lowerLetter"/>
      <w:start w:val="5"/>
    </w:lvl>
    <w:lvl w:ilvl="1">
      <w:lvlJc w:val="left"/>
      <w:lvlText w:val="(%2)"/>
      <w:numFmt w:val="lowerRoman"/>
      <w:start w:val="1"/>
    </w:lvl>
  </w:abstractNum>
  <w:abstractNum w:abstractNumId="124">
    <w:nsid w:val="2817E7EC"/>
    <w:multiLevelType w:val="hybridMultilevel"/>
    <w:lvl w:ilvl="0">
      <w:lvlJc w:val="left"/>
      <w:lvlText w:val="(%1)"/>
      <w:numFmt w:val="lowerLetter"/>
      <w:start w:val="8"/>
    </w:lvl>
    <w:lvl w:ilvl="1">
      <w:lvlJc w:val="left"/>
      <w:lvlText w:val="(%2)"/>
      <w:numFmt w:val="lowerRoman"/>
      <w:start w:val="1"/>
    </w:lvl>
  </w:abstractNum>
  <w:abstractNum w:abstractNumId="125">
    <w:nsid w:val="71482545"/>
    <w:multiLevelType w:val="hybridMultilevel"/>
    <w:lvl w:ilvl="0">
      <w:lvlJc w:val="left"/>
      <w:lvlText w:val="%1"/>
      <w:numFmt w:val="lowerLetter"/>
      <w:start w:val="1"/>
    </w:lvl>
    <w:lvl w:ilvl="1">
      <w:lvlJc w:val="left"/>
      <w:lvlText w:val="(%2)"/>
      <w:numFmt w:val="lowerLetter"/>
      <w:start w:val="1"/>
    </w:lvl>
  </w:abstractNum>
  <w:abstractNum w:abstractNumId="126">
    <w:nsid w:val="17D78639"/>
    <w:multiLevelType w:val="hybridMultilevel"/>
    <w:lvl w:ilvl="0">
      <w:lvlJc w:val="left"/>
      <w:lvlText w:val="(%1)"/>
      <w:numFmt w:val="lowerLetter"/>
      <w:start w:val="9"/>
    </w:lvl>
    <w:lvl w:ilvl="1">
      <w:lvlJc w:val="left"/>
      <w:lvlText w:val="(%2)"/>
      <w:numFmt w:val="lowerLetter"/>
      <w:start w:val="3"/>
    </w:lvl>
  </w:abstractNum>
  <w:abstractNum w:abstractNumId="127">
    <w:nsid w:val="141D2302"/>
    <w:multiLevelType w:val="hybridMultilevel"/>
    <w:lvl w:ilvl="0">
      <w:lvlJc w:val="left"/>
      <w:lvlText w:val="(%1)"/>
      <w:numFmt w:val="lowerLetter"/>
      <w:start w:val="1"/>
    </w:lvl>
  </w:abstractNum>
  <w:abstractNum w:abstractNumId="128">
    <w:nsid w:val="407168D8"/>
    <w:multiLevelType w:val="hybridMultilevel"/>
    <w:lvl w:ilvl="0">
      <w:lvlJc w:val="left"/>
      <w:lvlText w:val="(%1)"/>
      <w:numFmt w:val="lowerLetter"/>
      <w:start w:val="1"/>
    </w:lvl>
  </w:abstractNum>
  <w:abstractNum w:abstractNumId="129">
    <w:nsid w:val="6A1B45E5"/>
    <w:multiLevelType w:val="hybridMultilevel"/>
    <w:lvl w:ilvl="0">
      <w:lvlJc w:val="left"/>
      <w:lvlText w:val="(%1)"/>
      <w:numFmt w:val="lowerLetter"/>
      <w:start w:val="1"/>
    </w:lvl>
  </w:abstractNum>
  <w:abstractNum w:abstractNumId="130">
    <w:nsid w:val="567BD50A"/>
    <w:multiLevelType w:val="hybridMultilevel"/>
    <w:lvl w:ilvl="0">
      <w:lvlJc w:val="left"/>
      <w:lvlText w:val="(%1)"/>
      <w:numFmt w:val="lowerLetter"/>
      <w:start w:val="2"/>
    </w:lvl>
  </w:abstractNum>
  <w:abstractNum w:abstractNumId="131">
    <w:nsid w:val="73BBD7F8"/>
    <w:multiLevelType w:val="hybridMultilevel"/>
    <w:lvl w:ilvl="0">
      <w:lvlJc w:val="left"/>
      <w:lvlText w:val="%1"/>
      <w:numFmt w:val="upperLetter"/>
      <w:start w:val="1"/>
    </w:lvl>
    <w:lvl w:ilvl="1">
      <w:lvlJc w:val="left"/>
      <w:lvlText w:val="(%2)"/>
      <w:numFmt w:val="lowerLetter"/>
      <w:start w:val="1"/>
    </w:lvl>
  </w:abstractNum>
  <w:abstractNum w:abstractNumId="132">
    <w:nsid w:val="1876589D"/>
    <w:multiLevelType w:val="hybridMultilevel"/>
    <w:lvl w:ilvl="0">
      <w:lvlJc w:val="left"/>
      <w:lvlText w:val="(%1)"/>
      <w:numFmt w:val="upperLetter"/>
      <w:start w:val="2"/>
    </w:lvl>
    <w:lvl w:ilvl="1">
      <w:lvlJc w:val="left"/>
      <w:lvlText w:val="%2"/>
      <w:numFmt w:val="lowerLetter"/>
      <w:start w:val="1"/>
    </w:lvl>
  </w:abstractNum>
  <w:abstractNum w:abstractNumId="133">
    <w:nsid w:val="327FAC77"/>
    <w:multiLevelType w:val="hybridMultilevel"/>
    <w:lvl w:ilvl="0">
      <w:lvlJc w:val="left"/>
      <w:lvlText w:val="(%1)"/>
      <w:numFmt w:val="lowerLetter"/>
      <w:start w:val="7"/>
    </w:lvl>
  </w:abstractNum>
  <w:abstractNum w:abstractNumId="134">
    <w:nsid w:val="5A606509"/>
    <w:multiLevelType w:val="hybridMultilevel"/>
    <w:lvl w:ilvl="0">
      <w:lvlJc w:val="left"/>
      <w:lvlText w:val="(%1)"/>
      <w:numFmt w:val="lowerLetter"/>
      <w:start w:val="2"/>
    </w:lvl>
  </w:abstractNum>
  <w:abstractNum w:abstractNumId="135">
    <w:nsid w:val="6F38E6D1"/>
    <w:multiLevelType w:val="hybridMultilevel"/>
    <w:lvl w:ilvl="0">
      <w:lvlJc w:val="left"/>
      <w:lvlText w:val="(%1)"/>
      <w:numFmt w:val="lowerLetter"/>
      <w:start w:val="5"/>
    </w:lvl>
  </w:abstractNum>
  <w:abstractNum w:abstractNumId="136">
    <w:nsid w:val="46111BA5"/>
    <w:multiLevelType w:val="hybridMultilevel"/>
    <w:lvl w:ilvl="0">
      <w:lvlJc w:val="left"/>
      <w:lvlText w:val="%1"/>
      <w:numFmt w:val="lowerLetter"/>
      <w:start w:val="1"/>
    </w:lvl>
    <w:lvl w:ilvl="1">
      <w:lvlJc w:val="left"/>
      <w:lvlText w:val="(%2)"/>
      <w:numFmt w:val="lowerLetter"/>
      <w:start w:val="1"/>
    </w:lvl>
  </w:abstractNum>
  <w:abstractNum w:abstractNumId="137">
    <w:nsid w:val="5E963896"/>
    <w:multiLevelType w:val="hybridMultilevel"/>
    <w:lvl w:ilvl="0">
      <w:lvlJc w:val="left"/>
      <w:lvlText w:val="(%1)"/>
      <w:numFmt w:val="lowerLetter"/>
      <w:start w:val="6"/>
    </w:lvl>
    <w:lvl w:ilvl="1">
      <w:lvlJc w:val="left"/>
      <w:lvlText w:val="%2"/>
      <w:numFmt w:val="lowerLetter"/>
      <w:start w:val="1"/>
    </w:lvl>
  </w:abstractNum>
  <w:abstractNum w:abstractNumId="138">
    <w:nsid w:val="775BA7C1"/>
    <w:multiLevelType w:val="hybridMultilevel"/>
    <w:lvl w:ilvl="0">
      <w:lvlJc w:val="left"/>
      <w:lvlText w:val="(%1)"/>
      <w:numFmt w:val="lowerLetter"/>
      <w:start w:val="35"/>
    </w:lvl>
    <w:lvl w:ilvl="1">
      <w:lvlJc w:val="left"/>
      <w:lvlText w:val="%2"/>
      <w:numFmt w:val="lowerLetter"/>
      <w:start w:val="1"/>
    </w:lvl>
  </w:abstractNum>
  <w:abstractNum w:abstractNumId="139">
    <w:nsid w:val="1DD6D6F4"/>
    <w:multiLevelType w:val="hybridMultilevel"/>
    <w:lvl w:ilvl="0">
      <w:lvlJc w:val="left"/>
      <w:lvlText w:val="%1"/>
      <w:numFmt w:val="lowerRoman"/>
      <w:start w:val="1"/>
    </w:lvl>
    <w:lvl w:ilvl="1">
      <w:lvlJc w:val="left"/>
      <w:lvlText w:val="(%2)"/>
      <w:numFmt w:val="lowerLetter"/>
      <w:start w:val="6"/>
    </w:lvl>
  </w:abstractNum>
  <w:abstractNum w:abstractNumId="140">
    <w:nsid w:val="769A091F"/>
    <w:multiLevelType w:val="hybridMultilevel"/>
    <w:lvl w:ilvl="0">
      <w:lvlJc w:val="left"/>
      <w:lvlText w:val="(%1)"/>
      <w:numFmt w:val="lowerRoman"/>
      <w:start w:val="4"/>
    </w:lvl>
    <w:lvl w:ilvl="1">
      <w:lvlJc w:val="left"/>
      <w:lvlText w:val="(%2)"/>
      <w:numFmt w:val="lowerLetter"/>
      <w:start w:val="9"/>
    </w:lvl>
  </w:abstractNum>
  <w:abstractNum w:abstractNumId="141">
    <w:nsid w:val="4695AE95"/>
    <w:multiLevelType w:val="hybridMultilevel"/>
    <w:lvl w:ilvl="0">
      <w:lvlJc w:val="left"/>
      <w:lvlText w:val="%1"/>
      <w:numFmt w:val="lowerLetter"/>
      <w:start w:val="1"/>
    </w:lvl>
    <w:lvl w:ilvl="1">
      <w:lvlJc w:val="left"/>
      <w:lvlText w:val="(%2)"/>
      <w:numFmt w:val="lowerLetter"/>
      <w:start w:val="10"/>
    </w:lvl>
  </w:abstractNum>
  <w:abstractNum w:abstractNumId="142">
    <w:nsid w:val="777A4EAA"/>
    <w:multiLevelType w:val="hybridMultilevel"/>
    <w:lvl w:ilvl="0">
      <w:lvlJc w:val="left"/>
      <w:lvlText w:val="(%1)"/>
      <w:numFmt w:val="lowerLetter"/>
      <w:start w:val="35"/>
    </w:lvl>
    <w:lvl w:ilvl="1">
      <w:lvlJc w:val="left"/>
      <w:lvlText w:val="(%2)"/>
      <w:numFmt w:val="lowerLetter"/>
      <w:start w:val="12"/>
    </w:lvl>
  </w:abstractNum>
  <w:abstractNum w:abstractNumId="143">
    <w:nsid w:val="3F48B982"/>
    <w:multiLevelType w:val="hybridMultilevel"/>
    <w:lvl w:ilvl="0">
      <w:lvlJc w:val="left"/>
      <w:lvlText w:val="(%1)"/>
      <w:numFmt w:val="lowerLetter"/>
      <w:start w:val="18"/>
    </w:lvl>
  </w:abstractNum>
  <w:abstractNum w:abstractNumId="144">
    <w:nsid w:val="46BA8FCA"/>
    <w:multiLevelType w:val="hybridMultilevel"/>
    <w:lvl w:ilvl="0">
      <w:lvlJc w:val="left"/>
      <w:lvlText w:val="(%1)"/>
      <w:numFmt w:val="lowerLetter"/>
      <w:start w:val="1"/>
    </w:lvl>
  </w:abstractNum>
  <w:abstractNum w:abstractNumId="145">
    <w:nsid w:val="7835626C"/>
    <w:multiLevelType w:val="hybridMultilevel"/>
    <w:lvl w:ilvl="0">
      <w:lvlJc w:val="left"/>
      <w:lvlText w:val="(%1)"/>
      <w:numFmt w:val="lowerLetter"/>
      <w:start w:val="14"/>
    </w:lvl>
  </w:abstractNum>
  <w:abstractNum w:abstractNumId="146">
    <w:nsid w:val="665ACA49"/>
    <w:multiLevelType w:val="hybridMultilevel"/>
    <w:lvl w:ilvl="0">
      <w:lvlJc w:val="left"/>
      <w:lvlText w:val="(%1)"/>
      <w:numFmt w:val="lowerLetter"/>
      <w:start w:val="25"/>
    </w:lvl>
  </w:abstractNum>
  <w:abstractNum w:abstractNumId="147">
    <w:nsid w:val="6835B2AE"/>
    <w:multiLevelType w:val="hybridMultilevel"/>
    <w:lvl w:ilvl="0">
      <w:lvlJc w:val="left"/>
      <w:lvlText w:val="(%1)"/>
      <w:numFmt w:val="lowerLetter"/>
      <w:start w:val="2"/>
    </w:lvl>
  </w:abstractNum>
  <w:abstractNum w:abstractNumId="148">
    <w:nsid w:val="4C187C90"/>
    <w:multiLevelType w:val="hybridMultilevel"/>
    <w:lvl w:ilvl="0">
      <w:lvlJc w:val="left"/>
      <w:lvlText w:val="(%1)"/>
      <w:numFmt w:val="lowerLetter"/>
      <w:start w:val="6"/>
    </w:lvl>
  </w:abstractNum>
  <w:abstractNum w:abstractNumId="149">
    <w:nsid w:val="541F28CD"/>
    <w:multiLevelType w:val="hybridMultilevel"/>
    <w:lvl w:ilvl="0">
      <w:lvlJc w:val="left"/>
      <w:lvlText w:val="(%1)"/>
      <w:numFmt w:val="lowerLetter"/>
      <w:start w:val="1"/>
    </w:lvl>
  </w:abstractNum>
  <w:abstractNum w:abstractNumId="150">
    <w:nsid w:val="7F65FD16"/>
    <w:multiLevelType w:val="hybridMultilevel"/>
    <w:lvl w:ilvl="0">
      <w:lvlJc w:val="left"/>
      <w:lvlText w:val="%1"/>
      <w:numFmt w:val="lowerLetter"/>
      <w:start w:val="1"/>
    </w:lvl>
    <w:lvl w:ilvl="1">
      <w:lvlJc w:val="left"/>
      <w:lvlText w:val="(%2)"/>
      <w:numFmt w:val="lowerLetter"/>
      <w:start w:val="5"/>
    </w:lvl>
  </w:abstractNum>
  <w:abstractNum w:abstractNumId="151">
    <w:nsid w:val="77C9FD68"/>
    <w:multiLevelType w:val="hybridMultilevel"/>
    <w:lvl w:ilvl="0">
      <w:lvlJc w:val="left"/>
      <w:lvlText w:val="(%1)"/>
      <w:numFmt w:val="lowerLetter"/>
      <w:start w:val="9"/>
    </w:lvl>
    <w:lvl w:ilvl="1">
      <w:lvlJc w:val="left"/>
      <w:lvlText w:val="(%2)"/>
      <w:numFmt w:val="lowerLetter"/>
      <w:start w:val="12"/>
    </w:lvl>
  </w:abstractNum>
  <w:abstractNum w:abstractNumId="152">
    <w:nsid w:val="298A92BA"/>
    <w:multiLevelType w:val="hybridMultilevel"/>
    <w:lvl w:ilvl="0">
      <w:lvlJc w:val="left"/>
      <w:lvlText w:val="(%1)"/>
      <w:numFmt w:val="lowerLetter"/>
      <w:start w:val="1"/>
    </w:lvl>
  </w:abstractNum>
  <w:abstractNum w:abstractNumId="153">
    <w:nsid w:val="6FE95EAC"/>
    <w:multiLevelType w:val="hybridMultilevel"/>
    <w:lvl w:ilvl="0">
      <w:lvlJc w:val="left"/>
      <w:lvlText w:val="(%1)"/>
      <w:numFmt w:val="lowerLetter"/>
      <w:start w:val="16"/>
    </w:lvl>
  </w:abstractNum>
  <w:abstractNum w:abstractNumId="154">
    <w:nsid w:val="4B697C7A"/>
    <w:multiLevelType w:val="hybridMultilevel"/>
    <w:lvl w:ilvl="0">
      <w:lvlJc w:val="left"/>
      <w:lvlText w:val="(%1)"/>
      <w:numFmt w:val="lowerRoman"/>
      <w:start w:val="1"/>
    </w:lvl>
  </w:abstractNum>
  <w:abstractNum w:abstractNumId="155">
    <w:nsid w:val="51A27AA6"/>
    <w:multiLevelType w:val="hybridMultilevel"/>
    <w:lvl w:ilvl="0">
      <w:lvlJc w:val="left"/>
      <w:lvlText w:val="(%1)"/>
      <w:numFmt w:val="lowerRoman"/>
      <w:start w:val="3"/>
    </w:lvl>
  </w:abstractNum>
  <w:abstractNum w:abstractNumId="156">
    <w:nsid w:val="613183F2"/>
    <w:multiLevelType w:val="hybridMultilevel"/>
    <w:lvl w:ilvl="0">
      <w:lvlJc w:val="left"/>
      <w:lvlText w:val="(%1)"/>
      <w:numFmt w:val="lowerLetter"/>
      <w:start w:val="2"/>
    </w:lvl>
    <w:lvl w:ilvl="1">
      <w:lvlJc w:val="left"/>
      <w:lvlText w:val="(%2)"/>
      <w:numFmt w:val="lowerRoman"/>
      <w:start w:val="1"/>
    </w:lvl>
  </w:abstractNum>
  <w:abstractNum w:abstractNumId="157">
    <w:nsid w:val="634102B4"/>
    <w:multiLevelType w:val="hybridMultilevel"/>
    <w:lvl w:ilvl="0">
      <w:lvlJc w:val="left"/>
      <w:lvlText w:val="(%1)"/>
      <w:numFmt w:val="lowerRoman"/>
      <w:start w:val="6"/>
    </w:lvl>
  </w:abstractNum>
  <w:abstractNum w:abstractNumId="158">
    <w:nsid w:val="65BF9DA8"/>
    <w:multiLevelType w:val="hybridMultilevel"/>
    <w:lvl w:ilvl="0">
      <w:lvlJc w:val="left"/>
      <w:lvlText w:val="(%1)"/>
      <w:numFmt w:val="lowerLetter"/>
      <w:start w:val="2"/>
    </w:lvl>
  </w:abstractNum>
  <w:abstractNum w:abstractNumId="159">
    <w:nsid w:val="21A2ECCA"/>
    <w:multiLevelType w:val="hybridMultilevel"/>
    <w:lvl w:ilvl="0">
      <w:lvlJc w:val="left"/>
      <w:lvlText w:val="(%1)"/>
      <w:numFmt w:val="lowerLetter"/>
      <w:start w:val="22"/>
    </w:lvl>
  </w:abstractNum>
  <w:abstractNum w:abstractNumId="160">
    <w:nsid w:val="4D5C4899"/>
    <w:multiLevelType w:val="hybridMultilevel"/>
    <w:lvl w:ilvl="0">
      <w:lvlJc w:val="left"/>
      <w:lvlText w:val="(%1)"/>
      <w:numFmt w:val="lowerLetter"/>
      <w:start w:val="25"/>
    </w:lvl>
  </w:abstractNum>
  <w:abstractNum w:abstractNumId="161">
    <w:nsid w:val="3C3B72B2"/>
    <w:multiLevelType w:val="hybridMultilevel"/>
    <w:lvl w:ilvl="0">
      <w:lvlJc w:val="left"/>
      <w:lvlText w:val="(%1)"/>
      <w:numFmt w:val="lowerLetter"/>
      <w:start w:val="2"/>
    </w:lvl>
  </w:abstractNum>
  <w:abstractNum w:abstractNumId="162">
    <w:nsid w:val="155EC4C2"/>
    <w:multiLevelType w:val="hybridMultilevel"/>
    <w:lvl w:ilvl="0">
      <w:lvlJc w:val="left"/>
      <w:lvlText w:val="(%1)"/>
      <w:numFmt w:val="lowerLetter"/>
      <w:start w:val="1"/>
    </w:lvl>
  </w:abstractNum>
  <w:abstractNum w:abstractNumId="163">
    <w:nsid w:val="65D2A137"/>
    <w:multiLevelType w:val="hybridMultilevel"/>
    <w:lvl w:ilvl="0">
      <w:lvlJc w:val="left"/>
      <w:lvlText w:val="%1"/>
      <w:numFmt w:val="lowerLetter"/>
      <w:start w:val="1"/>
    </w:lvl>
    <w:lvl w:ilvl="1">
      <w:lvlJc w:val="left"/>
      <w:lvlText w:val="(%2)"/>
      <w:numFmt w:val="lowerLetter"/>
      <w:start w:val="5"/>
    </w:lvl>
  </w:abstractNum>
  <w:abstractNum w:abstractNumId="164">
    <w:nsid w:val="6EBB1F2A"/>
    <w:multiLevelType w:val="hybridMultilevel"/>
    <w:lvl w:ilvl="0">
      <w:lvlJc w:val="left"/>
      <w:lvlText w:val="(%1)"/>
      <w:numFmt w:val="lowerLetter"/>
      <w:start w:val="11"/>
    </w:lvl>
    <w:lvl w:ilvl="1">
      <w:lvlJc w:val="left"/>
      <w:lvlText w:val="(%2)"/>
      <w:numFmt w:val="lowerLetter"/>
      <w:start w:val="11"/>
    </w:lvl>
  </w:abstractNum>
  <w:abstractNum w:abstractNumId="165">
    <w:nsid w:val="6FBF29CB"/>
    <w:multiLevelType w:val="hybridMultilevel"/>
    <w:lvl w:ilvl="0">
      <w:lvlJc w:val="left"/>
      <w:lvlText w:val="(%1)"/>
      <w:numFmt w:val="lowerLetter"/>
      <w:start w:val="13"/>
    </w:lvl>
  </w:abstractNum>
  <w:abstractNum w:abstractNumId="166">
    <w:nsid w:val="550B8808"/>
    <w:multiLevelType w:val="hybridMultilevel"/>
    <w:lvl w:ilvl="0">
      <w:lvlJc w:val="left"/>
      <w:lvlText w:val="(%1)"/>
      <w:numFmt w:val="lowerLetter"/>
      <w:start w:val="11"/>
    </w:lvl>
  </w:abstractNum>
  <w:abstractNum w:abstractNumId="167">
    <w:nsid w:val="34CC3ACF"/>
    <w:multiLevelType w:val="hybridMultilevel"/>
    <w:lvl w:ilvl="0">
      <w:lvlJc w:val="left"/>
      <w:lvlText w:val="(%1)"/>
      <w:numFmt w:val="lowerLetter"/>
      <w:start w:val="35"/>
    </w:lvl>
  </w:abstractNum>
  <w:abstractNum w:abstractNumId="168">
    <w:nsid w:val="4E556261"/>
    <w:multiLevelType w:val="hybridMultilevel"/>
    <w:lvl w:ilvl="0">
      <w:lvlJc w:val="left"/>
      <w:lvlText w:val="(%1)"/>
      <w:numFmt w:val="lowerRoman"/>
      <w:start w:val="1"/>
    </w:lvl>
  </w:abstractNum>
  <w:abstractNum w:abstractNumId="169">
    <w:nsid w:val="4C672FC9"/>
    <w:multiLevelType w:val="hybridMultilevel"/>
    <w:lvl w:ilvl="0">
      <w:lvlJc w:val="left"/>
      <w:lvlText w:val="(%1)"/>
      <w:numFmt w:val="lowerRoman"/>
      <w:start w:val="1"/>
    </w:lvl>
  </w:abstractNum>
  <w:abstractNum w:abstractNumId="170">
    <w:nsid w:val="52A311C3"/>
    <w:multiLevelType w:val="hybridMultilevel"/>
    <w:lvl w:ilvl="0">
      <w:lvlJc w:val="left"/>
      <w:lvlText w:val="(%1)"/>
      <w:numFmt w:val="lowerRoman"/>
      <w:start w:val="3"/>
    </w:lvl>
  </w:abstractNum>
  <w:abstractNum w:abstractNumId="171">
    <w:nsid w:val="44EF6B80"/>
    <w:multiLevelType w:val="hybridMultilevel"/>
    <w:lvl w:ilvl="0">
      <w:lvlJc w:val="left"/>
      <w:lvlText w:val="(%1)"/>
      <w:numFmt w:val="lowerLetter"/>
      <w:start w:val="2"/>
    </w:lvl>
    <w:lvl w:ilvl="1">
      <w:lvlJc w:val="left"/>
      <w:lvlText w:val="(%2)"/>
      <w:numFmt w:val="lowerLetter"/>
      <w:start w:val="9"/>
    </w:lvl>
  </w:abstractNum>
  <w:abstractNum w:abstractNumId="172">
    <w:nsid w:val="12FCDE5E"/>
    <w:multiLevelType w:val="hybridMultilevel"/>
    <w:lvl w:ilvl="0">
      <w:lvlJc w:val="left"/>
      <w:lvlText w:val="%1"/>
      <w:numFmt w:val="lowerLetter"/>
      <w:start w:val="1"/>
    </w:lvl>
    <w:lvl w:ilvl="1">
      <w:lvlJc w:val="left"/>
      <w:lvlText w:val="(%2)"/>
      <w:numFmt w:val="lowerLetter"/>
      <w:start w:val="35"/>
    </w:lvl>
  </w:abstractNum>
  <w:abstractNum w:abstractNumId="173">
    <w:nsid w:val="4A1D606E"/>
    <w:multiLevelType w:val="hybridMultilevel"/>
    <w:lvl w:ilvl="0">
      <w:lvlJc w:val="left"/>
      <w:lvlText w:val="(%1)"/>
      <w:numFmt w:val="lowerRoman"/>
      <w:start w:val="3"/>
    </w:lvl>
  </w:abstractNum>
  <w:abstractNum w:abstractNumId="174">
    <w:nsid w:val="4382503"/>
    <w:multiLevelType w:val="hybridMultilevel"/>
    <w:lvl w:ilvl="0">
      <w:lvlJc w:val="left"/>
      <w:lvlText w:val="%1"/>
      <w:numFmt w:val="lowerLetter"/>
      <w:start w:val="1"/>
    </w:lvl>
    <w:lvl w:ilvl="1">
      <w:lvlJc w:val="left"/>
      <w:lvlText w:val="(%2)"/>
      <w:numFmt w:val="lowerLetter"/>
      <w:start w:val="2"/>
    </w:lvl>
  </w:abstractNum>
  <w:abstractNum w:abstractNumId="175">
    <w:nsid w:val="59B76E28"/>
    <w:multiLevelType w:val="hybridMultilevel"/>
    <w:lvl w:ilvl="0">
      <w:lvlJc w:val="left"/>
      <w:lvlText w:val="(%1)"/>
      <w:numFmt w:val="lowerLetter"/>
      <w:start w:val="35"/>
    </w:lvl>
    <w:lvl w:ilvl="1">
      <w:lvlJc w:val="left"/>
      <w:lvlText w:val="%2"/>
      <w:numFmt w:val="lowerLetter"/>
      <w:start w:val="1"/>
    </w:lvl>
  </w:abstractNum>
  <w:abstractNum w:abstractNumId="176">
    <w:nsid w:val="4252C2DA"/>
    <w:multiLevelType w:val="hybridMultilevel"/>
    <w:lvl w:ilvl="0">
      <w:lvlJc w:val="left"/>
      <w:lvlText w:val="%1"/>
      <w:numFmt w:val="lowerRoman"/>
      <w:start w:val="1"/>
    </w:lvl>
    <w:lvl w:ilvl="1">
      <w:lvlJc w:val="left"/>
      <w:lvlText w:val="(%2)"/>
      <w:numFmt w:val="lowerLetter"/>
      <w:start w:val="3"/>
    </w:lvl>
  </w:abstractNum>
  <w:abstractNum w:abstractNumId="177">
    <w:nsid w:val="6A92EF4C"/>
    <w:multiLevelType w:val="hybridMultilevel"/>
    <w:lvl w:ilvl="0">
      <w:lvlJc w:val="left"/>
      <w:lvlText w:val="(%1)"/>
      <w:numFmt w:val="lowerRoman"/>
      <w:start w:val="3"/>
    </w:lvl>
    <w:lvl w:ilvl="1">
      <w:lvlJc w:val="left"/>
      <w:lvlText w:val="(%2)"/>
      <w:numFmt w:val="lowerLetter"/>
      <w:start w:val="4"/>
    </w:lvl>
  </w:abstractNum>
  <w:abstractNum w:abstractNumId="178">
    <w:nsid w:val="41ED20D7"/>
    <w:multiLevelType w:val="hybridMultilevel"/>
    <w:lvl w:ilvl="0">
      <w:lvlJc w:val="left"/>
      <w:lvlText w:val="(%1)"/>
      <w:numFmt w:val="lowerLetter"/>
      <w:start w:val="5"/>
    </w:lvl>
  </w:abstractNum>
  <w:abstractNum w:abstractNumId="179">
    <w:nsid w:val="E6B3F6A"/>
    <w:multiLevelType w:val="hybridMultilevel"/>
    <w:lvl w:ilvl="0">
      <w:lvlJc w:val="left"/>
      <w:lvlText w:val="(%1)"/>
      <w:numFmt w:val="lowerRoman"/>
      <w:start w:val="1"/>
    </w:lvl>
  </w:abstractNum>
  <w:abstractNum w:abstractNumId="180">
    <w:nsid w:val="3EB21819"/>
    <w:multiLevelType w:val="hybridMultilevel"/>
    <w:lvl w:ilvl="0">
      <w:lvlJc w:val="left"/>
      <w:lvlText w:val="%1"/>
      <w:numFmt w:val="lowerLetter"/>
      <w:start w:val="1"/>
    </w:lvl>
    <w:lvl w:ilvl="1">
      <w:lvlJc w:val="left"/>
      <w:lvlText w:val="(%2)"/>
      <w:numFmt w:val="lowerLetter"/>
      <w:start w:val="2"/>
    </w:lvl>
  </w:abstractNum>
  <w:abstractNum w:abstractNumId="181">
    <w:nsid w:val="41531DED"/>
    <w:multiLevelType w:val="hybridMultilevel"/>
    <w:lvl w:ilvl="0">
      <w:lvlJc w:val="left"/>
      <w:lvlText w:val="(%1)"/>
      <w:numFmt w:val="lowerLetter"/>
      <w:start w:val="9"/>
    </w:lvl>
    <w:lvl w:ilvl="1">
      <w:lvlJc w:val="left"/>
      <w:lvlText w:val="(%2)"/>
      <w:numFmt w:val="lowerLetter"/>
      <w:start w:val="5"/>
    </w:lvl>
  </w:abstractNum>
  <w:abstractNum w:abstractNumId="182">
    <w:nsid w:val="6353CD2"/>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83">
    <w:nsid w:val="683CAAD3"/>
    <w:multiLevelType w:val="hybridMultilevel"/>
    <w:lvl w:ilvl="0">
      <w:lvlJc w:val="left"/>
      <w:lvlText w:val="(%1)"/>
      <w:numFmt w:val="lowerLetter"/>
      <w:start w:val="3"/>
    </w:lvl>
    <w:lvl w:ilvl="1">
      <w:lvlJc w:val="left"/>
      <w:lvlText w:val="(%2)"/>
      <w:numFmt w:val="lowerLetter"/>
      <w:start w:val="2"/>
    </w:lvl>
    <w:lvl w:ilvl="2">
      <w:lvlJc w:val="left"/>
      <w:lvlText w:val="(%3)"/>
      <w:numFmt w:val="lowerRoman"/>
      <w:start w:val="3"/>
    </w:lvl>
  </w:abstractNum>
  <w:abstractNum w:abstractNumId="184">
    <w:nsid w:val="313C7C99"/>
    <w:multiLevelType w:val="hybridMultilevel"/>
    <w:lvl w:ilvl="0">
      <w:lvlJc w:val="left"/>
      <w:lvlText w:val="(%1)"/>
      <w:numFmt w:val="lowerLetter"/>
      <w:start w:val="4"/>
    </w:lvl>
  </w:abstractNum>
  <w:abstractNum w:abstractNumId="185">
    <w:nsid w:val="519EB94C"/>
    <w:multiLevelType w:val="hybridMultilevel"/>
    <w:lvl w:ilvl="0">
      <w:lvlJc w:val="left"/>
      <w:lvlText w:val="(%1)"/>
      <w:numFmt w:val="lowerLetter"/>
      <w:start w:val="2"/>
    </w:lvl>
  </w:abstractNum>
  <w:abstractNum w:abstractNumId="186">
    <w:nsid w:val="39DF2579"/>
    <w:multiLevelType w:val="hybridMultilevel"/>
    <w:lvl w:ilvl="0">
      <w:lvlJc w:val="left"/>
      <w:lvlText w:val="(%1)"/>
      <w:numFmt w:val="lowerLetter"/>
      <w:start w:val="3"/>
    </w:lvl>
  </w:abstractNum>
  <w:abstractNum w:abstractNumId="187">
    <w:nsid w:val="126E008B"/>
    <w:multiLevelType w:val="hybridMultilevel"/>
    <w:lvl w:ilvl="0">
      <w:lvlJc w:val="left"/>
      <w:lvlText w:val="(%1)"/>
      <w:numFmt w:val="upperLetter"/>
      <w:start w:val="2"/>
    </w:lvl>
  </w:abstractNum>
  <w:abstractNum w:abstractNumId="188">
    <w:nsid w:val="34DFBC00"/>
    <w:multiLevelType w:val="hybridMultilevel"/>
    <w:lvl w:ilvl="0">
      <w:lvlJc w:val="left"/>
      <w:lvlText w:val="(%1)"/>
      <w:numFmt w:val="lowerLetter"/>
      <w:start w:val="6"/>
    </w:lvl>
  </w:abstractNum>
  <w:abstractNum w:abstractNumId="189">
    <w:nsid w:val="1F9EC322"/>
    <w:multiLevelType w:val="hybridMultilevel"/>
    <w:lvl w:ilvl="0">
      <w:lvlJc w:val="left"/>
      <w:lvlText w:val="(%1)"/>
      <w:numFmt w:val="lowerLetter"/>
      <w:start w:val="8"/>
    </w:lvl>
  </w:abstractNum>
  <w:abstractNum w:abstractNumId="190">
    <w:nsid w:val="3410ED56"/>
    <w:multiLevelType w:val="hybridMultilevel"/>
    <w:lvl w:ilvl="0">
      <w:lvlJc w:val="left"/>
      <w:lvlText w:val="(%1)"/>
      <w:numFmt w:val="lowerLetter"/>
      <w:start w:val="2"/>
    </w:lvl>
  </w:abstractNum>
  <w:abstractNum w:abstractNumId="191">
    <w:nsid w:val="23C049A"/>
    <w:multiLevelType w:val="hybridMultilevel"/>
    <w:lvl w:ilvl="0">
      <w:lvlJc w:val="left"/>
      <w:lvlText w:val="(%1)"/>
      <w:numFmt w:val="lowerLetter"/>
      <w:start w:val="2"/>
    </w:lvl>
  </w:abstractNum>
  <w:abstractNum w:abstractNumId="192">
    <w:nsid w:val="5BDA35D4"/>
    <w:multiLevelType w:val="hybridMultilevel"/>
    <w:lvl w:ilvl="0">
      <w:lvlJc w:val="left"/>
      <w:lvlText w:val="(%1)"/>
      <w:numFmt w:val="lowerRoman"/>
      <w:start w:val="1"/>
    </w:lvl>
  </w:abstractNum>
  <w:abstractNum w:abstractNumId="193">
    <w:nsid w:val="496FB218"/>
    <w:multiLevelType w:val="hybridMultilevel"/>
    <w:lvl w:ilvl="0">
      <w:lvlJc w:val="left"/>
      <w:lvlText w:val="(%1)"/>
      <w:numFmt w:val="lowerRoman"/>
      <w:start w:val="1"/>
    </w:lvl>
  </w:abstractNum>
  <w:abstractNum w:abstractNumId="194">
    <w:nsid w:val="680EA5D1"/>
    <w:multiLevelType w:val="hybridMultilevel"/>
    <w:lvl w:ilvl="0">
      <w:lvlJc w:val="left"/>
      <w:lvlText w:val="%1"/>
      <w:numFmt w:val="lowerLetter"/>
      <w:start w:val="1"/>
    </w:lvl>
    <w:lvl w:ilvl="1">
      <w:lvlJc w:val="left"/>
      <w:lvlText w:val="(%2)"/>
      <w:numFmt w:val="lowerRoman"/>
      <w:start w:val="3"/>
    </w:lvl>
  </w:abstractNum>
  <w:abstractNum w:abstractNumId="195">
    <w:nsid w:val="4A9554FE"/>
    <w:multiLevelType w:val="hybridMultilevel"/>
    <w:lvl w:ilvl="0">
      <w:lvlJc w:val="left"/>
      <w:lvlText w:val="(%1)"/>
      <w:numFmt w:val="lowerLetter"/>
      <w:start w:val="2"/>
    </w:lvl>
    <w:lvl w:ilvl="1">
      <w:lvlJc w:val="left"/>
      <w:lvlText w:val="(%2)"/>
      <w:numFmt w:val="lowerRoman"/>
      <w:start w:val="6"/>
    </w:lvl>
  </w:abstractNum>
  <w:abstractNum w:abstractNumId="196">
    <w:nsid w:val="392EDBE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97">
    <w:nsid w:val="3D1A2DD9"/>
    <w:multiLevelType w:val="hybridMultilevel"/>
    <w:lvl w:ilvl="0">
      <w:lvlJc w:val="left"/>
      <w:lvlText w:val="%1"/>
      <w:numFmt w:val="lowerRoman"/>
      <w:start w:val="1"/>
    </w:lvl>
    <w:lvl w:ilvl="1">
      <w:lvlJc w:val="left"/>
      <w:lvlText w:val="(%2)"/>
      <w:numFmt w:val="upperLetter"/>
      <w:start w:val="4"/>
    </w:lvl>
  </w:abstractNum>
  <w:abstractNum w:abstractNumId="198">
    <w:nsid w:val="7F618FCD"/>
    <w:multiLevelType w:val="hybridMultilevel"/>
    <w:lvl w:ilvl="0">
      <w:lvlJc w:val="left"/>
      <w:lvlText w:val="(%1)"/>
      <w:numFmt w:val="lowerRoman"/>
      <w:start w:val="2"/>
    </w:lvl>
    <w:lvl w:ilvl="1">
      <w:lvlJc w:val="left"/>
      <w:lvlText w:val="%2"/>
      <w:numFmt w:val="upperLetter"/>
      <w:start w:val="1"/>
    </w:lvl>
  </w:abstractNum>
  <w:abstractNum w:abstractNumId="199">
    <w:nsid w:val="7843E45"/>
    <w:multiLevelType w:val="hybridMultilevel"/>
    <w:lvl w:ilvl="0">
      <w:lvlJc w:val="left"/>
      <w:lvlText w:val="(%1)"/>
      <w:numFmt w:val="lowerLetter"/>
      <w:start w:val="1"/>
    </w:lvl>
    <w:lvl w:ilvl="1">
      <w:lvlJc w:val="left"/>
      <w:lvlText w:val="(%2)"/>
      <w:numFmt w:val="lowerLetter"/>
      <w:start w:val="2"/>
    </w:lvl>
  </w:abstractNum>
  <w:abstractNum w:abstractNumId="200">
    <w:nsid w:val="9815DA3"/>
    <w:multiLevelType w:val="hybridMultilevel"/>
    <w:lvl w:ilvl="0">
      <w:lvlJc w:val="left"/>
      <w:lvlText w:val="(%1)"/>
      <w:numFmt w:val="lowerLetter"/>
      <w:start w:val="1"/>
    </w:lvl>
    <w:lvl w:ilvl="1">
      <w:lvlJc w:val="left"/>
      <w:lvlText w:val="(%2)"/>
      <w:numFmt w:val="lowerRoman"/>
      <w:start w:val="1"/>
    </w:lvl>
  </w:abstractNum>
  <w:abstractNum w:abstractNumId="201">
    <w:nsid w:val="5204A191"/>
    <w:multiLevelType w:val="hybridMultilevel"/>
    <w:lvl w:ilvl="0">
      <w:lvlJc w:val="left"/>
      <w:lvlText w:val="%1"/>
      <w:numFmt w:val="lowerLetter"/>
      <w:start w:val="1"/>
    </w:lvl>
    <w:lvl w:ilvl="1">
      <w:lvlJc w:val="left"/>
      <w:lvlText w:val="(%2)"/>
      <w:numFmt w:val="lowerRoman"/>
      <w:start w:val="3"/>
    </w:lvl>
  </w:abstractNum>
  <w:abstractNum w:abstractNumId="202">
    <w:nsid w:val="4C73A9C6"/>
    <w:multiLevelType w:val="hybridMultilevel"/>
    <w:lvl w:ilvl="0">
      <w:lvlJc w:val="left"/>
      <w:lvlText w:val="(%1)"/>
      <w:numFmt w:val="lowerLetter"/>
      <w:start w:val="2"/>
    </w:lvl>
    <w:lvl w:ilvl="1">
      <w:lvlJc w:val="left"/>
      <w:lvlText w:val="%2"/>
      <w:numFmt w:val="lowerRoman"/>
      <w:start w:val="1"/>
    </w:lvl>
  </w:abstractNum>
  <w:abstractNum w:abstractNumId="203">
    <w:nsid w:val="1C7E3C01"/>
    <w:multiLevelType w:val="hybridMultilevel"/>
    <w:lvl w:ilvl="0">
      <w:lvlJc w:val="left"/>
      <w:lvlText w:val="(%1)"/>
      <w:numFmt w:val="lowerLetter"/>
      <w:start w:val="1"/>
    </w:lvl>
  </w:abstractNum>
  <w:abstractNum w:abstractNumId="204">
    <w:nsid w:val="1C2201FF"/>
    <w:multiLevelType w:val="hybridMultilevel"/>
    <w:lvl w:ilvl="0">
      <w:lvlJc w:val="left"/>
      <w:lvlText w:val="(%1)"/>
      <w:numFmt w:val="lowerRoman"/>
      <w:start w:val="1"/>
    </w:lvl>
  </w:abstractNum>
  <w:abstractNum w:abstractNumId="205">
    <w:nsid w:val="50ABCEC9"/>
    <w:multiLevelType w:val="hybridMultilevel"/>
    <w:lvl w:ilvl="0">
      <w:lvlJc w:val="left"/>
      <w:lvlText w:val="*"/>
      <w:numFmt w:val="bullet"/>
      <w:start w:val="1"/>
    </w:lvl>
  </w:abstractNum>
  <w:abstractNum w:abstractNumId="206">
    <w:nsid w:val="7635AA2A"/>
    <w:multiLevelType w:val="hybridMultilevel"/>
    <w:lvl w:ilvl="0">
      <w:lvlJc w:val="left"/>
      <w:lvlText w:val="%1."/>
      <w:numFmt w:val="decimal"/>
      <w:start w:val="1"/>
    </w:lvl>
  </w:abstractNum>
  <w:abstractNum w:abstractNumId="207">
    <w:nsid w:val="5E74C4D9"/>
    <w:multiLevelType w:val="hybridMultilevel"/>
    <w:lvl w:ilvl="0">
      <w:lvlJc w:val="left"/>
      <w:lvlText w:val="%1."/>
      <w:numFmt w:val="decimal"/>
      <w:start w:val="1"/>
    </w:lvl>
    <w:lvl w:ilvl="1">
      <w:lvlJc w:val="left"/>
      <w:lvlText w:val="(%2)"/>
      <w:numFmt w:val="lowerLetter"/>
      <w:start w:val="1"/>
    </w:lvl>
  </w:abstractNum>
  <w:abstractNum w:abstractNumId="208">
    <w:nsid w:val="3B3EBE15"/>
    <w:multiLevelType w:val="hybridMultilevel"/>
    <w:lvl w:ilvl="0">
      <w:lvlJc w:val="left"/>
      <w:lvlText w:val="%1."/>
      <w:numFmt w:val="decimal"/>
      <w:start w:val="5"/>
    </w:lvl>
  </w:abstractNum>
  <w:abstractNum w:abstractNumId="209">
    <w:nsid w:val="3822CB01"/>
    <w:multiLevelType w:val="hybridMultilevel"/>
    <w:lvl w:ilvl="0">
      <w:lvlJc w:val="left"/>
      <w:lvlText w:val="%1."/>
      <w:numFmt w:val="decimal"/>
      <w:start w:val="7"/>
    </w:lvl>
  </w:abstractNum>
  <w:abstractNum w:abstractNumId="210">
    <w:nsid w:val="6CE00443"/>
    <w:multiLevelType w:val="hybridMultilevel"/>
    <w:lvl w:ilvl="0">
      <w:lvlJc w:val="left"/>
      <w:lvlText w:val="%1."/>
      <w:numFmt w:val="decimal"/>
      <w:start w:val="9"/>
    </w:lvl>
  </w:abstractNum>
  <w:abstractNum w:abstractNumId="211">
    <w:nsid w:val="79F0D62F"/>
    <w:multiLevelType w:val="hybridMultilevel"/>
    <w:lvl w:ilvl="0">
      <w:lvlJc w:val="left"/>
      <w:lvlText w:val="%1"/>
      <w:numFmt w:val="lowerLetter"/>
      <w:start w:val="1"/>
    </w:lvl>
    <w:lvl w:ilvl="1">
      <w:lvlJc w:val="left"/>
      <w:lvlText w:val="(%2)"/>
      <w:numFmt w:val="lowerLetter"/>
      <w:start w:val="1"/>
    </w:lvl>
  </w:abstractNum>
  <w:abstractNum w:abstractNumId="212">
    <w:nsid w:val="7975E8EE"/>
    <w:multiLevelType w:val="hybridMultilevel"/>
    <w:lvl w:ilvl="0">
      <w:lvlJc w:val="left"/>
      <w:lvlText w:val="(%1)"/>
      <w:numFmt w:val="lowerLetter"/>
      <w:start w:val="61"/>
    </w:lvl>
    <w:lvl w:ilvl="1">
      <w:lvlJc w:val="left"/>
      <w:lvlText w:val="(%2)"/>
      <w:numFmt w:val="lowerLetter"/>
      <w:start w:val="2"/>
    </w:lvl>
  </w:abstractNum>
  <w:abstractNum w:abstractNumId="213">
    <w:nsid w:val="73154115"/>
    <w:multiLevelType w:val="hybridMultilevel"/>
    <w:lvl w:ilvl="0">
      <w:lvlJc w:val="left"/>
      <w:lvlText w:val="(%1)"/>
      <w:numFmt w:val="lowerLetter"/>
      <w:start w:val="3"/>
    </w:lvl>
  </w:abstractNum>
  <w:abstractNum w:abstractNumId="214">
    <w:nsid w:val="622D8102"/>
    <w:multiLevelType w:val="hybridMultilevel"/>
    <w:lvl w:ilvl="0">
      <w:lvlJc w:val="left"/>
      <w:lvlText w:val="(%1)"/>
      <w:numFmt w:val="lowerLetter"/>
      <w:start w:val="1"/>
    </w:lvl>
  </w:abstractNum>
  <w:abstractNum w:abstractNumId="215">
    <w:nsid w:val="2AB26587"/>
    <w:multiLevelType w:val="hybridMultilevel"/>
    <w:lvl w:ilvl="0">
      <w:lvlJc w:val="left"/>
      <w:lvlText w:val="(%1)"/>
      <w:numFmt w:val="lowerLetter"/>
      <w:start w:val="2"/>
    </w:lvl>
  </w:abstractNum>
  <w:abstractNum w:abstractNumId="216">
    <w:nsid w:val="44B3FA61"/>
    <w:multiLevelType w:val="hybridMultilevel"/>
    <w:lvl w:ilvl="0">
      <w:lvlJc w:val="left"/>
      <w:lvlText w:val="(%1)"/>
      <w:numFmt w:val="lowerLetter"/>
      <w:start w:val="1"/>
    </w:lvl>
  </w:abstractNum>
  <w:abstractNum w:abstractNumId="217">
    <w:nsid w:val="1C0CA67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18">
    <w:nsid w:val="3D206613"/>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3"/>
    </w:lvl>
  </w:abstractNum>
  <w:abstractNum w:abstractNumId="219">
    <w:nsid w:val="7993B662"/>
    <w:multiLevelType w:val="hybridMultilevel"/>
    <w:lvl w:ilvl="0">
      <w:lvlJc w:val="left"/>
      <w:lvlText w:val="(%1)"/>
      <w:numFmt w:val="lowerLetter"/>
      <w:start w:val="5"/>
    </w:lvl>
  </w:abstractNum>
  <w:abstractNum w:abstractNumId="220">
    <w:nsid w:val="3BAB699E"/>
    <w:multiLevelType w:val="hybridMultilevel"/>
    <w:lvl w:ilvl="0">
      <w:lvlJc w:val="left"/>
      <w:lvlText w:val="%1"/>
      <w:numFmt w:val="lowerRoman"/>
      <w:start w:val="1"/>
    </w:lvl>
    <w:lvl w:ilvl="1">
      <w:lvlJc w:val="left"/>
      <w:lvlText w:val="(%2)"/>
      <w:numFmt w:val="lowerLetter"/>
      <w:start w:val="1"/>
    </w:lvl>
  </w:abstractNum>
  <w:abstractNum w:abstractNumId="221">
    <w:nsid w:val="71315369"/>
    <w:multiLevelType w:val="hybridMultilevel"/>
    <w:lvl w:ilvl="0">
      <w:lvlJc w:val="left"/>
      <w:lvlText w:val="(%1)"/>
      <w:numFmt w:val="lowerRoman"/>
      <w:start w:val="1"/>
    </w:lvl>
    <w:lvl w:ilvl="1">
      <w:lvlJc w:val="left"/>
      <w:lvlText w:val="%2"/>
      <w:numFmt w:val="lowerLetter"/>
      <w:start w:val="1"/>
    </w:lvl>
  </w:abstractNum>
  <w:abstractNum w:abstractNumId="222">
    <w:nsid w:val="7BCFBAFC"/>
    <w:multiLevelType w:val="hybridMultilevel"/>
    <w:lvl w:ilvl="0">
      <w:lvlJc w:val="left"/>
      <w:lvlText w:val="(%1)"/>
      <w:numFmt w:val="lowerRoman"/>
      <w:start w:val="3"/>
    </w:lvl>
    <w:lvl w:ilvl="1">
      <w:lvlJc w:val="left"/>
      <w:lvlText w:val="(%2)"/>
      <w:numFmt w:val="lowerLetter"/>
      <w:start w:val="3"/>
    </w:lvl>
  </w:abstractNum>
  <w:abstractNum w:abstractNumId="223">
    <w:nsid w:val="17859F72"/>
    <w:multiLevelType w:val="hybridMultilevel"/>
    <w:lvl w:ilvl="0">
      <w:lvlJc w:val="left"/>
      <w:lvlText w:val="%1"/>
      <w:numFmt w:val="lowerRoman"/>
      <w:start w:val="1"/>
    </w:lvl>
    <w:lvl w:ilvl="1">
      <w:lvlJc w:val="left"/>
      <w:lvlText w:val="(%2)"/>
      <w:numFmt w:val="lowerLetter"/>
      <w:start w:val="4"/>
    </w:lvl>
  </w:abstractNum>
  <w:abstractNum w:abstractNumId="224">
    <w:nsid w:val="3AA10581"/>
    <w:multiLevelType w:val="hybridMultilevel"/>
    <w:lvl w:ilvl="0">
      <w:lvlJc w:val="left"/>
      <w:lvlText w:val="(%1)"/>
      <w:numFmt w:val="lowerRoman"/>
      <w:start w:val="1"/>
    </w:lvl>
    <w:lvl w:ilvl="1">
      <w:lvlJc w:val="left"/>
      <w:lvlText w:val="%2"/>
      <w:numFmt w:val="lowerLetter"/>
      <w:start w:val="1"/>
    </w:lvl>
  </w:abstractNum>
  <w:abstractNum w:abstractNumId="225">
    <w:nsid w:val="63DE60CD"/>
    <w:multiLevelType w:val="hybridMultilevel"/>
    <w:lvl w:ilvl="0">
      <w:lvlJc w:val="left"/>
      <w:lvlText w:val="(%1)"/>
      <w:numFmt w:val="lowerLetter"/>
      <w:start w:val="5"/>
    </w:lvl>
    <w:lvl w:ilvl="1">
      <w:lvlJc w:val="left"/>
      <w:lvlText w:val="(%2)"/>
      <w:numFmt w:val="lowerLetter"/>
      <w:start w:val="9"/>
    </w:lvl>
  </w:abstractNum>
  <w:abstractNum w:abstractNumId="226">
    <w:nsid w:val="621AF471"/>
    <w:multiLevelType w:val="hybridMultilevel"/>
    <w:lvl w:ilvl="0">
      <w:lvlJc w:val="left"/>
      <w:lvlText w:val="(%1)"/>
      <w:numFmt w:val="lowerLetter"/>
      <w:start w:val="25"/>
    </w:lvl>
    <w:lvl w:ilvl="1">
      <w:lvlJc w:val="left"/>
      <w:lvlText w:val="%2"/>
      <w:numFmt w:val="lowerLetter"/>
      <w:start w:val="1"/>
    </w:lvl>
  </w:abstractNum>
  <w:abstractNum w:abstractNumId="227">
    <w:nsid w:val="73CFE165"/>
    <w:multiLevelType w:val="hybridMultilevel"/>
    <w:lvl w:ilvl="0">
      <w:lvlJc w:val="left"/>
      <w:lvlText w:val="(%1)"/>
      <w:numFmt w:val="lowerRoman"/>
      <w:start w:val="2"/>
    </w:lvl>
  </w:abstractNum>
  <w:abstractNum w:abstractNumId="228">
    <w:nsid w:val="20F88EA6"/>
    <w:multiLevelType w:val="hybridMultilevel"/>
    <w:lvl w:ilvl="0">
      <w:lvlJc w:val="left"/>
      <w:lvlText w:val="(%1)"/>
      <w:numFmt w:val="lowerRoman"/>
      <w:start w:val="3"/>
    </w:lvl>
    <w:lvl w:ilvl="1">
      <w:lvlJc w:val="left"/>
      <w:lvlText w:val="(%2)"/>
      <w:numFmt w:val="lowerLetter"/>
      <w:start w:val="6"/>
    </w:lvl>
  </w:abstractNum>
  <w:abstractNum w:abstractNumId="229">
    <w:nsid w:val="617C843E"/>
    <w:multiLevelType w:val="hybridMultilevel"/>
    <w:lvl w:ilvl="0">
      <w:lvlJc w:val="left"/>
      <w:lvlText w:val="(%1)"/>
      <w:numFmt w:val="lowerRoman"/>
      <w:start w:val="1"/>
    </w:lvl>
  </w:abstractNum>
  <w:abstractNum w:abstractNumId="230">
    <w:nsid w:val="7B541FAB"/>
    <w:multiLevelType w:val="hybridMultilevel"/>
    <w:lvl w:ilvl="0">
      <w:lvlJc w:val="left"/>
      <w:lvlText w:val=";"/>
      <w:numFmt w:val="bullet"/>
      <w:start w:val="1"/>
    </w:lvl>
    <w:lvl w:ilvl="1">
      <w:lvlJc w:val="left"/>
      <w:lvlText w:val="(%2)"/>
      <w:numFmt w:val="upperLetter"/>
      <w:start w:val="1"/>
    </w:lvl>
  </w:abstractNum>
  <w:abstractNum w:abstractNumId="231">
    <w:nsid w:val="2A79EC49"/>
    <w:multiLevelType w:val="hybridMultilevel"/>
    <w:lvl w:ilvl="0">
      <w:lvlJc w:val="left"/>
      <w:lvlText w:val="(%1)"/>
      <w:numFmt w:val="lowerLetter"/>
      <w:start w:val="1"/>
    </w:lvl>
  </w:abstractNum>
  <w:abstractNum w:abstractNumId="232">
    <w:nsid w:val="338125CF"/>
    <w:multiLevelType w:val="hybridMultilevel"/>
    <w:lvl w:ilvl="0">
      <w:lvlJc w:val="left"/>
      <w:lvlText w:val="(%1)"/>
      <w:numFmt w:val="lowerLetter"/>
      <w:start w:val="1"/>
    </w:lvl>
  </w:abstractNum>
  <w:abstractNum w:abstractNumId="233">
    <w:nsid w:val="47C7C971"/>
    <w:multiLevelType w:val="hybridMultilevel"/>
    <w:lvl w:ilvl="0">
      <w:lvlJc w:val="left"/>
      <w:lvlText w:val="%1"/>
      <w:numFmt w:val="upperLetter"/>
      <w:start w:val="1"/>
    </w:lvl>
    <w:lvl w:ilvl="1">
      <w:lvlJc w:val="left"/>
      <w:lvlText w:val="(%2)"/>
      <w:numFmt w:val="lowerLetter"/>
      <w:start w:val="2"/>
    </w:lvl>
  </w:abstractNum>
  <w:abstractNum w:abstractNumId="234">
    <w:nsid w:val="46F8284B"/>
    <w:multiLevelType w:val="hybridMultilevel"/>
    <w:lvl w:ilvl="0">
      <w:lvlJc w:val="left"/>
      <w:lvlText w:val="(%1)"/>
      <w:numFmt w:val="lowerRoman"/>
      <w:start w:val="1"/>
    </w:lvl>
  </w:abstractNum>
  <w:abstractNum w:abstractNumId="235">
    <w:nsid w:val="4FA327CE"/>
    <w:multiLevelType w:val="hybridMultilevel"/>
    <w:lvl w:ilvl="0">
      <w:lvlJc w:val="left"/>
      <w:lvlText w:val="(%1)"/>
      <w:numFmt w:val="lowerRoman"/>
      <w:start w:val="1"/>
    </w:lvl>
  </w:abstractNum>
  <w:abstractNum w:abstractNumId="236">
    <w:nsid w:val="1873983A"/>
    <w:multiLevelType w:val="hybridMultilevel"/>
    <w:lvl w:ilvl="0">
      <w:lvlJc w:val="left"/>
      <w:lvlText w:val="(%1)"/>
      <w:numFmt w:val="lowerLetter"/>
      <w:start w:val="1"/>
    </w:lvl>
  </w:abstractNum>
  <w:abstractNum w:abstractNumId="237">
    <w:nsid w:val="3D2DD275"/>
    <w:multiLevelType w:val="hybridMultilevel"/>
    <w:lvl w:ilvl="0">
      <w:lvlJc w:val="left"/>
      <w:lvlText w:val="(%1)"/>
      <w:numFmt w:val="lowerLetter"/>
      <w:start w:val="2"/>
    </w:lvl>
  </w:abstractNum>
  <w:abstractNum w:abstractNumId="238">
    <w:nsid w:val="2E17ECA7"/>
    <w:multiLevelType w:val="hybridMultilevel"/>
    <w:lvl w:ilvl="0">
      <w:lvlJc w:val="left"/>
      <w:lvlText w:val="(%1)"/>
      <w:numFmt w:val="lowerLetter"/>
      <w:start w:val="1"/>
    </w:lvl>
  </w:abstractNum>
  <w:abstractNum w:abstractNumId="239">
    <w:nsid w:val="53B2564F"/>
    <w:multiLevelType w:val="hybridMultilevel"/>
    <w:lvl w:ilvl="0">
      <w:lvlJc w:val="left"/>
      <w:lvlText w:val="(%1)"/>
      <w:numFmt w:val="lowerRoman"/>
      <w:start w:val="1"/>
    </w:lvl>
  </w:abstractNum>
  <w:abstractNum w:abstractNumId="240">
    <w:nsid w:val="75509D76"/>
    <w:multiLevelType w:val="hybridMultilevel"/>
    <w:lvl w:ilvl="0">
      <w:lvlJc w:val="left"/>
      <w:lvlText w:val="%1"/>
      <w:numFmt w:val="upperLetter"/>
      <w:start w:val="1"/>
    </w:lvl>
    <w:lvl w:ilvl="1">
      <w:lvlJc w:val="left"/>
      <w:lvlText w:val="(%2)"/>
      <w:numFmt w:val="decimal"/>
      <w:start w:val="1"/>
    </w:lvl>
  </w:abstractNum>
  <w:abstractNum w:abstractNumId="241">
    <w:nsid w:val="1AF7F0EA"/>
    <w:multiLevelType w:val="hybridMultilevel"/>
    <w:lvl w:ilvl="0">
      <w:lvlJc w:val="left"/>
      <w:lvlText w:val="(%1)"/>
      <w:numFmt w:val="upperLetter"/>
      <w:start w:val="2"/>
    </w:lvl>
    <w:lvl w:ilvl="1">
      <w:lvlJc w:val="left"/>
      <w:lvlText w:val="(%2)"/>
      <w:numFmt w:val="decimal"/>
      <w:start w:val="1"/>
    </w:lvl>
  </w:abstractNum>
  <w:abstractNum w:abstractNumId="242">
    <w:nsid w:val="4DA32C7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243">
    <w:nsid w:val="6EC68664"/>
    <w:multiLevelType w:val="hybridMultilevel"/>
    <w:lvl w:ilvl="0">
      <w:lvlJc w:val="left"/>
      <w:lvlText w:val="(%1)"/>
      <w:numFmt w:val="lowerLetter"/>
      <w:start w:val="35"/>
    </w:lvl>
    <w:lvl w:ilvl="1">
      <w:lvlJc w:val="left"/>
      <w:lvlText w:val="(%2)"/>
      <w:numFmt w:val="lowerLetter"/>
      <w:start w:val="2"/>
    </w:lvl>
    <w:lvl w:ilvl="2">
      <w:lvlJc w:val="left"/>
      <w:lvlText w:val="%3"/>
      <w:numFmt w:val="decimal"/>
      <w:start w:val="1"/>
    </w:lvl>
  </w:abstractNum>
  <w:abstractNum w:abstractNumId="244">
    <w:nsid w:val="E0D31FF"/>
    <w:multiLevelType w:val="hybridMultilevel"/>
    <w:lvl w:ilvl="0">
      <w:lvlJc w:val="left"/>
      <w:lvlText w:val="(%1)"/>
      <w:numFmt w:val="lowerRoman"/>
      <w:start w:val="1"/>
    </w:lvl>
  </w:abstractNum>
  <w:abstractNum w:abstractNumId="245">
    <w:nsid w:val="2FD0AD81"/>
    <w:multiLevelType w:val="hybridMultilevel"/>
    <w:lvl w:ilvl="0">
      <w:lvlJc w:val="left"/>
      <w:lvlText w:val="%1"/>
      <w:numFmt w:val="lowerRoman"/>
      <w:start w:val="1"/>
    </w:lvl>
    <w:lvl w:ilvl="1">
      <w:lvlJc w:val="left"/>
      <w:lvlText w:val="(%2)"/>
      <w:numFmt w:val="lowerLetter"/>
      <w:start w:val="3"/>
    </w:lvl>
  </w:abstractNum>
  <w:abstractNum w:abstractNumId="246">
    <w:nsid w:val="1978EBEB"/>
    <w:multiLevelType w:val="hybridMultilevel"/>
    <w:lvl w:ilvl="0">
      <w:lvlJc w:val="left"/>
      <w:lvlText w:val="(%1)"/>
      <w:numFmt w:val="lowerRoman"/>
      <w:start w:val="1"/>
    </w:lvl>
    <w:lvl w:ilvl="1">
      <w:lvlJc w:val="left"/>
      <w:lvlText w:val="%2"/>
      <w:numFmt w:val="lowerLetter"/>
      <w:start w:val="1"/>
    </w:lvl>
  </w:abstractNum>
  <w:abstractNum w:abstractNumId="247">
    <w:nsid w:val="52C12C6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248">
    <w:nsid w:val="4BDD53FD"/>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249">
    <w:nsid w:val="569951FE"/>
    <w:multiLevelType w:val="hybridMultilevel"/>
    <w:lvl w:ilvl="0">
      <w:lvlJc w:val="left"/>
      <w:lvlText w:val="(%1)"/>
      <w:numFmt w:val="lowerLetter"/>
      <w:start w:val="25"/>
    </w:lvl>
    <w:lvl w:ilvl="1">
      <w:lvlJc w:val="left"/>
      <w:lvlText w:val="(%2)"/>
      <w:numFmt w:val="lowerLetter"/>
      <w:start w:val="35"/>
    </w:lvl>
    <w:lvl w:ilvl="2">
      <w:lvlJc w:val="left"/>
      <w:lvlText w:val="%3"/>
      <w:numFmt w:val="lowerLetter"/>
      <w:start w:val="1"/>
    </w:lvl>
  </w:abstractNum>
  <w:abstractNum w:abstractNumId="250">
    <w:nsid w:val="4C54E2C3"/>
    <w:multiLevelType w:val="hybridMultilevel"/>
    <w:lvl w:ilvl="0">
      <w:lvlJc w:val="left"/>
      <w:lvlText w:val="(%1)"/>
      <w:numFmt w:val="lowerLetter"/>
      <w:start w:val="5"/>
    </w:lvl>
  </w:abstractNum>
  <w:abstractNum w:abstractNumId="251">
    <w:nsid w:val="788BD9B"/>
    <w:multiLevelType w:val="hybridMultilevel"/>
    <w:lvl w:ilvl="0">
      <w:lvlJc w:val="left"/>
      <w:lvlText w:val="%1"/>
      <w:numFmt w:val="lowerLetter"/>
      <w:start w:val="1"/>
    </w:lvl>
    <w:lvl w:ilvl="1">
      <w:lvlJc w:val="left"/>
      <w:lvlText w:val="(%2)"/>
      <w:numFmt w:val="lowerLetter"/>
      <w:start w:val="6"/>
    </w:lvl>
  </w:abstractNum>
  <w:abstractNum w:abstractNumId="252">
    <w:nsid w:val="47CAA567"/>
    <w:multiLevelType w:val="hybridMultilevel"/>
    <w:lvl w:ilvl="0">
      <w:lvlJc w:val="left"/>
      <w:lvlText w:val="(%1)"/>
      <w:numFmt w:val="lowerLetter"/>
      <w:start w:val="9"/>
    </w:lvl>
    <w:lvl w:ilvl="1">
      <w:lvlJc w:val="left"/>
      <w:lvlText w:val="%2"/>
      <w:numFmt w:val="lowerLetter"/>
      <w:start w:val="1"/>
    </w:lvl>
  </w:abstractNum>
  <w:abstractNum w:abstractNumId="253">
    <w:nsid w:val="48249DBF"/>
    <w:multiLevelType w:val="hybridMultilevel"/>
    <w:lvl w:ilvl="0">
      <w:lvlJc w:val="left"/>
      <w:lvlText w:val="(%1)"/>
      <w:numFmt w:val="lowerRoman"/>
      <w:start w:val="2"/>
    </w:lvl>
  </w:abstractNum>
  <w:abstractNum w:abstractNumId="254">
    <w:nsid w:val="1F0E5D0D"/>
    <w:multiLevelType w:val="hybridMultilevel"/>
    <w:lvl w:ilvl="0">
      <w:lvlJc w:val="left"/>
      <w:lvlText w:val="%1"/>
      <w:numFmt w:val="upperLetter"/>
      <w:start w:val="1"/>
    </w:lvl>
    <w:lvl w:ilvl="1">
      <w:lvlJc w:val="left"/>
      <w:lvlText w:val="(%2)"/>
      <w:numFmt w:val="lowerLetter"/>
      <w:start w:val="7"/>
    </w:lvl>
  </w:abstractNum>
  <w:abstractNum w:abstractNumId="255">
    <w:nsid w:val="26BAAE9"/>
    <w:multiLevelType w:val="hybridMultilevel"/>
    <w:lvl w:ilvl="0">
      <w:lvlJc w:val="left"/>
      <w:lvlText w:val="(%1)"/>
      <w:numFmt w:val="upperLetter"/>
      <w:start w:val="1"/>
    </w:lvl>
    <w:lvl w:ilvl="1">
      <w:lvlJc w:val="left"/>
      <w:lvlText w:val="%2"/>
      <w:numFmt w:val="lowerLetter"/>
      <w:start w:val="1"/>
    </w:lvl>
  </w:abstractNum>
  <w:abstractNum w:abstractNumId="256">
    <w:nsid w:val="2C02FE8C"/>
    <w:multiLevelType w:val="hybridMultilevel"/>
    <w:lvl w:ilvl="0">
      <w:lvlJc w:val="left"/>
      <w:lvlText w:val="%1"/>
      <w:numFmt w:val="decimal"/>
      <w:start w:val="1"/>
    </w:lvl>
    <w:lvl w:ilvl="1">
      <w:lvlJc w:val="left"/>
      <w:lvlText w:val="(%2)"/>
      <w:numFmt w:val="upperLetter"/>
      <w:start w:val="3"/>
    </w:lvl>
  </w:abstractNum>
  <w:abstractNum w:abstractNumId="257">
    <w:nsid w:val="129517E"/>
    <w:multiLevelType w:val="hybridMultilevel"/>
    <w:lvl w:ilvl="0">
      <w:lvlJc w:val="left"/>
      <w:lvlText w:val="(%1)"/>
      <w:numFmt w:val="decimal"/>
      <w:start w:val="1"/>
    </w:lvl>
    <w:lvl w:ilvl="1">
      <w:lvlJc w:val="left"/>
      <w:lvlText w:val="(%2)"/>
      <w:numFmt w:val="upperLetter"/>
      <w:start w:val="5"/>
    </w:lvl>
  </w:abstractNum>
  <w:abstractNum w:abstractNumId="258">
    <w:nsid w:val="763B8C4E"/>
    <w:multiLevelType w:val="hybridMultilevel"/>
    <w:lvl w:ilvl="0">
      <w:lvlJc w:val="left"/>
      <w:lvlText w:val="(%1)"/>
      <w:numFmt w:val="decimal"/>
      <w:start w:val="1"/>
    </w:lvl>
  </w:abstractNum>
  <w:abstractNum w:abstractNumId="259">
    <w:nsid w:val="4CFB8D32"/>
    <w:multiLevelType w:val="hybridMultilevel"/>
    <w:lvl w:ilvl="0">
      <w:lvlJc w:val="left"/>
      <w:lvlText w:val="(%1)"/>
      <w:numFmt w:val="decimal"/>
      <w:start w:val="1"/>
    </w:lvl>
  </w:abstractNum>
  <w:abstractNum w:abstractNumId="260">
    <w:nsid w:val="62A5D5BD"/>
    <w:multiLevelType w:val="hybridMultilevel"/>
    <w:lvl w:ilvl="0">
      <w:lvlJc w:val="left"/>
      <w:lvlText w:val="(%1)"/>
      <w:numFmt w:val="decimal"/>
      <w:start w:val="1"/>
    </w:lvl>
  </w:abstractNum>
  <w:abstractNum w:abstractNumId="261">
    <w:nsid w:val="718FABF9"/>
    <w:multiLevelType w:val="hybridMultilevel"/>
    <w:lvl w:ilvl="0">
      <w:lvlJc w:val="left"/>
      <w:lvlText w:val="(%1)"/>
      <w:numFmt w:val="decimal"/>
      <w:start w:val="1"/>
    </w:lvl>
  </w:abstractNum>
  <w:abstractNum w:abstractNumId="262">
    <w:nsid w:val="7775797C"/>
    <w:multiLevelType w:val="hybridMultilevel"/>
    <w:lvl w:ilvl="0">
      <w:lvlJc w:val="left"/>
      <w:lvlText w:val="(%1)"/>
      <w:numFmt w:val="lowerLetter"/>
      <w:start w:val="8"/>
    </w:lvl>
  </w:abstractNum>
  <w:abstractNum w:abstractNumId="263">
    <w:nsid w:val="1626FB8C"/>
    <w:multiLevelType w:val="hybridMultilevel"/>
    <w:lvl w:ilvl="0">
      <w:lvlJc w:val="left"/>
      <w:lvlText w:val="(%1)"/>
      <w:numFmt w:val="lowerRoman"/>
      <w:start w:val="1"/>
    </w:lvl>
  </w:abstractNum>
  <w:abstractNum w:abstractNumId="264">
    <w:nsid w:val="3957756A"/>
    <w:multiLevelType w:val="hybridMultilevel"/>
    <w:lvl w:ilvl="0">
      <w:lvlJc w:val="left"/>
      <w:lvlText w:val="(%1)"/>
      <w:numFmt w:val="lowerRoman"/>
      <w:start w:val="5"/>
    </w:lvl>
  </w:abstractNum>
  <w:abstractNum w:abstractNumId="265">
    <w:nsid w:val="3E6DA1C7"/>
    <w:multiLevelType w:val="hybridMultilevel"/>
    <w:lvl w:ilvl="0">
      <w:lvlJc w:val="left"/>
      <w:lvlText w:val="(%1)"/>
      <w:numFmt w:val="lowerLetter"/>
      <w:start w:val="1"/>
    </w:lvl>
  </w:abstractNum>
  <w:abstractNum w:abstractNumId="266">
    <w:nsid w:val="65CA235B"/>
    <w:multiLevelType w:val="hybridMultilevel"/>
    <w:lvl w:ilvl="0">
      <w:lvlJc w:val="left"/>
      <w:lvlText w:val="(%1)"/>
      <w:numFmt w:val="lowerLetter"/>
      <w:start w:val="1"/>
    </w:lvl>
  </w:abstractNum>
  <w:abstractNum w:abstractNumId="267">
    <w:nsid w:val="51CB0DA4"/>
    <w:multiLevelType w:val="hybridMultilevel"/>
    <w:lvl w:ilvl="0">
      <w:lvlJc w:val="left"/>
      <w:lvlText w:val="(%1)"/>
      <w:numFmt w:val="lowerRoman"/>
      <w:start w:val="3"/>
    </w:lvl>
  </w:abstractNum>
  <w:abstractNum w:abstractNumId="268">
    <w:nsid w:val="7B9B743C"/>
    <w:multiLevelType w:val="hybridMultilevel"/>
    <w:lvl w:ilvl="0">
      <w:lvlJc w:val="left"/>
      <w:lvlText w:val="%1"/>
      <w:numFmt w:val="lowerRoman"/>
      <w:start w:val="1"/>
    </w:lvl>
    <w:lvl w:ilvl="1">
      <w:lvlJc w:val="left"/>
      <w:lvlText w:val="(%2)"/>
      <w:numFmt w:val="lowerLetter"/>
      <w:start w:val="1"/>
    </w:lvl>
  </w:abstractNum>
  <w:abstractNum w:abstractNumId="269">
    <w:nsid w:val="13E21002"/>
    <w:multiLevelType w:val="hybridMultilevel"/>
    <w:lvl w:ilvl="0">
      <w:lvlJc w:val="left"/>
      <w:lvlText w:val="(%1)"/>
      <w:numFmt w:val="lowerRoman"/>
      <w:start w:val="1"/>
    </w:lvl>
    <w:lvl w:ilvl="1">
      <w:lvlJc w:val="left"/>
      <w:lvlText w:val="%2"/>
      <w:numFmt w:val="lowerLetter"/>
      <w:start w:val="1"/>
    </w:lvl>
  </w:abstractNum>
  <w:abstractNum w:abstractNumId="270">
    <w:nsid w:val="257D63F4"/>
    <w:multiLevelType w:val="hybridMultilevel"/>
    <w:lvl w:ilvl="0">
      <w:lvlJc w:val="left"/>
      <w:lvlText w:val="%1"/>
      <w:numFmt w:val="upperLetter"/>
      <w:start w:val="1"/>
    </w:lvl>
    <w:lvl w:ilvl="1">
      <w:lvlJc w:val="left"/>
      <w:lvlText w:val="(%2)"/>
      <w:numFmt w:val="lowerLetter"/>
      <w:start w:val="61"/>
    </w:lvl>
    <w:lvl w:ilvl="2">
      <w:lvlJc w:val="left"/>
      <w:lvlText w:val="%3"/>
      <w:numFmt w:val="lowerLetter"/>
      <w:start w:val="1"/>
    </w:lvl>
  </w:abstractNum>
  <w:abstractNum w:abstractNumId="271">
    <w:nsid w:val="70EC11B2"/>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2"/>
    </w:lvl>
  </w:abstractNum>
  <w:abstractNum w:abstractNumId="272">
    <w:nsid w:val="2EDA00ED"/>
    <w:multiLevelType w:val="hybridMultilevel"/>
    <w:lvl w:ilvl="0">
      <w:lvlJc w:val="left"/>
      <w:lvlText w:val="(%1)"/>
      <w:numFmt w:val="lowerLetter"/>
      <w:start w:val="1"/>
    </w:lvl>
  </w:abstractNum>
  <w:abstractNum w:abstractNumId="273">
    <w:nsid w:val="73209072"/>
    <w:multiLevelType w:val="hybridMultilevel"/>
    <w:lvl w:ilvl="0">
      <w:lvlJc w:val="left"/>
      <w:lvlText w:val="(%1)"/>
      <w:numFmt w:val="lowerLetter"/>
      <w:start w:val="1"/>
    </w:lvl>
  </w:abstractNum>
  <w:abstractNum w:abstractNumId="274">
    <w:nsid w:val="5FB29816"/>
    <w:multiLevelType w:val="hybridMultilevel"/>
    <w:lvl w:ilvl="0">
      <w:lvlJc w:val="left"/>
      <w:lvlText w:val="(%1)"/>
      <w:numFmt w:val="lowerLetter"/>
      <w:start w:val="1"/>
    </w:lvl>
  </w:abstractNum>
  <w:abstractNum w:abstractNumId="275">
    <w:nsid w:val="3CE732EC"/>
    <w:multiLevelType w:val="hybridMultilevel"/>
    <w:lvl w:ilvl="0">
      <w:lvlJc w:val="left"/>
      <w:lvlText w:val="(%1)"/>
      <w:numFmt w:val="lowerLetter"/>
      <w:start w:val="3"/>
    </w:lvl>
  </w:abstractNum>
  <w:abstractNum w:abstractNumId="276">
    <w:nsid w:val="22F13DF3"/>
    <w:multiLevelType w:val="hybridMultilevel"/>
    <w:lvl w:ilvl="0">
      <w:lvlJc w:val="left"/>
      <w:lvlText w:val="(%1)"/>
      <w:numFmt w:val="lowerLetter"/>
      <w:start w:val="2"/>
    </w:lvl>
  </w:abstractNum>
  <w:abstractNum w:abstractNumId="277">
    <w:nsid w:val="792B8401"/>
    <w:multiLevelType w:val="hybridMultilevel"/>
    <w:lvl w:ilvl="0">
      <w:lvlJc w:val="left"/>
      <w:lvlText w:val="(%1)"/>
      <w:numFmt w:val="lowerRoman"/>
      <w:start w:val="1"/>
    </w:lvl>
  </w:abstractNum>
  <w:abstractNum w:abstractNumId="278">
    <w:nsid w:val="FA85F4D"/>
    <w:multiLevelType w:val="hybridMultilevel"/>
    <w:lvl w:ilvl="0">
      <w:lvlJc w:val="left"/>
      <w:lvlText w:val="(%1)"/>
      <w:numFmt w:val="lowerLetter"/>
      <w:start w:val="1"/>
    </w:lvl>
  </w:abstractNum>
  <w:abstractNum w:abstractNumId="279">
    <w:nsid w:val="6ECE91F0"/>
    <w:multiLevelType w:val="hybridMultilevel"/>
    <w:lvl w:ilvl="0">
      <w:lvlJc w:val="left"/>
      <w:lvlText w:val="(%1)"/>
      <w:numFmt w:val="lowerLetter"/>
      <w:start w:val="1"/>
    </w:lvl>
  </w:abstractNum>
  <w:abstractNum w:abstractNumId="280">
    <w:nsid w:val="4FC4D600"/>
    <w:multiLevelType w:val="hybridMultilevel"/>
    <w:lvl w:ilvl="0">
      <w:lvlJc w:val="left"/>
      <w:lvlText w:val="(%1)"/>
      <w:numFmt w:val="upperLetter"/>
      <w:start w:val="7"/>
    </w:lvl>
  </w:abstractNum>
  <w:abstractNum w:abstractNumId="281">
    <w:nsid w:val="5BFD4210"/>
    <w:multiLevelType w:val="hybridMultilevel"/>
    <w:lvl w:ilvl="0">
      <w:lvlJc w:val="left"/>
      <w:lvlText w:val="(%1)"/>
      <w:numFmt w:val="lowerLetter"/>
      <w:start w:val="1"/>
    </w:lvl>
  </w:abstractNum>
  <w:abstractNum w:abstractNumId="282">
    <w:nsid w:val="76574F8B"/>
    <w:multiLevelType w:val="hybridMultilevel"/>
    <w:lvl w:ilvl="0">
      <w:lvlJc w:val="left"/>
      <w:lvlText w:val="%1"/>
      <w:numFmt w:val="lowerLetter"/>
      <w:start w:val="1"/>
    </w:lvl>
    <w:lvl w:ilvl="1">
      <w:lvlJc w:val="left"/>
      <w:lvlText w:val="(%2)"/>
      <w:numFmt w:val="lowerLetter"/>
      <w:start w:val="3"/>
    </w:lvl>
  </w:abstractNum>
  <w:abstractNum w:abstractNumId="283">
    <w:nsid w:val="178F7B67"/>
    <w:multiLevelType w:val="hybridMultilevel"/>
    <w:lvl w:ilvl="0">
      <w:lvlJc w:val="left"/>
      <w:lvlText w:val="(%1)"/>
      <w:numFmt w:val="lowerLetter"/>
      <w:start w:val="9"/>
    </w:lvl>
    <w:lvl w:ilvl="1">
      <w:lvlJc w:val="left"/>
      <w:lvlText w:val="(%2)"/>
      <w:numFmt w:val="lowerLetter"/>
      <w:start w:val="4"/>
    </w:lvl>
  </w:abstractNum>
  <w:abstractNum w:abstractNumId="284">
    <w:nsid w:val="2421DFCF"/>
    <w:multiLevelType w:val="hybridMultilevel"/>
    <w:lvl w:ilvl="0">
      <w:lvlJc w:val="left"/>
      <w:lvlText w:val="(%1)"/>
      <w:numFmt w:val="lowerLetter"/>
      <w:start w:val="7"/>
    </w:lvl>
  </w:abstractNum>
  <w:abstractNum w:abstractNumId="285">
    <w:nsid w:val="1565AC99"/>
    <w:multiLevelType w:val="hybridMultilevel"/>
    <w:lvl w:ilvl="0">
      <w:lvlJc w:val="left"/>
      <w:lvlText w:val="(%1)"/>
      <w:numFmt w:val="lowerLetter"/>
      <w:start w:val="1"/>
    </w:lvl>
  </w:abstractNum>
  <w:abstractNum w:abstractNumId="286">
    <w:nsid w:val="19FB2650"/>
    <w:multiLevelType w:val="hybridMultilevel"/>
    <w:lvl w:ilvl="0">
      <w:lvlJc w:val="left"/>
      <w:lvlText w:val="%1"/>
      <w:numFmt w:val="lowerLetter"/>
      <w:start w:val="1"/>
    </w:lvl>
    <w:lvl w:ilvl="1">
      <w:lvlJc w:val="left"/>
      <w:lvlText w:val="(%2)"/>
      <w:numFmt w:val="lowerLetter"/>
      <w:start w:val="3"/>
    </w:lvl>
  </w:abstractNum>
  <w:abstractNum w:abstractNumId="287">
    <w:nsid w:val="5024DE5B"/>
    <w:multiLevelType w:val="hybridMultilevel"/>
    <w:lvl w:ilvl="0">
      <w:lvlJc w:val="left"/>
      <w:lvlText w:val="(%1)"/>
      <w:numFmt w:val="lowerLetter"/>
      <w:start w:val="35"/>
    </w:lvl>
    <w:lvl w:ilvl="1">
      <w:lvlJc w:val="left"/>
      <w:lvlText w:val="%2"/>
      <w:numFmt w:val="lowerLetter"/>
      <w:start w:val="1"/>
    </w:lvl>
  </w:abstractNum>
  <w:abstractNum w:abstractNumId="288">
    <w:nsid w:val="168EFE17"/>
    <w:multiLevelType w:val="hybridMultilevel"/>
    <w:lvl w:ilvl="0">
      <w:lvlJc w:val="left"/>
      <w:lvlText w:val="(%1)"/>
      <w:numFmt w:val="lowerLetter"/>
      <w:start w:val="25"/>
    </w:lvl>
    <w:lvl w:ilvl="1">
      <w:lvlJc w:val="left"/>
      <w:lvlText w:val="%2"/>
      <w:numFmt w:val="lowerLetter"/>
      <w:start w:val="1"/>
    </w:lvl>
  </w:abstractNum>
  <w:abstractNum w:abstractNumId="289">
    <w:nsid w:val="1036B29F"/>
    <w:multiLevelType w:val="hybridMultilevel"/>
    <w:lvl w:ilvl="0">
      <w:lvlJc w:val="left"/>
      <w:lvlText w:val="(%1)"/>
      <w:numFmt w:val="lowerLetter"/>
      <w:start w:val="1"/>
    </w:lvl>
  </w:abstractNum>
  <w:abstractNum w:abstractNumId="290">
    <w:nsid w:val="1D206B8E"/>
    <w:multiLevelType w:val="hybridMultilevel"/>
    <w:lvl w:ilvl="0">
      <w:lvlJc w:val="left"/>
      <w:lvlText w:val="(%1)"/>
      <w:numFmt w:val="lowerLetter"/>
      <w:start w:val="1"/>
    </w:lvl>
  </w:abstractNum>
  <w:abstractNum w:abstractNumId="291">
    <w:nsid w:val="7934D3D4"/>
    <w:multiLevelType w:val="hybridMultilevel"/>
    <w:lvl w:ilvl="0">
      <w:lvlJc w:val="left"/>
      <w:lvlText w:val="(%1)"/>
      <w:numFmt w:val="lowerLetter"/>
      <w:start w:val="2"/>
    </w:lvl>
  </w:abstractNum>
  <w:abstractNum w:abstractNumId="292">
    <w:nsid w:val="1C65E98"/>
    <w:multiLevelType w:val="hybridMultilevel"/>
    <w:lvl w:ilvl="0">
      <w:lvlJc w:val="left"/>
      <w:lvlText w:val="(%1)"/>
      <w:numFmt w:val="lowerLetter"/>
      <w:start w:val="1"/>
    </w:lvl>
    <w:lvl w:ilvl="1">
      <w:lvlJc w:val="left"/>
      <w:lvlText w:val="(%2)"/>
      <w:numFmt w:val="lowerRoman"/>
      <w:start w:val="1"/>
    </w:lvl>
  </w:abstractNum>
  <w:abstractNum w:abstractNumId="293">
    <w:nsid w:val="1495E50A"/>
    <w:multiLevelType w:val="hybridMultilevel"/>
    <w:lvl w:ilvl="0">
      <w:lvlJc w:val="left"/>
      <w:lvlText w:val="(%1)"/>
      <w:numFmt w:val="lowerLetter"/>
      <w:start w:val="1"/>
    </w:lvl>
  </w:abstractNum>
  <w:abstractNum w:abstractNumId="294">
    <w:nsid w:val="F5BCF61"/>
    <w:multiLevelType w:val="hybridMultilevel"/>
    <w:lvl w:ilvl="0">
      <w:lvlJc w:val="left"/>
      <w:lvlText w:val="§"/>
      <w:numFmt w:val="bullet"/>
      <w:start w:val="1"/>
    </w:lvl>
  </w:abstractNum>
  <w:abstractNum w:abstractNumId="295">
    <w:nsid w:val="3B1DD403"/>
    <w:multiLevelType w:val="hybridMultilevel"/>
    <w:lvl w:ilvl="0">
      <w:lvlJc w:val="left"/>
      <w:lvlText w:val="%1"/>
      <w:numFmt w:val="lowerLetter"/>
      <w:start w:val="1"/>
    </w:lvl>
    <w:lvl w:ilvl="1">
      <w:lvlJc w:val="left"/>
      <w:lvlText w:val="(%2)"/>
      <w:numFmt w:val="lowerRoman"/>
      <w:start w:val="1"/>
    </w:lvl>
  </w:abstractNum>
  <w:abstractNum w:abstractNumId="296">
    <w:nsid w:val="530386D1"/>
    <w:multiLevelType w:val="hybridMultilevel"/>
    <w:lvl w:ilvl="0">
      <w:lvlJc w:val="left"/>
      <w:lvlText w:val="(%1)"/>
      <w:numFmt w:val="lowerLetter"/>
      <w:start w:val="2"/>
    </w:lvl>
    <w:lvl w:ilvl="1">
      <w:lvlJc w:val="left"/>
      <w:lvlText w:val="%2"/>
      <w:numFmt w:val="lowerRoman"/>
      <w:start w:val="1"/>
    </w:lvl>
  </w:abstractNum>
  <w:abstractNum w:abstractNumId="297">
    <w:nsid w:val="7525F2BC"/>
    <w:multiLevelType w:val="hybridMultilevel"/>
    <w:lvl w:ilvl="0">
      <w:lvlJc w:val="left"/>
      <w:lvlText w:val="(%1)"/>
      <w:numFmt w:val="decimal"/>
      <w:start w:val="15"/>
    </w:lvl>
  </w:abstractNum>
  <w:abstractNum w:abstractNumId="298">
    <w:nsid w:val="CE8E1A7"/>
    <w:multiLevelType w:val="hybridMultilevel"/>
    <w:lvl w:ilvl="0">
      <w:lvlJc w:val="left"/>
      <w:lvlText w:val="(%1)"/>
      <w:numFmt w:val="lowerLetter"/>
      <w:start w:val="3"/>
    </w:lvl>
  </w:abstractNum>
  <w:abstractNum w:abstractNumId="299">
    <w:nsid w:val="4E9EFB0D"/>
    <w:multiLevelType w:val="hybridMultilevel"/>
    <w:lvl w:ilvl="0">
      <w:lvlJc w:val="left"/>
      <w:lvlText w:val="(%1)"/>
      <w:numFmt w:val="lowerLetter"/>
      <w:start w:val="1"/>
    </w:lvl>
  </w:abstractNum>
  <w:abstractNum w:abstractNumId="300">
    <w:nsid w:val="90802BE"/>
    <w:multiLevelType w:val="hybridMultilevel"/>
    <w:lvl w:ilvl="0">
      <w:lvlJc w:val="left"/>
      <w:lvlText w:val="(%1)"/>
      <w:numFmt w:val="lowerLetter"/>
      <w:start w:val="1"/>
    </w:lvl>
  </w:abstractNum>
  <w:abstractNum w:abstractNumId="301">
    <w:nsid w:val="3266459B"/>
    <w:multiLevelType w:val="hybridMultilevel"/>
    <w:lvl w:ilvl="0">
      <w:lvlJc w:val="left"/>
      <w:lvlText w:val="(%1)"/>
      <w:numFmt w:val="lowerLetter"/>
      <w:start w:val="11"/>
    </w:lvl>
  </w:abstractNum>
  <w:abstractNum w:abstractNumId="302">
    <w:nsid w:val="3F8B0CBF"/>
    <w:multiLevelType w:val="hybridMultilevel"/>
    <w:lvl w:ilvl="0">
      <w:lvlJc w:val="left"/>
      <w:lvlText w:val="(%1)"/>
      <w:numFmt w:val="lowerLetter"/>
      <w:start w:val="3"/>
    </w:lvl>
  </w:abstractNum>
  <w:abstractNum w:abstractNumId="303">
    <w:nsid w:val="37E203AB"/>
    <w:multiLevelType w:val="hybridMultilevel"/>
    <w:lvl w:ilvl="0">
      <w:lvlJc w:val="left"/>
      <w:lvlText w:val="(%1)"/>
      <w:numFmt w:val="lowerRoman"/>
      <w:start w:val="1"/>
    </w:lvl>
  </w:abstractNum>
  <w:abstractNum w:abstractNumId="304">
    <w:nsid w:val="2586D60E"/>
    <w:multiLevelType w:val="hybridMultilevel"/>
    <w:lvl w:ilvl="0">
      <w:lvlJc w:val="left"/>
      <w:lvlText w:val="(%1)"/>
      <w:numFmt w:val="lowerRoman"/>
      <w:start w:val="6"/>
    </w:lvl>
  </w:abstractNum>
  <w:abstractNum w:abstractNumId="305">
    <w:nsid w:val="1F3DA4D5"/>
    <w:multiLevelType w:val="hybridMultilevel"/>
    <w:lvl w:ilvl="0">
      <w:lvlJc w:val="left"/>
      <w:lvlText w:val="(%1)"/>
      <w:numFmt w:val="lowerRoman"/>
      <w:start w:val="1"/>
    </w:lvl>
  </w:abstractNum>
  <w:abstractNum w:abstractNumId="306">
    <w:nsid w:val="74C93698"/>
    <w:multiLevelType w:val="hybridMultilevel"/>
    <w:lvl w:ilvl="0">
      <w:lvlJc w:val="left"/>
      <w:lvlText w:val="&amp;"/>
      <w:numFmt w:val="bullet"/>
      <w:start w:val="1"/>
    </w:lvl>
  </w:abstractNum>
  <w:abstractNum w:abstractNumId="307">
    <w:nsid w:val="48781401"/>
    <w:multiLevelType w:val="hybridMultilevel"/>
    <w:lvl w:ilvl="0">
      <w:lvlJc w:val="left"/>
      <w:lvlText w:val="(%1)"/>
      <w:numFmt w:val="lowerLetter"/>
      <w:start w:val="1"/>
    </w:lvl>
  </w:abstractNum>
  <w:abstractNum w:abstractNumId="308">
    <w:nsid w:val="186928D6"/>
    <w:multiLevelType w:val="hybridMultilevel"/>
    <w:lvl w:ilvl="0">
      <w:lvlJc w:val="left"/>
      <w:lvlText w:val="(%1)"/>
      <w:numFmt w:val="lowerLetter"/>
      <w:start w:val="3"/>
    </w:lvl>
  </w:abstractNum>
  <w:abstractNum w:abstractNumId="309">
    <w:nsid w:val="47195E5"/>
    <w:multiLevelType w:val="hybridMultilevel"/>
    <w:lvl w:ilvl="0">
      <w:lvlJc w:val="left"/>
      <w:lvlText w:val="(%1)"/>
      <w:numFmt w:val="lowerLetter"/>
      <w:start w:val="1"/>
    </w:lvl>
  </w:abstractNum>
  <w:abstractNum w:abstractNumId="310">
    <w:nsid w:val="3746A5F2"/>
    <w:multiLevelType w:val="hybridMultilevel"/>
    <w:lvl w:ilvl="0">
      <w:lvlJc w:val="left"/>
      <w:lvlText w:val="(%1)"/>
      <w:numFmt w:val="lowerLetter"/>
      <w:start w:val="2"/>
    </w:lvl>
  </w:abstractNum>
  <w:abstractNum w:abstractNumId="311">
    <w:nsid w:val="682DFED6"/>
    <w:multiLevelType w:val="hybridMultilevel"/>
    <w:lvl w:ilvl="0">
      <w:lvlJc w:val="left"/>
      <w:lvlText w:val="(%1)"/>
      <w:numFmt w:val="lowerRoman"/>
      <w:start w:val="1"/>
    </w:lvl>
  </w:abstractNum>
  <w:abstractNum w:abstractNumId="312">
    <w:nsid w:val="606ED7F6"/>
    <w:multiLevelType w:val="hybridMultilevel"/>
    <w:lvl w:ilvl="0">
      <w:lvlJc w:val="left"/>
      <w:lvlText w:val="(%1)"/>
      <w:numFmt w:val="upperLetter"/>
      <w:start w:val="1"/>
    </w:lvl>
  </w:abstractNum>
  <w:abstractNum w:abstractNumId="313">
    <w:nsid w:val="2D9DF57D"/>
    <w:multiLevelType w:val="hybridMultilevel"/>
    <w:lvl w:ilvl="0">
      <w:lvlJc w:val="left"/>
      <w:lvlText w:val="(%1)"/>
      <w:numFmt w:val="lowerLetter"/>
      <w:start w:val="1"/>
    </w:lvl>
  </w:abstractNum>
  <w:abstractNum w:abstractNumId="314">
    <w:nsid w:val="7FBD7A3E"/>
    <w:multiLevelType w:val="hybridMultilevel"/>
    <w:lvl w:ilvl="0">
      <w:lvlJc w:val="left"/>
      <w:lvlText w:val="(%1)"/>
      <w:numFmt w:val="lowerLetter"/>
      <w:start w:val="3"/>
    </w:lvl>
  </w:abstractNum>
  <w:abstractNum w:abstractNumId="315">
    <w:nsid w:val="490B7C5"/>
    <w:multiLevelType w:val="hybridMultilevel"/>
    <w:lvl w:ilvl="0">
      <w:lvlJc w:val="left"/>
      <w:lvlText w:val="%1."/>
      <w:numFmt w:val="decimal"/>
      <w:start w:val="1"/>
    </w:lvl>
  </w:abstractNum>
  <w:abstractNum w:abstractNumId="316">
    <w:nsid w:val="4303A216"/>
    <w:multiLevelType w:val="hybridMultilevel"/>
    <w:lvl w:ilvl="0">
      <w:lvlJc w:val="left"/>
      <w:lvlText w:val="(%1)"/>
      <w:numFmt w:val="lowerLetter"/>
      <w:start w:val="1"/>
    </w:lvl>
  </w:abstractNum>
  <w:abstractNum w:abstractNumId="317">
    <w:nsid w:val="19B8A08E"/>
    <w:multiLevelType w:val="hybridMultilevel"/>
    <w:lvl w:ilvl="0">
      <w:lvlJc w:val="left"/>
      <w:lvlText w:val="%1."/>
      <w:numFmt w:val="decimal"/>
      <w:start w:val="2"/>
    </w:lvl>
  </w:abstractNum>
  <w:abstractNum w:abstractNumId="318">
    <w:nsid w:val="54B59621"/>
    <w:multiLevelType w:val="hybridMultilevel"/>
    <w:lvl w:ilvl="0">
      <w:lvlJc w:val="left"/>
      <w:lvlText w:val="(%1)"/>
      <w:numFmt w:val="lowerLetter"/>
      <w:start w:val="1"/>
    </w:lvl>
  </w:abstractNum>
  <w:abstractNum w:abstractNumId="319">
    <w:nsid w:val="5992A02E"/>
    <w:multiLevelType w:val="hybridMultilevel"/>
    <w:lvl w:ilvl="0">
      <w:lvlJc w:val="left"/>
      <w:lvlText w:val="(%1)"/>
      <w:numFmt w:val="lowerRoman"/>
      <w:start w:val="1"/>
    </w:lvl>
  </w:abstractNum>
  <w:abstractNum w:abstractNumId="320">
    <w:nsid w:val="29EF532D"/>
    <w:multiLevelType w:val="hybridMultilevel"/>
    <w:lvl w:ilvl="0">
      <w:lvlJc w:val="left"/>
      <w:lvlText w:val="(%1)"/>
      <w:numFmt w:val="lowerRoman"/>
      <w:start w:val="2"/>
    </w:lvl>
  </w:abstractNum>
  <w:abstractNum w:abstractNumId="321">
    <w:nsid w:val="71D601AF"/>
    <w:multiLevelType w:val="hybridMultilevel"/>
    <w:lvl w:ilvl="0">
      <w:lvlJc w:val="left"/>
      <w:lvlText w:val="%1"/>
      <w:numFmt w:val="upperLetter"/>
      <w:start w:val="1"/>
    </w:lvl>
    <w:lvl w:ilvl="1">
      <w:lvlJc w:val="left"/>
      <w:lvlText w:val="(%2)"/>
      <w:numFmt w:val="lowerLetter"/>
      <w:start w:val="1"/>
    </w:lvl>
  </w:abstractNum>
  <w:abstractNum w:abstractNumId="322">
    <w:nsid w:val="52C77402"/>
    <w:multiLevelType w:val="hybridMultilevel"/>
    <w:lvl w:ilvl="0">
      <w:lvlJc w:val="left"/>
      <w:lvlText w:val="(%1)"/>
      <w:numFmt w:val="upperLetter"/>
      <w:start w:val="3"/>
    </w:lvl>
    <w:lvl w:ilvl="1">
      <w:lvlJc w:val="left"/>
      <w:lvlText w:val="(%2)"/>
      <w:numFmt w:val="lowerLetter"/>
      <w:start w:val="3"/>
    </w:lvl>
  </w:abstractNum>
  <w:abstractNum w:abstractNumId="323">
    <w:nsid w:val="2BB5B1C6"/>
    <w:multiLevelType w:val="hybridMultilevel"/>
    <w:lvl w:ilvl="0">
      <w:lvlJc w:val="left"/>
      <w:lvlText w:val="%1"/>
      <w:numFmt w:val="lowerLetter"/>
      <w:start w:val="1"/>
    </w:lvl>
    <w:lvl w:ilvl="1">
      <w:lvlJc w:val="left"/>
      <w:lvlText w:val="(%2)"/>
      <w:numFmt w:val="lowerLetter"/>
      <w:start w:val="8"/>
    </w:lvl>
  </w:abstractNum>
  <w:abstractNum w:abstractNumId="324">
    <w:nsid w:val="66BE6B9"/>
    <w:multiLevelType w:val="hybridMultilevel"/>
    <w:lvl w:ilvl="0">
      <w:lvlJc w:val="left"/>
      <w:lvlText w:val="(%1)"/>
      <w:numFmt w:val="lowerLetter"/>
      <w:start w:val="25"/>
    </w:lvl>
    <w:lvl w:ilvl="1">
      <w:lvlJc w:val="left"/>
      <w:lvlText w:val="(%2)"/>
      <w:numFmt w:val="lowerLetter"/>
      <w:start w:val="10"/>
    </w:lvl>
  </w:abstractNum>
  <w:abstractNum w:abstractNumId="325">
    <w:nsid w:val="62234363"/>
    <w:multiLevelType w:val="hybridMultilevel"/>
    <w:lvl w:ilvl="0">
      <w:lvlJc w:val="left"/>
      <w:lvlText w:val="(%1)"/>
      <w:numFmt w:val="lowerLetter"/>
      <w:start w:val="13"/>
    </w:lvl>
  </w:abstractNum>
  <w:abstractNum w:abstractNumId="326">
    <w:nsid w:val="66D385C9"/>
    <w:multiLevelType w:val="hybridMultilevel"/>
    <w:lvl w:ilvl="0">
      <w:lvlJc w:val="left"/>
      <w:lvlText w:val="(%1)"/>
      <w:numFmt w:val="lowerLetter"/>
      <w:start w:val="23"/>
    </w:lvl>
  </w:abstractNum>
  <w:abstractNum w:abstractNumId="327">
    <w:nsid w:val="596F6D8A"/>
    <w:multiLevelType w:val="hybridMultilevel"/>
    <w:lvl w:ilvl="0">
      <w:lvlJc w:val="left"/>
      <w:lvlText w:val="(%1)"/>
      <w:numFmt w:val="lowerLetter"/>
      <w:start w:val="27"/>
    </w:lvl>
  </w:abstractNum>
  <w:abstractNum w:abstractNumId="328">
    <w:nsid w:val="5749361F"/>
    <w:multiLevelType w:val="hybridMultilevel"/>
    <w:lvl w:ilvl="0">
      <w:lvlJc w:val="left"/>
      <w:lvlText w:val="%1."/>
      <w:numFmt w:val="decimal"/>
      <w:start w:val="2"/>
    </w:lvl>
  </w:abstractNum>
  <w:abstractNum w:abstractNumId="329">
    <w:nsid w:val="73BC6770"/>
    <w:multiLevelType w:val="hybridMultilevel"/>
    <w:lvl w:ilvl="0">
      <w:lvlJc w:val="left"/>
      <w:lvlText w:val="(%1)"/>
      <w:numFmt w:val="lowerLetter"/>
      <w:start w:val="1"/>
    </w:lvl>
  </w:abstractNum>
  <w:abstractNum w:abstractNumId="330">
    <w:nsid w:val="280E6897"/>
    <w:multiLevelType w:val="hybridMultilevel"/>
    <w:lvl w:ilvl="0">
      <w:lvlJc w:val="left"/>
      <w:lvlText w:val="(%1)"/>
      <w:numFmt w:val="lowerLetter"/>
      <w:start w:val="2"/>
    </w:lvl>
  </w:abstractNum>
  <w:abstractNum w:abstractNumId="331">
    <w:nsid w:val="605138DE"/>
    <w:multiLevelType w:val="hybridMultilevel"/>
    <w:lvl w:ilvl="0">
      <w:lvlJc w:val="left"/>
      <w:lvlText w:val="(%1)"/>
      <w:numFmt w:val="lowerLetter"/>
      <w:start w:val="9"/>
    </w:lvl>
  </w:abstractNum>
  <w:abstractNum w:abstractNumId="332">
    <w:nsid w:val="2622AD0C"/>
    <w:multiLevelType w:val="hybridMultilevel"/>
    <w:lvl w:ilvl="0">
      <w:lvlJc w:val="left"/>
      <w:lvlText w:val="(%1)"/>
      <w:numFmt w:val="lowerLetter"/>
      <w:start w:val="21"/>
    </w:lvl>
  </w:abstractNum>
  <w:abstractNum w:abstractNumId="333">
    <w:nsid w:val="67997556"/>
    <w:multiLevelType w:val="hybridMultilevel"/>
    <w:lvl w:ilvl="0">
      <w:lvlJc w:val="left"/>
      <w:lvlText w:val="%1."/>
      <w:numFmt w:val="decimal"/>
      <w:start w:val="3"/>
    </w:lvl>
  </w:abstractNum>
  <w:abstractNum w:abstractNumId="334">
    <w:nsid w:val="18333C89"/>
    <w:multiLevelType w:val="hybridMultilevel"/>
    <w:lvl w:ilvl="0">
      <w:lvlJc w:val="left"/>
      <w:lvlText w:val="(%1)"/>
      <w:numFmt w:val="lowerLetter"/>
      <w:start w:val="1"/>
    </w:lvl>
  </w:abstractNum>
  <w:abstractNum w:abstractNumId="335">
    <w:nsid w:val="4BA9831A"/>
    <w:multiLevelType w:val="hybridMultilevel"/>
    <w:lvl w:ilvl="0">
      <w:lvlJc w:val="left"/>
      <w:lvlText w:val="%1"/>
      <w:numFmt w:val="lowerLetter"/>
      <w:start w:val="1"/>
    </w:lvl>
    <w:lvl w:ilvl="1">
      <w:lvlJc w:val="left"/>
      <w:lvlText w:val="(%2)"/>
      <w:numFmt w:val="lowerLetter"/>
      <w:start w:val="4"/>
    </w:lvl>
  </w:abstractNum>
  <w:abstractNum w:abstractNumId="336">
    <w:nsid w:val="6D71A2B"/>
    <w:multiLevelType w:val="hybridMultilevel"/>
    <w:lvl w:ilvl="0">
      <w:lvlJc w:val="left"/>
      <w:lvlText w:val="(%1)"/>
      <w:numFmt w:val="lowerLetter"/>
      <w:start w:val="26"/>
    </w:lvl>
    <w:lvl w:ilvl="1">
      <w:lvlJc w:val="left"/>
      <w:lvlText w:val="%2"/>
      <w:numFmt w:val="lowerLetter"/>
      <w:start w:val="1"/>
    </w:lvl>
  </w:abstractNum>
  <w:abstractNum w:abstractNumId="337">
    <w:nsid w:val="CFC7321"/>
    <w:multiLevelType w:val="hybridMultilevel"/>
    <w:lvl w:ilvl="0">
      <w:lvlJc w:val="left"/>
      <w:lvlText w:val="(%1)"/>
      <w:numFmt w:val="lowerLetter"/>
      <w:start w:val="9"/>
    </w:lvl>
    <w:lvl w:ilvl="1">
      <w:lvlJc w:val="left"/>
      <w:lvlText w:val="(%2)"/>
      <w:numFmt w:val="lowerRoman"/>
      <w:start w:val="1"/>
    </w:lvl>
  </w:abstractNum>
  <w:abstractNum w:abstractNumId="338">
    <w:nsid w:val="1421971B"/>
    <w:multiLevelType w:val="hybridMultilevel"/>
    <w:lvl w:ilvl="0">
      <w:lvlJc w:val="left"/>
      <w:lvlText w:val="(%1)"/>
      <w:numFmt w:val="lowerRoman"/>
      <w:start w:val="4"/>
    </w:lvl>
  </w:abstractNum>
  <w:abstractNum w:abstractNumId="339">
    <w:nsid w:val="1F404301"/>
    <w:multiLevelType w:val="hybridMultilevel"/>
    <w:lvl w:ilvl="0">
      <w:lvlJc w:val="left"/>
      <w:lvlText w:val="%1"/>
      <w:numFmt w:val="upperLetter"/>
      <w:start w:val="1"/>
    </w:lvl>
    <w:lvl w:ilvl="1">
      <w:lvlJc w:val="left"/>
      <w:lvlText w:val="(%2)"/>
      <w:numFmt w:val="lowerLetter"/>
      <w:start w:val="11"/>
    </w:lvl>
    <w:lvl w:ilvl="2">
      <w:lvlJc w:val="left"/>
      <w:lvlText w:val="%3"/>
      <w:numFmt w:val="lowerRoman"/>
      <w:start w:val="1"/>
    </w:lvl>
  </w:abstractNum>
  <w:abstractNum w:abstractNumId="340">
    <w:nsid w:val="116E0907"/>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341">
    <w:nsid w:val="4B683D0D"/>
    <w:multiLevelType w:val="hybridMultilevel"/>
    <w:lvl w:ilvl="0">
      <w:lvlJc w:val="left"/>
      <w:lvlText w:val="(%1)"/>
      <w:numFmt w:val="upperLetter"/>
      <w:start w:val="5"/>
    </w:lvl>
    <w:lvl w:ilvl="1">
      <w:lvlJc w:val="left"/>
      <w:lvlText w:val="(%2)"/>
      <w:numFmt w:val="lowerLetter"/>
      <w:start w:val="12"/>
    </w:lvl>
    <w:lvl w:ilvl="2">
      <w:lvlJc w:val="left"/>
      <w:lvlText w:val="(%3)"/>
      <w:numFmt w:val="lowerRoman"/>
      <w:start w:val="2"/>
    </w:lvl>
  </w:abstractNum>
  <w:abstractNum w:abstractNumId="342">
    <w:nsid w:val="76E41D8"/>
    <w:multiLevelType w:val="hybridMultilevel"/>
    <w:lvl w:ilvl="0">
      <w:lvlJc w:val="left"/>
      <w:lvlText w:val="(%1)"/>
      <w:numFmt w:val="lowerLetter"/>
      <w:start w:val="35"/>
    </w:lvl>
    <w:lvl w:ilvl="1">
      <w:lvlJc w:val="left"/>
      <w:lvlText w:val="(%2)"/>
      <w:numFmt w:val="lowerLetter"/>
      <w:start w:val="14"/>
    </w:lvl>
  </w:abstractNum>
  <w:abstractNum w:abstractNumId="343">
    <w:nsid w:val="71DCE0FD"/>
    <w:multiLevelType w:val="hybridMultilevel"/>
    <w:lvl w:ilvl="0">
      <w:lvlJc w:val="left"/>
      <w:lvlText w:val="(%1)"/>
      <w:numFmt w:val="lowerLetter"/>
      <w:start w:val="18"/>
    </w:lvl>
    <w:lvl w:ilvl="1">
      <w:lvlJc w:val="left"/>
      <w:lvlText w:val="(%2)"/>
      <w:numFmt w:val="lowerRoman"/>
      <w:start w:val="1"/>
    </w:lvl>
  </w:abstractNum>
  <w:abstractNum w:abstractNumId="344">
    <w:nsid w:val="7906328B"/>
    <w:multiLevelType w:val="hybridMultilevel"/>
    <w:lvl w:ilvl="0">
      <w:lvlJc w:val="left"/>
      <w:lvlText w:val="%1."/>
      <w:numFmt w:val="decimal"/>
      <w:start w:val="2"/>
    </w:lvl>
  </w:abstractNum>
  <w:abstractNum w:abstractNumId="345">
    <w:nsid w:val="72BBC16"/>
    <w:multiLevelType w:val="hybridMultilevel"/>
    <w:lvl w:ilvl="0">
      <w:lvlJc w:val="left"/>
      <w:lvlText w:val="(%1)"/>
      <w:numFmt w:val="lowerLetter"/>
      <w:start w:val="1"/>
    </w:lvl>
  </w:abstractNum>
  <w:abstractNum w:abstractNumId="346">
    <w:nsid w:val="766D98C2"/>
    <w:multiLevelType w:val="hybridMultilevel"/>
    <w:lvl w:ilvl="0">
      <w:lvlJc w:val="left"/>
      <w:lvlText w:val="%1"/>
      <w:numFmt w:val="lowerLetter"/>
      <w:start w:val="1"/>
    </w:lvl>
    <w:lvl w:ilvl="1">
      <w:lvlJc w:val="left"/>
      <w:lvlText w:val="(%2)"/>
      <w:numFmt w:val="lowerLetter"/>
      <w:start w:val="2"/>
    </w:lvl>
  </w:abstractNum>
  <w:abstractNum w:abstractNumId="347">
    <w:nsid w:val="3C09D4A1"/>
    <w:multiLevelType w:val="hybridMultilevel"/>
    <w:lvl w:ilvl="0">
      <w:lvlJc w:val="left"/>
      <w:lvlText w:val="(%1)"/>
      <w:numFmt w:val="lowerLetter"/>
      <w:start w:val="25"/>
    </w:lvl>
    <w:lvl w:ilvl="1">
      <w:lvlJc w:val="left"/>
      <w:lvlText w:val="%2"/>
      <w:numFmt w:val="lowerLetter"/>
      <w:start w:val="1"/>
    </w:lvl>
  </w:abstractNum>
  <w:abstractNum w:abstractNumId="348">
    <w:nsid w:val="20E45CA4"/>
    <w:multiLevelType w:val="hybridMultilevel"/>
    <w:lvl w:ilvl="0">
      <w:lvlJc w:val="left"/>
      <w:lvlText w:val="%1"/>
      <w:numFmt w:val="lowerLetter"/>
      <w:start w:val="1"/>
    </w:lvl>
    <w:lvl w:ilvl="1">
      <w:lvlJc w:val="left"/>
      <w:lvlText w:val="(%2)"/>
      <w:numFmt w:val="lowerLetter"/>
      <w:start w:val="7"/>
    </w:lvl>
  </w:abstractNum>
  <w:abstractNum w:abstractNumId="349">
    <w:nsid w:val="4B232EE3"/>
    <w:multiLevelType w:val="hybridMultilevel"/>
    <w:lvl w:ilvl="0">
      <w:lvlJc w:val="left"/>
      <w:lvlText w:val="(%1)"/>
      <w:numFmt w:val="lowerLetter"/>
      <w:start w:val="24"/>
    </w:lvl>
    <w:lvl w:ilvl="1">
      <w:lvlJc w:val="left"/>
      <w:lvlText w:val="(%2)"/>
      <w:numFmt w:val="lowerLetter"/>
      <w:start w:val="9"/>
    </w:lvl>
  </w:abstractNum>
  <w:abstractNum w:abstractNumId="350">
    <w:nsid w:val="159C74CF"/>
    <w:multiLevelType w:val="hybridMultilevel"/>
    <w:lvl w:ilvl="0">
      <w:lvlJc w:val="left"/>
      <w:lvlText w:val="(%1)"/>
      <w:numFmt w:val="lowerRoman"/>
      <w:start w:val="1"/>
    </w:lvl>
  </w:abstractNum>
  <w:abstractNum w:abstractNumId="351">
    <w:nsid w:val="4AD3AFD2"/>
    <w:multiLevelType w:val="hybridMultilevel"/>
    <w:lvl w:ilvl="0">
      <w:lvlJc w:val="left"/>
      <w:lvlText w:val="(%1)"/>
      <w:numFmt w:val="lowerRoman"/>
      <w:start w:val="7"/>
    </w:lvl>
  </w:abstractNum>
  <w:abstractNum w:abstractNumId="352">
    <w:nsid w:val="3CF93092"/>
    <w:multiLevelType w:val="hybridMultilevel"/>
    <w:lvl w:ilvl="0">
      <w:lvlJc w:val="left"/>
      <w:lvlText w:val="(%1)"/>
      <w:numFmt w:val="lowerRoman"/>
      <w:start w:val="14"/>
    </w:lvl>
  </w:abstractNum>
  <w:abstractNum w:abstractNumId="353">
    <w:nsid w:val="6863E8D2"/>
    <w:multiLevelType w:val="hybridMultilevel"/>
    <w:lvl w:ilvl="0">
      <w:lvlJc w:val="left"/>
      <w:lvlText w:val="(%1)"/>
      <w:numFmt w:val="lowerLetter"/>
      <w:start w:val="10"/>
    </w:lvl>
  </w:abstractNum>
  <w:abstractNum w:abstractNumId="354">
    <w:nsid w:val="76896198"/>
    <w:multiLevelType w:val="hybridMultilevel"/>
    <w:lvl w:ilvl="0">
      <w:lvlJc w:val="left"/>
      <w:lvlText w:val="(%1)"/>
      <w:numFmt w:val="lowerRoman"/>
      <w:start w:val="1"/>
    </w:lvl>
  </w:abstractNum>
  <w:abstractNum w:abstractNumId="355">
    <w:nsid w:val="4365174B"/>
    <w:multiLevelType w:val="hybridMultilevel"/>
    <w:lvl w:ilvl="0">
      <w:lvlJc w:val="left"/>
      <w:lvlText w:val="(%1)"/>
      <w:numFmt w:val="lowerLetter"/>
      <w:start w:val="11"/>
    </w:lvl>
  </w:abstractNum>
  <w:abstractNum w:abstractNumId="356">
    <w:nsid w:val="4A872C35"/>
    <w:multiLevelType w:val="hybridMultilevel"/>
    <w:lvl w:ilvl="0">
      <w:lvlJc w:val="left"/>
      <w:lvlText w:val="%1."/>
      <w:numFmt w:val="decimal"/>
      <w:start w:val="3"/>
    </w:lvl>
    <w:lvl w:ilvl="1">
      <w:lvlJc w:val="left"/>
      <w:lvlText w:val="(%2)"/>
      <w:numFmt w:val="lowerLetter"/>
      <w:start w:val="1"/>
    </w:lvl>
  </w:abstractNum>
  <w:abstractNum w:abstractNumId="357">
    <w:nsid w:val="5D5CE761"/>
    <w:multiLevelType w:val="hybridMultilevel"/>
    <w:lvl w:ilvl="0">
      <w:lvlJc w:val="left"/>
      <w:lvlText w:val="(%1)"/>
      <w:numFmt w:val="lowerLetter"/>
      <w:start w:val="2"/>
    </w:lvl>
  </w:abstractNum>
  <w:abstractNum w:abstractNumId="358">
    <w:nsid w:val="1CD484D5"/>
    <w:multiLevelType w:val="hybridMultilevel"/>
    <w:lvl w:ilvl="0">
      <w:lvlJc w:val="left"/>
      <w:lvlText w:val="(%1)"/>
      <w:numFmt w:val="lowerLetter"/>
      <w:start w:val="10"/>
    </w:lvl>
  </w:abstractNum>
  <w:abstractNum w:abstractNumId="359">
    <w:nsid w:val="21D06255"/>
    <w:multiLevelType w:val="hybridMultilevel"/>
    <w:lvl w:ilvl="0">
      <w:lvlJc w:val="left"/>
      <w:lvlText w:val="%1"/>
      <w:numFmt w:val="lowerLetter"/>
      <w:start w:val="1"/>
    </w:lvl>
    <w:lvl w:ilvl="1">
      <w:lvlJc w:val="left"/>
      <w:lvlText w:val="(%2)"/>
      <w:numFmt w:val="lowerLetter"/>
      <w:start w:val="1"/>
    </w:lvl>
  </w:abstractNum>
  <w:abstractNum w:abstractNumId="360">
    <w:nsid w:val="51194ED1"/>
    <w:multiLevelType w:val="hybridMultilevel"/>
    <w:lvl w:ilvl="0">
      <w:lvlJc w:val="left"/>
      <w:lvlText w:val="(%1)"/>
      <w:numFmt w:val="lowerLetter"/>
      <w:start w:val="35"/>
    </w:lvl>
    <w:lvl w:ilvl="1">
      <w:lvlJc w:val="left"/>
      <w:lvlText w:val="(%2)"/>
      <w:numFmt w:val="lowerLetter"/>
      <w:start w:val="2"/>
    </w:lvl>
  </w:abstractNum>
  <w:abstractNum w:abstractNumId="361">
    <w:nsid w:val="44E2ED6C"/>
    <w:multiLevelType w:val="hybridMultilevel"/>
    <w:lvl w:ilvl="0">
      <w:lvlJc w:val="left"/>
      <w:lvlText w:val="%1"/>
      <w:numFmt w:val="decimal"/>
      <w:start w:val="1"/>
    </w:lvl>
    <w:lvl w:ilvl="1">
      <w:lvlJc w:val="left"/>
      <w:lvlText w:val="(%2)"/>
      <w:numFmt w:val="lowerLetter"/>
      <w:start w:val="7"/>
    </w:lvl>
  </w:abstractNum>
  <w:abstractNum w:abstractNumId="362">
    <w:nsid w:val="2219B33"/>
    <w:multiLevelType w:val="hybridMultilevel"/>
    <w:lvl w:ilvl="0">
      <w:lvlJc w:val="left"/>
      <w:lvlText w:val="(%1)"/>
      <w:numFmt w:val="decimal"/>
      <w:start w:val="1"/>
    </w:lvl>
    <w:lvl w:ilvl="1">
      <w:lvlJc w:val="left"/>
      <w:lvlText w:val="%2"/>
      <w:numFmt w:val="lowerLetter"/>
      <w:start w:val="1"/>
    </w:lvl>
  </w:abstractNum>
  <w:abstractNum w:abstractNumId="363">
    <w:nsid w:val="773BFBDD"/>
    <w:multiLevelType w:val="hybridMultilevel"/>
    <w:lvl w:ilvl="0">
      <w:lvlJc w:val="left"/>
      <w:lvlText w:val="%1"/>
      <w:numFmt w:val="decimal"/>
      <w:start w:val="1"/>
    </w:lvl>
    <w:lvl w:ilvl="1">
      <w:lvlJc w:val="left"/>
      <w:lvlText w:val="(%2)"/>
      <w:numFmt w:val="lowerLetter"/>
      <w:start w:val="12"/>
    </w:lvl>
  </w:abstractNum>
  <w:abstractNum w:abstractNumId="364">
    <w:nsid w:val="2C7C62C2"/>
    <w:multiLevelType w:val="hybridMultilevel"/>
    <w:lvl w:ilvl="0">
      <w:lvlJc w:val="left"/>
      <w:lvlText w:val="(%1)"/>
      <w:numFmt w:val="decimal"/>
      <w:start w:val="60"/>
    </w:lvl>
    <w:lvl w:ilvl="1">
      <w:lvlJc w:val="left"/>
      <w:lvlText w:val="(%2)"/>
      <w:numFmt w:val="lowerLetter"/>
      <w:start w:val="13"/>
    </w:lvl>
  </w:abstractNum>
  <w:abstractNum w:abstractNumId="365">
    <w:nsid w:val="1A54D7BC"/>
    <w:multiLevelType w:val="hybridMultilevel"/>
    <w:lvl w:ilvl="0">
      <w:lvlJc w:val="left"/>
      <w:lvlText w:val="(%1)"/>
      <w:numFmt w:val="lowerRoman"/>
      <w:start w:val="2"/>
    </w:lvl>
  </w:abstractNum>
  <w:abstractNum w:abstractNumId="366">
    <w:nsid w:val="42E57EF7"/>
    <w:multiLevelType w:val="hybridMultilevel"/>
    <w:lvl w:ilvl="0">
      <w:lvlJc w:val="left"/>
      <w:lvlText w:val="(%1)"/>
      <w:numFmt w:val="lowerRoman"/>
      <w:start w:val="1"/>
    </w:lvl>
  </w:abstractNum>
  <w:abstractNum w:abstractNumId="367">
    <w:nsid w:val="33537CED"/>
    <w:multiLevelType w:val="hybridMultilevel"/>
    <w:lvl w:ilvl="0">
      <w:lvlJc w:val="left"/>
      <w:lvlText w:val="(%1)"/>
      <w:numFmt w:val="lowerRoman"/>
      <w:start w:val="1"/>
    </w:lvl>
  </w:abstractNum>
  <w:abstractNum w:abstractNumId="368">
    <w:nsid w:val="27514ADE"/>
    <w:multiLevelType w:val="hybridMultilevel"/>
    <w:lvl w:ilvl="0">
      <w:lvlJc w:val="left"/>
      <w:lvlText w:val="(%1)"/>
      <w:numFmt w:val="lowerRoman"/>
      <w:start w:val="1"/>
    </w:lvl>
  </w:abstractNum>
  <w:abstractNum w:abstractNumId="369">
    <w:nsid w:val="57071613"/>
    <w:multiLevelType w:val="hybridMultilevel"/>
    <w:lvl w:ilvl="0">
      <w:lvlJc w:val="left"/>
      <w:lvlText w:val="1"/>
      <w:numFmt w:val="bullet"/>
      <w:start w:val="1"/>
    </w:lvl>
  </w:abstractNum>
  <w:abstractNum w:abstractNumId="370">
    <w:nsid w:val="5293BFEF"/>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2022-08-03T16:08:24Z</dcterms:created>
  <dcterms:modified xsi:type="dcterms:W3CDTF">2022-08-03T16:08:24Z</dcterms:modified>
</cp:coreProperties>
</file>