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pPr>
      <w:r>
        <w:rPr>
          <w:rFonts w:ascii="Times New Roman;serif" w:hAnsi="Times New Roman;serif"/>
          <w:b w:val="false"/>
          <w:color w:val="000000"/>
          <w:sz w:val="20"/>
        </w:rPr>
        <w:t xml:space="preserve">For the transition period from </w:t>
      </w:r>
      <w:r>
        <w:rPr>
          <w:color w:val="000000"/>
          <w:u w:val="single"/>
        </w:rPr>
        <w:t>                    </w:t>
      </w:r>
      <w:r>
        <w:rPr>
          <w:rFonts w:ascii="Times New Roman;serif" w:hAnsi="Times New Roman;serif"/>
          <w:b w:val="false"/>
          <w:color w:val="000000"/>
          <w:sz w:val="20"/>
        </w:rPr>
        <w:t xml:space="preserve">to </w:t>
      </w:r>
      <w:r>
        <w:rPr>
          <w:color w:val="000000"/>
          <w:u w:val="single"/>
        </w:rPr>
        <w:t>                    </w:t>
      </w:r>
    </w:p>
    <w:p>
      <w:pPr>
        <w:pStyle w:val="TextBody"/>
        <w:bidi w:val="0"/>
        <w:spacing w:before="0" w:after="0"/>
        <w:jc w:val="left"/>
        <w:rPr/>
      </w:pPr>
      <w:r>
        <w:rPr/>
      </w:r>
    </w:p>
    <w:p>
      <w:pPr>
        <w:pStyle w:val="TextBody"/>
        <w:bidi w:val="0"/>
        <w:spacing w:lineRule="auto" w:line="288" w:before="60" w:after="283"/>
        <w:jc w:val="center"/>
        <w:rPr/>
      </w:pPr>
      <w:r>
        <w:rPr>
          <w:rFonts w:ascii="Times New Roman;serif" w:hAnsi="Times New Roman;serif"/>
          <w:b w:val="false"/>
          <w:color w:val="000000"/>
          <w:sz w:val="20"/>
        </w:rPr>
        <w:t>Commission File Number:</w:t>
      </w:r>
      <w:r>
        <w:rPr>
          <w:color w:val="000000"/>
        </w:rPr>
        <w:t xml:space="preserve"> </w:t>
      </w:r>
      <w:r>
        <w:rPr>
          <w:rFonts w:ascii="Times New Roman;serif" w:hAnsi="Times New Roman;serif"/>
          <w:b/>
          <w:color w:val="000000"/>
          <w:sz w:val="20"/>
        </w:rPr>
        <w:t xml:space="preserve">001-14989 </w:t>
      </w:r>
    </w:p>
    <w:p>
      <w:pPr>
        <w:pStyle w:val="TextBody"/>
        <w:bidi w:val="0"/>
        <w:spacing w:lineRule="auto" w:line="288" w:before="60" w:after="283"/>
        <w:jc w:val="center"/>
        <w:rPr>
          <w:rFonts w:ascii="Times New Roman;serif" w:hAnsi="Times New Roman;serif"/>
          <w:b/>
          <w:color w:val="000000"/>
          <w:sz w:val="40"/>
        </w:rPr>
      </w:pPr>
      <w:r>
        <w:rPr>
          <w:rFonts w:ascii="Times New Roman;serif" w:hAnsi="Times New Roman;serif"/>
          <w:b/>
          <w:color w:val="000000"/>
          <w:sz w:val="40"/>
        </w:rPr>
        <w:t>WESCO International, Inc.</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704" w:type="dxa"/>
        <w:jc w:val="center"/>
        <w:tblInd w:w="0" w:type="dxa"/>
        <w:tblLayout w:type="fixed"/>
        <w:tblCellMar>
          <w:top w:w="28" w:type="dxa"/>
          <w:left w:w="28" w:type="dxa"/>
          <w:bottom w:w="28" w:type="dxa"/>
          <w:right w:w="28" w:type="dxa"/>
        </w:tblCellMar>
      </w:tblPr>
      <w:tblGrid>
        <w:gridCol w:w="538"/>
        <w:gridCol w:w="474"/>
        <w:gridCol w:w="474"/>
        <w:gridCol w:w="474"/>
        <w:gridCol w:w="474"/>
        <w:gridCol w:w="488"/>
        <w:gridCol w:w="109"/>
        <w:gridCol w:w="109"/>
        <w:gridCol w:w="109"/>
        <w:gridCol w:w="424"/>
        <w:gridCol w:w="424"/>
        <w:gridCol w:w="607"/>
      </w:tblGrid>
      <w:tr>
        <w:trPr/>
        <w:tc>
          <w:tcPr>
            <w:tcW w:w="53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25-1723342</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225 West Station Square Drive</w:t>
              <w:br/>
              <w:t>Suite 700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15219</w:t>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Pittsburgh,</w:t>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(412) 454-2200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706" w:type="dxa"/>
        <w:jc w:val="center"/>
        <w:tblInd w:w="0" w:type="dxa"/>
        <w:tblLayout w:type="fixed"/>
        <w:tblCellMar>
          <w:top w:w="28" w:type="dxa"/>
          <w:left w:w="28" w:type="dxa"/>
          <w:bottom w:w="28" w:type="dxa"/>
          <w:right w:w="28" w:type="dxa"/>
        </w:tblCellMar>
      </w:tblPr>
      <w:tblGrid>
        <w:gridCol w:w="1090"/>
        <w:gridCol w:w="959"/>
        <w:gridCol w:w="965"/>
        <w:gridCol w:w="109"/>
        <w:gridCol w:w="109"/>
        <w:gridCol w:w="109"/>
        <w:gridCol w:w="519"/>
        <w:gridCol w:w="519"/>
        <w:gridCol w:w="521"/>
        <w:gridCol w:w="109"/>
        <w:gridCol w:w="109"/>
        <w:gridCol w:w="109"/>
        <w:gridCol w:w="1019"/>
        <w:gridCol w:w="1019"/>
        <w:gridCol w:w="1441"/>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20" w:after="283"/>
        <w:ind w:left="0" w:right="0" w:firstLine="315"/>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ind w:left="0" w:right="0" w:firstLine="315"/>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375"/>
        <w:gridCol w:w="1081"/>
        <w:gridCol w:w="1029"/>
        <w:gridCol w:w="215"/>
        <w:gridCol w:w="215"/>
        <w:gridCol w:w="215"/>
        <w:gridCol w:w="215"/>
        <w:gridCol w:w="215"/>
        <w:gridCol w:w="215"/>
        <w:gridCol w:w="215"/>
        <w:gridCol w:w="215"/>
        <w:gridCol w:w="215"/>
        <w:gridCol w:w="215"/>
        <w:gridCol w:w="215"/>
        <w:gridCol w:w="215"/>
        <w:gridCol w:w="1252"/>
        <w:gridCol w:w="1252"/>
        <w:gridCol w:w="1256"/>
        <w:gridCol w:w="109"/>
        <w:gridCol w:w="109"/>
        <w:gridCol w:w="162"/>
      </w:tblGrid>
      <w:tr>
        <w:trPr/>
        <w:tc>
          <w:tcPr>
            <w:tcW w:w="137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5" w:type="dxa"/>
            <w:gridSpan w:val="18"/>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7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6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As of July 29, 2026, 48,732,854 shares of common stock, $0.01 par value, of the registrant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06" w:type="dxa"/>
        <w:jc w:val="center"/>
        <w:tblInd w:w="0" w:type="dxa"/>
        <w:tblLayout w:type="fixed"/>
        <w:tblCellMar>
          <w:top w:w="28" w:type="dxa"/>
          <w:left w:w="28" w:type="dxa"/>
          <w:bottom w:w="28" w:type="dxa"/>
          <w:right w:w="28" w:type="dxa"/>
        </w:tblCellMar>
      </w:tblPr>
      <w:tblGrid>
        <w:gridCol w:w="2896"/>
        <w:gridCol w:w="2545"/>
        <w:gridCol w:w="2554"/>
        <w:gridCol w:w="149"/>
        <w:gridCol w:w="149"/>
        <w:gridCol w:w="213"/>
      </w:tblGrid>
      <w:tr>
        <w:trPr/>
        <w:tc>
          <w:tcPr>
            <w:tcW w:w="2896"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I—FINANCIAL INFORMATION</w:t>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427c5d11d74e81ac5f1a87e3d1bdfa_13">
              <w:r>
                <w:rPr>
                  <w:rStyle w:val="InternetLink"/>
                  <w:rFonts w:ascii="Times New Roman;serif" w:hAnsi="Times New Roman;serif"/>
                  <w:b w:val="false"/>
                  <w:color w:val="0000FF"/>
                  <w:sz w:val="20"/>
                  <w:u w:val="single"/>
                </w:rPr>
                <w:t>Item 1.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427c5d11d74e81ac5f1a87e3d1bdfa_13">
              <w:r>
                <w:rPr>
                  <w:rStyle w:val="InternetLink"/>
                  <w:rFonts w:ascii="Times New Roman;serif" w:hAnsi="Times New Roman;serif"/>
                  <w:b w:val="false"/>
                  <w:color w:val="0000FF"/>
                  <w:sz w:val="20"/>
                  <w:u w:val="single"/>
                </w:rPr>
                <w:t>2</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FF"/>
              </w:rPr>
            </w:pPr>
            <w:r>
              <w:rPr>
                <w:color w:val="0000FF"/>
              </w:rPr>
              <w:t> </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427c5d11d74e81ac5f1a87e3d1bdfa_79">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427c5d11d74e81ac5f1a87e3d1bdfa_79">
              <w:r>
                <w:rPr>
                  <w:rStyle w:val="InternetLink"/>
                  <w:rFonts w:ascii="Times New Roman;serif" w:hAnsi="Times New Roman;serif"/>
                  <w:b w:val="false"/>
                  <w:color w:val="0000FF"/>
                  <w:sz w:val="20"/>
                  <w:u w:val="single"/>
                </w:rPr>
                <w:t>24</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427c5d11d74e81ac5f1a87e3d1bdfa_127">
              <w:r>
                <w:rPr>
                  <w:rStyle w:val="InternetLink"/>
                  <w:rFonts w:ascii="Times New Roman;serif" w:hAnsi="Times New Roman;serif"/>
                  <w:b w:val="false"/>
                  <w:color w:val="0000FF"/>
                  <w:sz w:val="20"/>
                  <w:u w:val="singl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427c5d11d74e81ac5f1a87e3d1bdfa_127">
              <w:r>
                <w:rPr>
                  <w:rStyle w:val="InternetLink"/>
                  <w:rFonts w:ascii="Times New Roman;serif" w:hAnsi="Times New Roman;serif"/>
                  <w:b w:val="false"/>
                  <w:color w:val="0000FF"/>
                  <w:sz w:val="20"/>
                  <w:u w:val="single"/>
                </w:rPr>
                <w:t>42</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427c5d11d74e81ac5f1a87e3d1bdfa_130">
              <w:r>
                <w:rPr>
                  <w:rStyle w:val="InternetLink"/>
                  <w:rFonts w:ascii="Times New Roman;serif" w:hAnsi="Times New Roman;serif"/>
                  <w:b w:val="false"/>
                  <w:color w:val="0000FF"/>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427c5d11d74e81ac5f1a87e3d1bdfa_130">
              <w:r>
                <w:rPr>
                  <w:rStyle w:val="InternetLink"/>
                  <w:rFonts w:ascii="Times New Roman;serif" w:hAnsi="Times New Roman;serif"/>
                  <w:b w:val="false"/>
                  <w:color w:val="0000FF"/>
                  <w:sz w:val="20"/>
                  <w:u w:val="single"/>
                </w:rPr>
                <w:t>42</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II—OTHER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427c5d11d74e81ac5f1a87e3d1bdfa_136">
              <w:r>
                <w:rPr>
                  <w:rStyle w:val="InternetLink"/>
                  <w:rFonts w:ascii="Times New Roman;serif" w:hAnsi="Times New Roman;serif"/>
                  <w:b w:val="false"/>
                  <w:color w:val="0000FF"/>
                  <w:sz w:val="20"/>
                  <w:u w:val="singl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427c5d11d74e81ac5f1a87e3d1bdfa_136">
              <w:r>
                <w:rPr>
                  <w:rStyle w:val="InternetLink"/>
                  <w:rFonts w:ascii="Times New Roman;serif" w:hAnsi="Times New Roman;serif"/>
                  <w:b w:val="false"/>
                  <w:color w:val="0000FF"/>
                  <w:sz w:val="20"/>
                  <w:u w:val="single"/>
                </w:rPr>
                <w:t>44</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427c5d11d74e81ac5f1a87e3d1bdfa_139">
              <w:r>
                <w:rPr>
                  <w:rStyle w:val="InternetLink"/>
                  <w:rFonts w:ascii="Times New Roman;serif" w:hAnsi="Times New Roman;serif"/>
                  <w:b w:val="false"/>
                  <w:color w:val="0000FF"/>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427c5d11d74e81ac5f1a87e3d1bdfa_139">
              <w:r>
                <w:rPr>
                  <w:rStyle w:val="InternetLink"/>
                  <w:rFonts w:ascii="Times New Roman;serif" w:hAnsi="Times New Roman;serif"/>
                  <w:b w:val="false"/>
                  <w:color w:val="0000FF"/>
                  <w:sz w:val="20"/>
                  <w:u w:val="single"/>
                </w:rPr>
                <w:t>44</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427c5d11d74e81ac5f1a87e3d1bdfa_142">
              <w:r>
                <w:rPr>
                  <w:rStyle w:val="InternetLink"/>
                  <w:rFonts w:ascii="Times New Roman;serif" w:hAnsi="Times New Roman;serif"/>
                  <w:b w:val="false"/>
                  <w:color w:val="0000FF"/>
                  <w:sz w:val="20"/>
                  <w:u w:val="single"/>
                </w:rPr>
                <w:t>Item 2. 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427c5d11d74e81ac5f1a87e3d1bdfa_142">
              <w:r>
                <w:rPr>
                  <w:rStyle w:val="InternetLink"/>
                  <w:rFonts w:ascii="Times New Roman;serif" w:hAnsi="Times New Roman;serif"/>
                  <w:b w:val="false"/>
                  <w:color w:val="0000FF"/>
                  <w:sz w:val="20"/>
                  <w:u w:val="single"/>
                </w:rPr>
                <w:t>44</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427c5d11d74e81ac5f1a87e3d1bdfa_148">
              <w:r>
                <w:rPr>
                  <w:rStyle w:val="InternetLink"/>
                  <w:rFonts w:ascii="Times New Roman;serif" w:hAnsi="Times New Roman;serif"/>
                  <w:b w:val="false"/>
                  <w:color w:val="0000FF"/>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427c5d11d74e81ac5f1a87e3d1bdfa_148">
              <w:r>
                <w:rPr>
                  <w:rStyle w:val="InternetLink"/>
                  <w:rFonts w:ascii="Times New Roman;serif" w:hAnsi="Times New Roman;serif"/>
                  <w:b w:val="false"/>
                  <w:color w:val="0000FF"/>
                  <w:sz w:val="20"/>
                  <w:u w:val="single"/>
                </w:rPr>
                <w:t>45</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427c5d11d74e81ac5f1a87e3d1bdfa_151">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427c5d11d74e81ac5f1a87e3d1bdfa_151">
              <w:r>
                <w:rPr>
                  <w:rStyle w:val="InternetLink"/>
                  <w:rFonts w:ascii="Times New Roman;serif" w:hAnsi="Times New Roman;serif"/>
                  <w:b w:val="false"/>
                  <w:color w:val="0000FF"/>
                  <w:sz w:val="20"/>
                  <w:u w:val="singl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0427c5d11d74e81ac5f1a87e3d1bdfa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12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interim financial information required by this item is set forth in the unaudited Condensed Consolidated Financial Statements and Notes thereto in this Quarterly Report on Form 10-Q, as follows:</w:t>
      </w:r>
    </w:p>
    <w:tbl>
      <w:tblPr>
        <w:tblW w:w="7800" w:type="dxa"/>
        <w:jc w:val="left"/>
        <w:tblInd w:w="0" w:type="dxa"/>
        <w:tblLayout w:type="fixed"/>
        <w:tblCellMar>
          <w:top w:w="28" w:type="dxa"/>
          <w:left w:w="28" w:type="dxa"/>
          <w:bottom w:w="28" w:type="dxa"/>
          <w:right w:w="28" w:type="dxa"/>
        </w:tblCellMar>
      </w:tblPr>
      <w:tblGrid>
        <w:gridCol w:w="2626"/>
        <w:gridCol w:w="2311"/>
        <w:gridCol w:w="2322"/>
        <w:gridCol w:w="158"/>
        <w:gridCol w:w="158"/>
        <w:gridCol w:w="225"/>
      </w:tblGrid>
      <w:tr>
        <w:trPr/>
        <w:tc>
          <w:tcPr>
            <w:tcW w:w="262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427c5d11d74e81ac5f1a87e3d1bdfa_16">
              <w:r>
                <w:rPr>
                  <w:rStyle w:val="InternetLink"/>
                  <w:rFonts w:ascii="Times New Roman;serif" w:hAnsi="Times New Roman;serif"/>
                  <w:b w:val="false"/>
                  <w:color w:val="0000FF"/>
                  <w:sz w:val="20"/>
                  <w:u w:val="single"/>
                </w:rPr>
                <w:t>Condensed Consolidated Balance Sheets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427c5d11d74e81ac5f1a87e3d1bdfa_16">
              <w:r>
                <w:rPr>
                  <w:rStyle w:val="InternetLink"/>
                  <w:rFonts w:ascii="Times New Roman;serif" w:hAnsi="Times New Roman;serif"/>
                  <w:b w:val="false"/>
                  <w:color w:val="0000FF"/>
                  <w:sz w:val="20"/>
                  <w:u w:val="single"/>
                </w:rPr>
                <w:t>3</w:t>
              </w:r>
            </w:hyperlink>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427c5d11d74e81ac5f1a87e3d1bdfa_19">
              <w:r>
                <w:rPr>
                  <w:rStyle w:val="InternetLink"/>
                  <w:rFonts w:ascii="Times New Roman;serif" w:hAnsi="Times New Roman;serif"/>
                  <w:b w:val="false"/>
                  <w:color w:val="0000FF"/>
                  <w:sz w:val="20"/>
                  <w:u w:val="single"/>
                </w:rPr>
                <w:t>Condensed Consolidated Statements of Income and Comprehensive Income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427c5d11d74e81ac5f1a87e3d1bdfa_19">
              <w:r>
                <w:rPr>
                  <w:rStyle w:val="InternetLink"/>
                  <w:rFonts w:ascii="Times New Roman;serif" w:hAnsi="Times New Roman;serif"/>
                  <w:b w:val="false"/>
                  <w:color w:val="0000FF"/>
                  <w:sz w:val="20"/>
                  <w:u w:val="single"/>
                </w:rPr>
                <w:t>4</w:t>
              </w:r>
            </w:hyperlink>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427c5d11d74e81ac5f1a87e3d1bdfa_22">
              <w:r>
                <w:rPr>
                  <w:rStyle w:val="InternetLink"/>
                  <w:rFonts w:ascii="Times New Roman;serif" w:hAnsi="Times New Roman;serif"/>
                  <w:b w:val="false"/>
                  <w:color w:val="0000FF"/>
                  <w:sz w:val="20"/>
                  <w:u w:val="single"/>
                </w:rPr>
                <w:t>Condensed Consolidated Statements of Cash Flows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427c5d11d74e81ac5f1a87e3d1bdfa_22">
              <w:r>
                <w:rPr>
                  <w:rStyle w:val="InternetLink"/>
                  <w:rFonts w:ascii="Times New Roman;serif" w:hAnsi="Times New Roman;serif"/>
                  <w:b w:val="false"/>
                  <w:color w:val="0000FF"/>
                  <w:sz w:val="20"/>
                  <w:u w:val="single"/>
                </w:rPr>
                <w:t>5</w:t>
              </w:r>
            </w:hyperlink>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427c5d11d74e81ac5f1a87e3d1bdfa_25">
              <w:r>
                <w:rPr>
                  <w:rStyle w:val="InternetLink"/>
                  <w:rFonts w:ascii="Times New Roman;serif" w:hAnsi="Times New Roman;serif"/>
                  <w:b w:val="false"/>
                  <w:color w:val="0000FF"/>
                  <w:sz w:val="20"/>
                  <w:u w:val="single"/>
                </w:rPr>
                <w:t>Condensed Consolidated Statements of Equity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427c5d11d74e81ac5f1a87e3d1bdfa_25">
              <w:r>
                <w:rPr>
                  <w:rStyle w:val="InternetLink"/>
                  <w:rFonts w:ascii="Times New Roman;serif" w:hAnsi="Times New Roman;serif"/>
                  <w:b w:val="false"/>
                  <w:color w:val="0000FF"/>
                  <w:sz w:val="20"/>
                  <w:u w:val="single"/>
                </w:rPr>
                <w:t>6</w:t>
              </w:r>
            </w:hyperlink>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0427c5d11d74e81ac5f1a87e3d1bdfa_28">
              <w:r>
                <w:rPr>
                  <w:rStyle w:val="InternetLink"/>
                  <w:rFonts w:ascii="Times New Roman;serif" w:hAnsi="Times New Roman;serif"/>
                  <w:b w:val="false"/>
                  <w:color w:val="0000FF"/>
                  <w:sz w:val="20"/>
                  <w:u w:val="single"/>
                </w:rPr>
                <w:t>Notes to Condensed Consolidated 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0427c5d11d74e81ac5f1a87e3d1bdfa_28">
              <w:r>
                <w:rPr>
                  <w:rStyle w:val="InternetLink"/>
                  <w:rFonts w:ascii="Times New Roman;serif" w:hAnsi="Times New Roman;serif"/>
                  <w:b w:val="false"/>
                  <w:color w:val="0000FF"/>
                  <w:sz w:val="20"/>
                  <w:u w:val="single"/>
                </w:rPr>
                <w:t>8</w:t>
              </w:r>
            </w:hyperlink>
          </w:p>
        </w:tc>
      </w:tr>
    </w:tbl>
    <w:p>
      <w:pPr>
        <w:pStyle w:val="TextBody"/>
        <w:bidi w:val="0"/>
        <w:spacing w:before="0" w:after="0"/>
        <w:ind w:left="0" w:right="0" w:firstLine="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0427c5d11d74e81ac5f1a87e3d1bdfa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47"/>
        <w:gridCol w:w="2323"/>
        <w:gridCol w:w="2280"/>
        <w:gridCol w:w="211"/>
        <w:gridCol w:w="871"/>
        <w:gridCol w:w="109"/>
        <w:gridCol w:w="109"/>
        <w:gridCol w:w="109"/>
        <w:gridCol w:w="109"/>
        <w:gridCol w:w="211"/>
        <w:gridCol w:w="871"/>
        <w:gridCol w:w="155"/>
      </w:tblGrid>
      <w:tr>
        <w:trPr/>
        <w:tc>
          <w:tcPr>
            <w:tcW w:w="2847"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 of allowance for expected credit losses of $74.8 and $63.6 in 2026 and 2025,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accounts receivable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Property, buildings and equipment, net of accumulated depreciation of $673.2 and $626.1 in 2026 and 2025,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assets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c>
          <w:tcPr>
            <w:tcW w:w="119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 and current portion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current liabilities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debt, net of debt discount and debt issuance costs of $49.8 and $48.0 in 2026 and 2025,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11,468.5 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$.01 par value; 20,000,000 shares authorized, no shares issued or outstanding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$.01 par value; 210,000,000 shares authorized, 70,348,011 and 70,004,866 shares issued and 48,732,756 and 48,658,333 shares outstanding in 2026 and 2025,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nonvoting convertible common stock, $.01 par value; 20,000,000 shares authorized, 4,339,431 issued and no shares outstanding in 2026 and 2025,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25,954,686 and 25,685,964 shares in 2026 and 2025,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WESCO International, Inc. equity</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equity</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16,494.9 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0427c5d11d74e81ac5f1a87e3d1bdfa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10"/>
        <w:gridCol w:w="1445"/>
        <w:gridCol w:w="1469"/>
        <w:gridCol w:w="211"/>
        <w:gridCol w:w="766"/>
        <w:gridCol w:w="109"/>
        <w:gridCol w:w="109"/>
        <w:gridCol w:w="109"/>
        <w:gridCol w:w="109"/>
        <w:gridCol w:w="211"/>
        <w:gridCol w:w="766"/>
        <w:gridCol w:w="109"/>
        <w:gridCol w:w="109"/>
        <w:gridCol w:w="109"/>
        <w:gridCol w:w="109"/>
        <w:gridCol w:w="211"/>
        <w:gridCol w:w="871"/>
        <w:gridCol w:w="109"/>
        <w:gridCol w:w="109"/>
        <w:gridCol w:w="109"/>
        <w:gridCol w:w="109"/>
        <w:gridCol w:w="211"/>
        <w:gridCol w:w="871"/>
        <w:gridCol w:w="155"/>
      </w:tblGrid>
      <w:tr>
        <w:trPr/>
        <w:tc>
          <w:tcPr>
            <w:tcW w:w="171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11,243.3 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WESCO International, Inc.</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Gain on redemption of Series A Preferred Stock</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benefit plan adjustments, net of tax</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Gain on redemption of Series A Preferred Stock</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common stockholders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0427c5d11d74e81ac5f1a87e3d1bdfa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8990" w:type="dxa"/>
        <w:jc w:val="center"/>
        <w:tblInd w:w="0" w:type="dxa"/>
        <w:tblLayout w:type="fixed"/>
        <w:tblCellMar>
          <w:top w:w="28" w:type="dxa"/>
          <w:left w:w="28" w:type="dxa"/>
          <w:bottom w:w="28" w:type="dxa"/>
          <w:right w:w="28" w:type="dxa"/>
        </w:tblCellMar>
      </w:tblPr>
      <w:tblGrid>
        <w:gridCol w:w="2433"/>
        <w:gridCol w:w="2136"/>
        <w:gridCol w:w="2151"/>
        <w:gridCol w:w="214"/>
        <w:gridCol w:w="626"/>
        <w:gridCol w:w="109"/>
        <w:gridCol w:w="109"/>
        <w:gridCol w:w="109"/>
        <w:gridCol w:w="109"/>
        <w:gridCol w:w="214"/>
        <w:gridCol w:w="626"/>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9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arrangement amortization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debt discount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accounts receivable </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 costs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payments, net of cash acquired</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(repayments of) proceeds from short-term debt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taxes related to net-share settlement of equity awards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preferred stock</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common stock dividends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preferred stock dividends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period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period</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w:t>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lease liabilities:</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0427c5d11d74e81ac5f1a87e3d1bdfa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8009" w:type="dxa"/>
        <w:jc w:val="center"/>
        <w:tblInd w:w="0" w:type="dxa"/>
        <w:tblLayout w:type="fixed"/>
        <w:tblCellMar>
          <w:top w:w="28" w:type="dxa"/>
          <w:left w:w="28" w:type="dxa"/>
          <w:bottom w:w="28" w:type="dxa"/>
          <w:right w:w="28" w:type="dxa"/>
        </w:tblCellMar>
      </w:tblPr>
      <w:tblGrid>
        <w:gridCol w:w="716"/>
        <w:gridCol w:w="234"/>
        <w:gridCol w:w="236"/>
        <w:gridCol w:w="109"/>
        <w:gridCol w:w="109"/>
        <w:gridCol w:w="109"/>
        <w:gridCol w:w="198"/>
        <w:gridCol w:w="381"/>
        <w:gridCol w:w="112"/>
        <w:gridCol w:w="109"/>
        <w:gridCol w:w="109"/>
        <w:gridCol w:w="109"/>
        <w:gridCol w:w="480"/>
        <w:gridCol w:w="481"/>
        <w:gridCol w:w="196"/>
        <w:gridCol w:w="109"/>
        <w:gridCol w:w="109"/>
        <w:gridCol w:w="109"/>
        <w:gridCol w:w="196"/>
        <w:gridCol w:w="406"/>
        <w:gridCol w:w="109"/>
        <w:gridCol w:w="109"/>
        <w:gridCol w:w="109"/>
        <w:gridCol w:w="109"/>
        <w:gridCol w:w="435"/>
        <w:gridCol w:w="436"/>
        <w:gridCol w:w="196"/>
        <w:gridCol w:w="109"/>
        <w:gridCol w:w="109"/>
        <w:gridCol w:w="109"/>
        <w:gridCol w:w="196"/>
        <w:gridCol w:w="406"/>
        <w:gridCol w:w="109"/>
        <w:gridCol w:w="109"/>
        <w:gridCol w:w="109"/>
        <w:gridCol w:w="109"/>
        <w:gridCol w:w="203"/>
        <w:gridCol w:w="203"/>
        <w:gridCol w:w="196"/>
        <w:gridCol w:w="109"/>
        <w:gridCol w:w="109"/>
        <w:gridCol w:w="109"/>
        <w:gridCol w:w="196"/>
        <w:gridCol w:w="691"/>
        <w:gridCol w:w="109"/>
        <w:gridCol w:w="109"/>
        <w:gridCol w:w="109"/>
        <w:gridCol w:w="109"/>
        <w:gridCol w:w="196"/>
        <w:gridCol w:w="691"/>
        <w:gridCol w:w="109"/>
        <w:gridCol w:w="109"/>
        <w:gridCol w:w="109"/>
        <w:gridCol w:w="109"/>
        <w:gridCol w:w="196"/>
        <w:gridCol w:w="706"/>
        <w:gridCol w:w="109"/>
        <w:gridCol w:w="109"/>
        <w:gridCol w:w="109"/>
        <w:gridCol w:w="109"/>
        <w:gridCol w:w="488"/>
        <w:gridCol w:w="488"/>
        <w:gridCol w:w="196"/>
        <w:gridCol w:w="327"/>
        <w:gridCol w:w="338"/>
        <w:gridCol w:w="674"/>
        <w:gridCol w:w="189"/>
        <w:gridCol w:w="327"/>
        <w:gridCol w:w="272"/>
        <w:gridCol w:w="792"/>
        <w:gridCol w:w="152"/>
        <w:gridCol w:w="327"/>
        <w:gridCol w:w="196"/>
        <w:gridCol w:w="691"/>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70,004,866 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(25,685,964)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(399.5)</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including excise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vesting of restricted stock units and retirement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(53,762)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attributable to WESCO International,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70,162,020 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(25,802,916)</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(426.4)</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187,102 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(79,542)</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including excise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(72,228)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vesting of restricted stock units and retirement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WESCO International,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70,348,011 </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1,536.3 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5,820.3 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(1,675.8)</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(25,954,686)</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8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(461.7)</w:t>
            </w:r>
          </w:p>
        </w:tc>
        <w:tc>
          <w:tcPr>
            <w:tcW w:w="15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5,212.6 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0427c5d11d74e81ac5f1a87e3d1bdfa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8264" w:type="dxa"/>
        <w:jc w:val="center"/>
        <w:tblInd w:w="0" w:type="dxa"/>
        <w:tblLayout w:type="fixed"/>
        <w:tblCellMar>
          <w:top w:w="28" w:type="dxa"/>
          <w:left w:w="28" w:type="dxa"/>
          <w:bottom w:w="28" w:type="dxa"/>
          <w:right w:w="28" w:type="dxa"/>
        </w:tblCellMar>
      </w:tblPr>
      <w:tblGrid>
        <w:gridCol w:w="716"/>
        <w:gridCol w:w="234"/>
        <w:gridCol w:w="236"/>
        <w:gridCol w:w="109"/>
        <w:gridCol w:w="109"/>
        <w:gridCol w:w="109"/>
        <w:gridCol w:w="198"/>
        <w:gridCol w:w="381"/>
        <w:gridCol w:w="112"/>
        <w:gridCol w:w="109"/>
        <w:gridCol w:w="109"/>
        <w:gridCol w:w="109"/>
        <w:gridCol w:w="480"/>
        <w:gridCol w:w="481"/>
        <w:gridCol w:w="196"/>
        <w:gridCol w:w="109"/>
        <w:gridCol w:w="109"/>
        <w:gridCol w:w="109"/>
        <w:gridCol w:w="196"/>
        <w:gridCol w:w="406"/>
        <w:gridCol w:w="109"/>
        <w:gridCol w:w="109"/>
        <w:gridCol w:w="109"/>
        <w:gridCol w:w="109"/>
        <w:gridCol w:w="435"/>
        <w:gridCol w:w="436"/>
        <w:gridCol w:w="196"/>
        <w:gridCol w:w="109"/>
        <w:gridCol w:w="109"/>
        <w:gridCol w:w="109"/>
        <w:gridCol w:w="196"/>
        <w:gridCol w:w="406"/>
        <w:gridCol w:w="109"/>
        <w:gridCol w:w="109"/>
        <w:gridCol w:w="109"/>
        <w:gridCol w:w="109"/>
        <w:gridCol w:w="330"/>
        <w:gridCol w:w="331"/>
        <w:gridCol w:w="196"/>
        <w:gridCol w:w="109"/>
        <w:gridCol w:w="109"/>
        <w:gridCol w:w="109"/>
        <w:gridCol w:w="196"/>
        <w:gridCol w:w="691"/>
        <w:gridCol w:w="109"/>
        <w:gridCol w:w="109"/>
        <w:gridCol w:w="109"/>
        <w:gridCol w:w="109"/>
        <w:gridCol w:w="196"/>
        <w:gridCol w:w="691"/>
        <w:gridCol w:w="109"/>
        <w:gridCol w:w="109"/>
        <w:gridCol w:w="109"/>
        <w:gridCol w:w="109"/>
        <w:gridCol w:w="196"/>
        <w:gridCol w:w="706"/>
        <w:gridCol w:w="109"/>
        <w:gridCol w:w="109"/>
        <w:gridCol w:w="109"/>
        <w:gridCol w:w="109"/>
        <w:gridCol w:w="488"/>
        <w:gridCol w:w="488"/>
        <w:gridCol w:w="196"/>
        <w:gridCol w:w="327"/>
        <w:gridCol w:w="338"/>
        <w:gridCol w:w="674"/>
        <w:gridCol w:w="189"/>
        <w:gridCol w:w="327"/>
        <w:gridCol w:w="272"/>
        <w:gridCol w:w="792"/>
        <w:gridCol w:w="152"/>
        <w:gridCol w:w="327"/>
        <w:gridCol w:w="196"/>
        <w:gridCol w:w="691"/>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69,627,398 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(25,176,234)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(547.2)</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including excise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vesting of restricted stock units and retirement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(89,463)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attributable to WESCO International,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69,795,165 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(25,334,515)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(531.4)</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9,181 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including excise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vesting of restricted stock units and retirement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WESCO International,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redemption of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69,803,944 </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5,205.0 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(1,546.8)</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(25,483,375)</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8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(381.5)</w:t>
            </w:r>
          </w:p>
        </w:tc>
        <w:tc>
          <w:tcPr>
            <w:tcW w:w="15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4,755.0 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International, Inc. (“Wesco International”) and its subsidiaries (collectively, “Wesco” or the “Company”), headquartered in Pittsburgh, Pennsylvania, is a leading provider of business-to-business distribution, logistics services and supply chain solutions.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operating segments comprising three strategic business units consisting of Electrical &amp; Electronic Solutions (“EES”), Communications &amp; Security Solutions (“CSS”) and Utility &amp; Broadband Solutions (“UBS”).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ACCOUNTING POLICIES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of Wesco have been prepared in accordance with Rule 10-01 of Regulation S-X of the Securities and Exchange Commission (the “SEC”). The unaudited condensed consolidated financial information should be read in conjunction with the audited Consolidated Financial Statements and Notes thereto included in WESCO International, Inc.’s Annual Report on Form 10-K for the year ended December 31, 2025, as filed with the SEC on February 13, 2026. The Condensed Consolidated Balance Sheet at December 31, 2025 was derived from the audited Consolidated Financial Statements as of that date, but does not include all the disclosures required by accounting principles generally accepted in the United States of America. </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Balance Sheet as of June 30, 2026, the unaudited Condensed Consolidated Statements of Income and Comprehensive Income, the unaudited Condensed Consolidated Statements of Stockholders’ Equity for the three and six months ended June 30, 2026 and 2025, and the unaudited Condensed Consolidated Statements of Cash Flows for the six months ended June 30, 2026 and 2025, respectively, in the opinion of management, have been prepared on the same basis as the audited Consolidated Financial Statements and include all adjustments necessary for the fair statement of the results of the interim periods presented herein. All adjustments reflected in the unaudited condensed consolidated financial information are of a normal recurring nature unless indicated. The results for the interim periods presented herein are not necessarily indicative of the results to be expected for the full year.</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Statement of Cash Flows for the six months ended June 30, 2025, includes certain reclassifications to previously reported amounts to conform to the current period's presentation. Such reclassifications had no impact on the totals of operating, investing and financing cash flow activities.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w:t>
      </w:r>
    </w:p>
    <w:p>
      <w:pPr>
        <w:pStyle w:val="TextBody"/>
        <w:bidi w:val="0"/>
        <w:spacing w:lineRule="auto" w:line="288" w:before="120" w:after="120"/>
        <w:ind w:left="0" w:right="0" w:firstLine="27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is intended to enhance expense disclosures, primarily by requiring disclosure of disaggregated information about certain income statement expense line items on an annual and interim basis. The amendments in this ASU are effective for fiscal years beginning after December 15, 2026 and interim periods within fiscal years beginning after December 15, 2027. The amendments in this ASU should be applied prospectively; however, retrospective application is permitted. Management is currently evaluating the impact that this accounting standard will have on its consolidated financial statements and notes thereto.</w:t>
      </w:r>
    </w:p>
    <w:p>
      <w:pPr>
        <w:pStyle w:val="TextBody"/>
        <w:bidi w:val="0"/>
        <w:spacing w:lineRule="auto" w:line="288" w:before="120" w:after="120"/>
        <w:ind w:left="0" w:right="0" w:firstLine="27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which is intended to modernize and simplify the guidance for capitalizing costs related to internal-use software by removing the stage-based approach and aligning the disclosure requirements with those for other long-lived assets. The amendments in this ASU are effective for annual periods beginning after December 15, 2027 and may be applied prospectively, retrospectively, or using a modified prospective approach. Early adoption is permitted. Management is currently evaluating the timing of the adoption of this accounting standard and the impact that it will have on its consolidated financial statements and notes thereto.</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Other pronouncements issued by the FASB or other authoritative accounting standards groups with future effective dates are either not applicable or are not expected to be material to Wesco’s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lineRule="auto" w:line="288" w:before="18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distributes products and provides services to customers globally in various end markets within its business segments. The segments operate in the United States, Canada and various other countries.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Wesco’s Net sales by geography for the periods presented:</w:t>
      </w:r>
    </w:p>
    <w:tbl>
      <w:tblPr>
        <w:tblW w:w="7470" w:type="dxa"/>
        <w:jc w:val="center"/>
        <w:tblInd w:w="0" w:type="dxa"/>
        <w:tblLayout w:type="fixed"/>
        <w:tblCellMar>
          <w:top w:w="28" w:type="dxa"/>
          <w:left w:w="28" w:type="dxa"/>
          <w:bottom w:w="28" w:type="dxa"/>
          <w:right w:w="28" w:type="dxa"/>
        </w:tblCellMar>
      </w:tblPr>
      <w:tblGrid>
        <w:gridCol w:w="750"/>
        <w:gridCol w:w="569"/>
        <w:gridCol w:w="571"/>
        <w:gridCol w:w="211"/>
        <w:gridCol w:w="766"/>
        <w:gridCol w:w="109"/>
        <w:gridCol w:w="109"/>
        <w:gridCol w:w="109"/>
        <w:gridCol w:w="109"/>
        <w:gridCol w:w="211"/>
        <w:gridCol w:w="766"/>
        <w:gridCol w:w="109"/>
        <w:gridCol w:w="109"/>
        <w:gridCol w:w="109"/>
        <w:gridCol w:w="109"/>
        <w:gridCol w:w="211"/>
        <w:gridCol w:w="871"/>
        <w:gridCol w:w="109"/>
        <w:gridCol w:w="109"/>
        <w:gridCol w:w="109"/>
        <w:gridCol w:w="109"/>
        <w:gridCol w:w="211"/>
        <w:gridCol w:w="871"/>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Canada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International</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by geography</w:t>
            </w:r>
            <w:r>
              <w:rPr>
                <w:rFonts w:ascii="Times New Roman;serif" w:hAnsi="Times New Roman;serif"/>
                <w:b w:val="false"/>
                <w:color w:val="000000"/>
                <w:sz w:val="13"/>
              </w:rPr>
              <w:t>(2)</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11,243.3 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No individual country's net sales are greater than 10% of total Net sales.</w:t>
      </w:r>
    </w:p>
    <w:p>
      <w:pPr>
        <w:pStyle w:val="TextBody"/>
        <w:bidi w:val="0"/>
        <w:spacing w:lineRule="auto" w:line="288" w:before="60" w:after="60"/>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Wesco attributes revenues from external customers to individual countries on the basis of point of sale.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terms of certain contractual arrangements, Wesco bills or receives payment from its customers in advance of satisfying the respective performance obligation. Such advance billings or payments are recorded as deferred revenue and recognized as revenue when the performance obligation has been satisfied and control has transferred to the customer, which is generally upon shipment. Revenue associated with these arrangements is generally recognized within a year or less from the date of the advance billing or payment receipt. At June 30, 2026, December 31, 2025 and December 31, 2024, $208.9 million, $151.4 million and $141.8 million, respectively, of deferred revenue was recorded as a component of Other current liabilities in the Condensed Consolidated Balance Sheets. At June 30, 2026, $100.2 million of deferred revenue was recorded as a component of Other noncurrent liabilities in the Condensed Consolidated Balance Sheet. The deferred revenue recorded as a component of Other noncurrent liabilities in the Condensed Consolidated Balance Sheets at December 31, 2025 and December 31, 2024 was not material.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amount of revenue that was recognized in the periods presented that was included in the deferred revenue balance at the beginning of the period:</w:t>
      </w:r>
    </w:p>
    <w:tbl>
      <w:tblPr>
        <w:tblW w:w="6135" w:type="dxa"/>
        <w:jc w:val="center"/>
        <w:tblInd w:w="0" w:type="dxa"/>
        <w:tblLayout w:type="fixed"/>
        <w:tblCellMar>
          <w:top w:w="28" w:type="dxa"/>
          <w:left w:w="28" w:type="dxa"/>
          <w:bottom w:w="28" w:type="dxa"/>
          <w:right w:w="28" w:type="dxa"/>
        </w:tblCellMar>
      </w:tblPr>
      <w:tblGrid>
        <w:gridCol w:w="647"/>
        <w:gridCol w:w="566"/>
        <w:gridCol w:w="572"/>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Wesco’s revenues are adjusted for variable consideration, which includes customer volume rebates, returns and discounts. Wesco measures variable consideration by estimating expected outcomes using analysis and inputs based upon historical data, as well as current and forecasted information. Variable consideration is reviewed by management on a monthly basis and revenue is adjusted as necessary. Variable consideration reduced revenue by approximately $127.6 million and $109.4 million, for the three months ended June 30, 2026 and 2025, respectively, and by approximately $242.8 million and $222.4 million for the six months ended June 30, 2026 and 2025, respectively. As of June 30, 2026 and December 31, 2025, the Company's estimated product return obligation was $38.9 million and $33.7 million, respectively.</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Billings to customers for shipping and handling are recognized in Net sales. Wesco has elected to recognize shipping and handling costs as a fulfillment cost. Shipping and handling costs recorded as a component of Selling, general and administrative expenses totaled $95.6 million and $83.9 million for the three months ended June 30, 2026 and 2025, respectively, and $184.4 million and $160.4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GOODWILL AND INTANGIBLE ASSETS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the carrying value of goodwill by reportable segment, which correspond to our reporting units, for the period presented:</w:t>
      </w:r>
    </w:p>
    <w:tbl>
      <w:tblPr>
        <w:tblW w:w="8594" w:type="dxa"/>
        <w:jc w:val="center"/>
        <w:tblInd w:w="0" w:type="dxa"/>
        <w:tblLayout w:type="fixed"/>
        <w:tblCellMar>
          <w:top w:w="28" w:type="dxa"/>
          <w:left w:w="28" w:type="dxa"/>
          <w:bottom w:w="28" w:type="dxa"/>
          <w:right w:w="28" w:type="dxa"/>
        </w:tblCellMar>
      </w:tblPr>
      <w:tblGrid>
        <w:gridCol w:w="1222"/>
        <w:gridCol w:w="1073"/>
        <w:gridCol w:w="107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rate changes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firstLine="270"/>
        <w:jc w:val="both"/>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components of intangible assets are as follows:</w:t>
      </w:r>
    </w:p>
    <w:tbl>
      <w:tblPr>
        <w:tblW w:w="10318" w:type="dxa"/>
        <w:jc w:val="center"/>
        <w:tblInd w:w="0" w:type="dxa"/>
        <w:tblLayout w:type="fixed"/>
        <w:tblCellMar>
          <w:top w:w="28" w:type="dxa"/>
          <w:left w:w="28" w:type="dxa"/>
          <w:bottom w:w="28" w:type="dxa"/>
          <w:right w:w="28" w:type="dxa"/>
        </w:tblCellMar>
      </w:tblPr>
      <w:tblGrid>
        <w:gridCol w:w="539"/>
        <w:gridCol w:w="315"/>
        <w:gridCol w:w="317"/>
        <w:gridCol w:w="374"/>
        <w:gridCol w:w="361"/>
        <w:gridCol w:w="166"/>
        <w:gridCol w:w="211"/>
        <w:gridCol w:w="766"/>
        <w:gridCol w:w="109"/>
        <w:gridCol w:w="109"/>
        <w:gridCol w:w="109"/>
        <w:gridCol w:w="109"/>
        <w:gridCol w:w="246"/>
        <w:gridCol w:w="737"/>
        <w:gridCol w:w="128"/>
        <w:gridCol w:w="109"/>
        <w:gridCol w:w="109"/>
        <w:gridCol w:w="109"/>
        <w:gridCol w:w="211"/>
        <w:gridCol w:w="766"/>
        <w:gridCol w:w="109"/>
        <w:gridCol w:w="109"/>
        <w:gridCol w:w="109"/>
        <w:gridCol w:w="109"/>
        <w:gridCol w:w="211"/>
        <w:gridCol w:w="766"/>
        <w:gridCol w:w="109"/>
        <w:gridCol w:w="109"/>
        <w:gridCol w:w="109"/>
        <w:gridCol w:w="109"/>
        <w:gridCol w:w="246"/>
        <w:gridCol w:w="737"/>
        <w:gridCol w:w="128"/>
        <w:gridCol w:w="109"/>
        <w:gridCol w:w="109"/>
        <w:gridCol w:w="109"/>
        <w:gridCol w:w="211"/>
        <w:gridCol w:w="766"/>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 (in years)</w:t>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Gross Carrying Amount</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Accumulated Amortization</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Gross Carrying Amount</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Accumulated Amortization</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9 - 20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agreements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know-how</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(589.1)</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Excludes the original cost and related accumulated amortization of fully-amortized intangible assets.</w:t>
      </w:r>
    </w:p>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totaled $21.0 million and $22.3 million for the three months ended June 30, 2026 and 2025, respectively, and $42.8 million and $44.5 million for the six months ended June 30, 2026 and 2025, respectively.</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remaining estimated amortization expense for intangible assets for the next five years and thereafter:</w:t>
      </w:r>
    </w:p>
    <w:tbl>
      <w:tblPr>
        <w:tblW w:w="3719" w:type="dxa"/>
        <w:jc w:val="center"/>
        <w:tblInd w:w="0" w:type="dxa"/>
        <w:tblLayout w:type="fixed"/>
        <w:tblCellMar>
          <w:top w:w="28" w:type="dxa"/>
          <w:left w:w="28" w:type="dxa"/>
          <w:bottom w:w="28" w:type="dxa"/>
          <w:right w:w="28" w:type="dxa"/>
        </w:tblCellMar>
      </w:tblPr>
      <w:tblGrid>
        <w:gridCol w:w="978"/>
        <w:gridCol w:w="859"/>
        <w:gridCol w:w="862"/>
        <w:gridCol w:w="219"/>
        <w:gridCol w:w="641"/>
        <w:gridCol w:w="160"/>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year ending December 31,</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STOCK-BASED COMPENSATION</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Wesco’s stock-based compensation awards consist of stock options, stock-settled stock appreciation rights, restricted stock units and performance-based awards. Compensation cost for all stock-based awards is measured at fair value on the date of grant and compensation cost is recognized, net of estimated forfeitures, over the service period for awards expected to vest. The fair value of stock options and stock-settled stock appreciation rights is determined using the Black-Scholes model. The fair value of restricted stock units is determined by the grant-date closing price of Wesco’s common stock. The fair value of performance-based awards with performance conditions is determined by a Monte Carlo simulation as well as the grant-date closing price of Wesco’s common stock. The forfeiture assumption is based on Wesco’s historical participant behavior that is reviewed on at least an annual basis. For stock options and stock-settled stock appreciation rights that are exercised, and for restricted stock units and performance-based awards that vest, shares are issued out of Wesco's outstanding common stock.</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Stock options and stock-settled stock appreciation rights vest ratably over a three-year period and terminate on the tenth anniversary of the grant date unless terminated sooner under certain conditions. Restricted stock units awarded under the WESCO International, Inc. 2021 Omnibus Incentive Plan, which was adopted on May 27, 2021, typically vest ratably over a three-year period on each of the first, second and third anniversaries of the grant date. Vesting of performance-based awards is based on a three-year performance period, and the number of shares earned, if any, depends on the attainment of certain performance levels, as described below. Outstanding awards would vest upon the consummation of a change in control transaction, with performance-based awards vesting at the greater of the target level or actual.</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2024 performance-based awards are based on two equally-weighted performance measures: the three-year average growth rate of Wesco’s net income attributable to common stockholders and the three-year cumulative return on net assets. The 2025 and 2026 performance-based awards are based on two equally-weighted performance measures: the growth rate of Wesco’s earnings per share and return on net assets, both of which are measured on an annual basis as well as on a three-year cumulative basis, with each of the three years and the three-year cumulative measurement equally-weighted. The 2025 and 2026 performance-based awards also include a relative Total Stockholder Return (“TSR”) modifier that impacts the number of shares earned based on the Company's TSR over the performance period in relation to the TSR of the companies comprising the S&amp;P MidCap 400 Index. These awards are accounted for as awards with performance conditions; compensation cost is recognized over the performance period based upon Wesco’s determination of whether it is probable that the performance targets will be achieved. The fair value of the relative TSR modifier as of each grant date for the 2025 and 2026 awards was measured using a Monte Carlo simulation.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Wesco granted the following stock options, restricted stock units, and performance-based awards at the following weighted-average fair values:</w:t>
      </w:r>
    </w:p>
    <w:tbl>
      <w:tblPr>
        <w:tblW w:w="8099" w:type="dxa"/>
        <w:jc w:val="center"/>
        <w:tblInd w:w="0" w:type="dxa"/>
        <w:tblLayout w:type="fixed"/>
        <w:tblCellMar>
          <w:top w:w="28" w:type="dxa"/>
          <w:left w:w="28" w:type="dxa"/>
          <w:bottom w:w="28" w:type="dxa"/>
          <w:right w:w="28" w:type="dxa"/>
        </w:tblCellMar>
      </w:tblPr>
      <w:tblGrid>
        <w:gridCol w:w="1052"/>
        <w:gridCol w:w="924"/>
        <w:gridCol w:w="93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granted</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granted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awards granted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fair values of stock options, as disclosed in the table above, were estimated using the following weighted-average assumptions in the respective periods:</w:t>
      </w:r>
    </w:p>
    <w:tbl>
      <w:tblPr>
        <w:tblW w:w="6838" w:type="dxa"/>
        <w:jc w:val="center"/>
        <w:tblInd w:w="0" w:type="dxa"/>
        <w:tblLayout w:type="fixed"/>
        <w:tblCellMar>
          <w:top w:w="28" w:type="dxa"/>
          <w:left w:w="28" w:type="dxa"/>
          <w:bottom w:w="28" w:type="dxa"/>
          <w:right w:w="28" w:type="dxa"/>
        </w:tblCellMar>
      </w:tblPr>
      <w:tblGrid>
        <w:gridCol w:w="771"/>
        <w:gridCol w:w="677"/>
        <w:gridCol w:w="682"/>
        <w:gridCol w:w="250"/>
        <w:gridCol w:w="250"/>
        <w:gridCol w:w="250"/>
        <w:gridCol w:w="167"/>
        <w:gridCol w:w="167"/>
        <w:gridCol w:w="167"/>
        <w:gridCol w:w="254"/>
        <w:gridCol w:w="257"/>
        <w:gridCol w:w="416"/>
        <w:gridCol w:w="109"/>
        <w:gridCol w:w="109"/>
        <w:gridCol w:w="109"/>
        <w:gridCol w:w="232"/>
        <w:gridCol w:w="234"/>
        <w:gridCol w:w="416"/>
        <w:gridCol w:w="128"/>
        <w:gridCol w:w="128"/>
        <w:gridCol w:w="128"/>
        <w:gridCol w:w="232"/>
        <w:gridCol w:w="234"/>
        <w:gridCol w:w="471"/>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risk-free interest rate is based on the U.S. Treasury Daily Yield Curve rate as of the grant date. The expected life is based on historical exercise experience, the expected volatility is based on the volatility of the Company’s daily stock price over the expected life preceding the grant date of the award, and the expected dividend yield is based on the calculated yield on the Company’s common stock at the date of grant using the then current fiscal year projected dividend distribution rate.</w:t>
      </w:r>
    </w:p>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stock options and related information for the six months ended June 30, 2026:</w:t>
      </w:r>
    </w:p>
    <w:tbl>
      <w:tblPr>
        <w:tblW w:w="9417" w:type="dxa"/>
        <w:jc w:val="center"/>
        <w:tblInd w:w="0" w:type="dxa"/>
        <w:tblLayout w:type="fixed"/>
        <w:tblCellMar>
          <w:top w:w="28" w:type="dxa"/>
          <w:left w:w="28" w:type="dxa"/>
          <w:bottom w:w="28" w:type="dxa"/>
          <w:right w:w="28" w:type="dxa"/>
        </w:tblCellMar>
      </w:tblPr>
      <w:tblGrid>
        <w:gridCol w:w="1065"/>
        <w:gridCol w:w="936"/>
        <w:gridCol w:w="938"/>
        <w:gridCol w:w="413"/>
        <w:gridCol w:w="413"/>
        <w:gridCol w:w="241"/>
        <w:gridCol w:w="109"/>
        <w:gridCol w:w="109"/>
        <w:gridCol w:w="109"/>
        <w:gridCol w:w="211"/>
        <w:gridCol w:w="721"/>
        <w:gridCol w:w="109"/>
        <w:gridCol w:w="109"/>
        <w:gridCol w:w="109"/>
        <w:gridCol w:w="109"/>
        <w:gridCol w:w="764"/>
        <w:gridCol w:w="764"/>
        <w:gridCol w:w="766"/>
        <w:gridCol w:w="109"/>
        <w:gridCol w:w="109"/>
        <w:gridCol w:w="109"/>
        <w:gridCol w:w="263"/>
        <w:gridCol w:w="639"/>
        <w:gridCol w:w="193"/>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w:t>
              <w:br/>
              <w:t>(In millions)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285,935 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323,510 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82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190,441 </w:t>
            </w:r>
          </w:p>
        </w:tc>
        <w:tc>
          <w:tcPr>
            <w:tcW w:w="2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9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aggregate intrinsic value of stock options exercised during such period was $3.8 million.</w:t>
      </w:r>
    </w:p>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stock-settled stock appreciation rights and related information for the six months ended June 30, 2026:</w:t>
      </w:r>
    </w:p>
    <w:tbl>
      <w:tblPr>
        <w:tblW w:w="9386" w:type="dxa"/>
        <w:jc w:val="center"/>
        <w:tblInd w:w="0" w:type="dxa"/>
        <w:tblLayout w:type="fixed"/>
        <w:tblCellMar>
          <w:top w:w="28" w:type="dxa"/>
          <w:left w:w="28" w:type="dxa"/>
          <w:bottom w:w="28" w:type="dxa"/>
          <w:right w:w="28" w:type="dxa"/>
        </w:tblCellMar>
      </w:tblPr>
      <w:tblGrid>
        <w:gridCol w:w="1065"/>
        <w:gridCol w:w="936"/>
        <w:gridCol w:w="938"/>
        <w:gridCol w:w="449"/>
        <w:gridCol w:w="451"/>
        <w:gridCol w:w="241"/>
        <w:gridCol w:w="109"/>
        <w:gridCol w:w="109"/>
        <w:gridCol w:w="109"/>
        <w:gridCol w:w="211"/>
        <w:gridCol w:w="616"/>
        <w:gridCol w:w="109"/>
        <w:gridCol w:w="109"/>
        <w:gridCol w:w="109"/>
        <w:gridCol w:w="109"/>
        <w:gridCol w:w="764"/>
        <w:gridCol w:w="764"/>
        <w:gridCol w:w="766"/>
        <w:gridCol w:w="109"/>
        <w:gridCol w:w="109"/>
        <w:gridCol w:w="109"/>
        <w:gridCol w:w="263"/>
        <w:gridCol w:w="639"/>
        <w:gridCol w:w="193"/>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w:t>
              <w:br/>
              <w:t>(In millions)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411,759 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Exercised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156,521 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900"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156,521 </w:t>
            </w:r>
          </w:p>
        </w:tc>
        <w:tc>
          <w:tcPr>
            <w:tcW w:w="24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9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aggregate intrinsic value of stock-settled stock appreciation rights exercised during such period was $71.4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restricted stock units and related information for the six months ended June 30, 2026:</w:t>
      </w:r>
    </w:p>
    <w:tbl>
      <w:tblPr>
        <w:tblW w:w="5254" w:type="dxa"/>
        <w:jc w:val="center"/>
        <w:tblInd w:w="0" w:type="dxa"/>
        <w:tblLayout w:type="fixed"/>
        <w:tblCellMar>
          <w:top w:w="28" w:type="dxa"/>
          <w:left w:w="28" w:type="dxa"/>
          <w:bottom w:w="28" w:type="dxa"/>
          <w:right w:w="28" w:type="dxa"/>
        </w:tblCellMar>
      </w:tblPr>
      <w:tblGrid>
        <w:gridCol w:w="978"/>
        <w:gridCol w:w="860"/>
        <w:gridCol w:w="862"/>
        <w:gridCol w:w="449"/>
        <w:gridCol w:w="451"/>
        <w:gridCol w:w="241"/>
        <w:gridCol w:w="109"/>
        <w:gridCol w:w="109"/>
        <w:gridCol w:w="109"/>
        <w:gridCol w:w="211"/>
        <w:gridCol w:w="721"/>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Fair</w:t>
              <w:br/>
              <w:t>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457,943 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143,165 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(159,551)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432,924 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performance-based awards and related information for the six months ended June 30, 2026:</w:t>
      </w:r>
    </w:p>
    <w:tbl>
      <w:tblPr>
        <w:tblW w:w="5180" w:type="dxa"/>
        <w:jc w:val="center"/>
        <w:tblInd w:w="0" w:type="dxa"/>
        <w:tblLayout w:type="fixed"/>
        <w:tblCellMar>
          <w:top w:w="28" w:type="dxa"/>
          <w:left w:w="28" w:type="dxa"/>
          <w:bottom w:w="28" w:type="dxa"/>
          <w:right w:w="28" w:type="dxa"/>
        </w:tblCellMar>
      </w:tblPr>
      <w:tblGrid>
        <w:gridCol w:w="978"/>
        <w:gridCol w:w="860"/>
        <w:gridCol w:w="862"/>
        <w:gridCol w:w="413"/>
        <w:gridCol w:w="413"/>
        <w:gridCol w:w="241"/>
        <w:gridCol w:w="109"/>
        <w:gridCol w:w="109"/>
        <w:gridCol w:w="109"/>
        <w:gridCol w:w="211"/>
        <w:gridCol w:w="721"/>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Fair</w:t>
              <w:br/>
              <w:t>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194,635 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(59,240)</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8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184,582 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recognized $19.1 million and $8.4 million of non-cash stock-based compensation expense for the three months ended June 30, 2026 and 2025, respectively, and $35.2 million and $18.6 million of non-cash stock-based compensation expense for the six months ended June 30, 2026 and 2025, respectively, which is included in Selling, general and administrative expenses for such periods. As of June 30, 2026, there was $107.2 million of total unrecognized compensation expense related to unvested stock-based compensation arrangements for all awards previously made, which is expected to be recognized as follows:</w:t>
      </w:r>
    </w:p>
    <w:tbl>
      <w:tblPr>
        <w:tblW w:w="3718" w:type="dxa"/>
        <w:jc w:val="center"/>
        <w:tblInd w:w="0" w:type="dxa"/>
        <w:tblLayout w:type="fixed"/>
        <w:tblCellMar>
          <w:top w:w="28" w:type="dxa"/>
          <w:left w:w="28" w:type="dxa"/>
          <w:bottom w:w="28" w:type="dxa"/>
          <w:right w:w="28" w:type="dxa"/>
        </w:tblCellMar>
      </w:tblPr>
      <w:tblGrid>
        <w:gridCol w:w="978"/>
        <w:gridCol w:w="859"/>
        <w:gridCol w:w="862"/>
        <w:gridCol w:w="245"/>
        <w:gridCol w:w="595"/>
        <w:gridCol w:w="179"/>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year ending December 31,</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STOCKHOLDERS’ EQUITY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May 31, 2022, the Company’s Board of Directors adopted a resolution authorizing the repurchase of up to $1 billion of the Company’s common stock and 10.625% Series A Fixed-Rate Reset Cumulative Perpetual Preferred Stock (the “Series A Preferred Stock”). The share repurchase authorization has no expiration date and may be modified, suspended, or terminated at any time without prior notice.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entered into spot repurchase transactions through a broker to purchase 72,228 and 164,885 shares of its common stock, respectively, in the open market for cash totaling $25.3 million and $50.6 million respectively, including excise taxes, of which, $10.2 million, was not yet paid in cash as of June 30, 2026, but represented an unconditional obligation, for which the Company recognized a short term liability within Other current liabilities on the Condensed Consolidated Balance Sheet. Wesco funded the repurchases with available cash and borrowings under its accounts receivable securitization and revolving credit facilities. During the three and six months ended June 30, 2025, the Company entered into spot repurchase transactions through a broker to purchase 147,300 and 300,528 shares of its common stock, respectively, in the open market for cash totaling $25.3 million and $50.6 million respectively,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excise taxes. Wesco funded the repurchases with available cash and borrowings under its accounts receivable securitization and revolving credit facilities.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Series A Preferred Stock Redemption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February 13, 2025, the Company's Board of Directors adopted a resolution authorizing the redemption of all outstanding shares of the Company's Series A Preferred Stock. As this authorization was separate from the May 31, 2022 share purchase authorization noted above, the redemption of Series A Preferred Stock did not impact the approximate dollar value of shares that may be repurchased under the earlier 2022 authorization.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June 22, 2025, the Company redeemed all 21,612 outstanding shares of its Series A Preferred Stock, and the related depositary shares, each representing 1/1,000th of one share of Series A Preferred Stock, at a redemption price of $25,000 per share, for a total payment of $540.3 million. The Company recognized a $27.6 million gain from the redemption as income attributable to common stockholders. Wesco funded the redemption with the net proceeds from the March 2025 issuance of the 6.375% senior notes due 2033.</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dividends on common stock are declared at the discretion of the Board of Directors. The following table is a summary of cash dividends declared and paid on the Company’s common stock for the six months ended June 30, 2026: </w:t>
      </w:r>
    </w:p>
    <w:tbl>
      <w:tblPr>
        <w:tblW w:w="10140" w:type="dxa"/>
        <w:jc w:val="center"/>
        <w:tblInd w:w="0" w:type="dxa"/>
        <w:tblLayout w:type="fixed"/>
        <w:tblCellMar>
          <w:top w:w="28" w:type="dxa"/>
          <w:left w:w="28" w:type="dxa"/>
          <w:bottom w:w="28" w:type="dxa"/>
          <w:right w:w="28" w:type="dxa"/>
        </w:tblCellMar>
      </w:tblPr>
      <w:tblGrid>
        <w:gridCol w:w="582"/>
        <w:gridCol w:w="511"/>
        <w:gridCol w:w="512"/>
        <w:gridCol w:w="109"/>
        <w:gridCol w:w="109"/>
        <w:gridCol w:w="109"/>
        <w:gridCol w:w="464"/>
        <w:gridCol w:w="464"/>
        <w:gridCol w:w="466"/>
        <w:gridCol w:w="109"/>
        <w:gridCol w:w="109"/>
        <w:gridCol w:w="109"/>
        <w:gridCol w:w="464"/>
        <w:gridCol w:w="464"/>
        <w:gridCol w:w="466"/>
        <w:gridCol w:w="109"/>
        <w:gridCol w:w="109"/>
        <w:gridCol w:w="109"/>
        <w:gridCol w:w="375"/>
        <w:gridCol w:w="1096"/>
        <w:gridCol w:w="194"/>
        <w:gridCol w:w="109"/>
        <w:gridCol w:w="109"/>
        <w:gridCol w:w="109"/>
        <w:gridCol w:w="666"/>
        <w:gridCol w:w="1618"/>
        <w:gridCol w:w="490"/>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Amount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Dividend Payment (in millions)</w:t>
            </w:r>
          </w:p>
        </w:tc>
      </w:tr>
      <w:tr>
        <w:trPr/>
        <w:tc>
          <w:tcPr>
            <w:tcW w:w="16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0.500 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May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June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cash dividends declared and paid on the Company’s common stock for the six months ended June 30, 2025:</w:t>
      </w:r>
    </w:p>
    <w:tbl>
      <w:tblPr>
        <w:tblW w:w="10141" w:type="dxa"/>
        <w:jc w:val="center"/>
        <w:tblInd w:w="0" w:type="dxa"/>
        <w:tblLayout w:type="fixed"/>
        <w:tblCellMar>
          <w:top w:w="28" w:type="dxa"/>
          <w:left w:w="28" w:type="dxa"/>
          <w:bottom w:w="28" w:type="dxa"/>
          <w:right w:w="28" w:type="dxa"/>
        </w:tblCellMar>
      </w:tblPr>
      <w:tblGrid>
        <w:gridCol w:w="582"/>
        <w:gridCol w:w="511"/>
        <w:gridCol w:w="512"/>
        <w:gridCol w:w="109"/>
        <w:gridCol w:w="109"/>
        <w:gridCol w:w="109"/>
        <w:gridCol w:w="464"/>
        <w:gridCol w:w="464"/>
        <w:gridCol w:w="466"/>
        <w:gridCol w:w="109"/>
        <w:gridCol w:w="109"/>
        <w:gridCol w:w="109"/>
        <w:gridCol w:w="464"/>
        <w:gridCol w:w="464"/>
        <w:gridCol w:w="466"/>
        <w:gridCol w:w="109"/>
        <w:gridCol w:w="109"/>
        <w:gridCol w:w="109"/>
        <w:gridCol w:w="375"/>
        <w:gridCol w:w="1096"/>
        <w:gridCol w:w="194"/>
        <w:gridCol w:w="109"/>
        <w:gridCol w:w="109"/>
        <w:gridCol w:w="109"/>
        <w:gridCol w:w="1233"/>
        <w:gridCol w:w="636"/>
        <w:gridCol w:w="906"/>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Amount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Dividend Payment (in millions)</w:t>
            </w:r>
          </w:p>
        </w:tc>
      </w:tr>
      <w:tr>
        <w:trPr/>
        <w:tc>
          <w:tcPr>
            <w:tcW w:w="16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27,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March 14,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0.454 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May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June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3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No quarterly cash dividends were paid on the Company’s Series A Preferred Stock during the three and six months ended June 30, 2026, as the Series A Preferred Stock was redeemed in June 2025. During the three and six months ended June 30, 2025, the Company's Board of Directors declared and the Company paid quarterly cash dividends totaling $12.9 million and $27.3 million, respectively, relating to its Series A Preferred Stock. For the three months ended June 30, 2025, the dividend rate per depositary share was prorated to $0.598, compared to the prior period dividend rates of $0.664, as a result of the redemption of the Series A Preferred Stock in June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EARNINGS PER SHARE</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attributable to common stockholders by the weighted-average number of common shares outstanding during the periods. Diluted earnings per share is computed by dividing net income attributable to common stockholders by the weighted-average common shares and common share equivalents outstanding during the periods. The dilutive effect of common share equivalents is considered in the diluted earnings per share computation using the treasury stock method, which includes consideration of equity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for the periods presented:</w:t>
      </w:r>
    </w:p>
    <w:tbl>
      <w:tblPr>
        <w:tblW w:w="10205" w:type="dxa"/>
        <w:jc w:val="center"/>
        <w:tblInd w:w="0" w:type="dxa"/>
        <w:tblLayout w:type="fixed"/>
        <w:tblCellMar>
          <w:top w:w="28" w:type="dxa"/>
          <w:left w:w="28" w:type="dxa"/>
          <w:bottom w:w="28" w:type="dxa"/>
          <w:right w:w="28" w:type="dxa"/>
        </w:tblCellMar>
      </w:tblPr>
      <w:tblGrid>
        <w:gridCol w:w="2279"/>
        <w:gridCol w:w="1570"/>
        <w:gridCol w:w="158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2279"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data)</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WESCO International,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Gain on redemption of Series A Preferred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in computing basic earnings per share</w:t>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shares issuable upon exercise of dilutive equity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and common share equivalents used in computing diluted earnings per share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computation of diluted earnings per share attributable to common stockholders excludes stock-based awards that would have had an antidilutive effect on earnings per share. For the three months ended June 30, 2026, there were approximately 0.1 million antidilutive shares. For the six months ended June 30, 2026, the number of antidilutive shares was immaterial. For the three and six months ended June 30, 2025, there were approximately 0.5 million antidilutive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Wesco's outstanding indebtedness:</w:t>
      </w:r>
    </w:p>
    <w:tbl>
      <w:tblPr>
        <w:tblW w:w="8073" w:type="dxa"/>
        <w:jc w:val="center"/>
        <w:tblInd w:w="0" w:type="dxa"/>
        <w:tblLayout w:type="fixed"/>
        <w:tblCellMar>
          <w:top w:w="28" w:type="dxa"/>
          <w:left w:w="28" w:type="dxa"/>
          <w:bottom w:w="28" w:type="dxa"/>
          <w:right w:w="28" w:type="dxa"/>
        </w:tblCellMar>
      </w:tblPr>
      <w:tblGrid>
        <w:gridCol w:w="1983"/>
        <w:gridCol w:w="1744"/>
        <w:gridCol w:w="1748"/>
        <w:gridCol w:w="211"/>
        <w:gridCol w:w="766"/>
        <w:gridCol w:w="109"/>
        <w:gridCol w:w="109"/>
        <w:gridCol w:w="109"/>
        <w:gridCol w:w="109"/>
        <w:gridCol w:w="221"/>
        <w:gridCol w:w="803"/>
        <w:gridCol w:w="161"/>
      </w:tblGrid>
      <w:tr>
        <w:trPr/>
        <w:tc>
          <w:tcPr>
            <w:tcW w:w="1983"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lines of credit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Securitization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7.250% Senior Notes due 2028, less debt discount of $3.1 in 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6.375% Senior Notes due 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5.250% Senior Notes due 2031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6.625% Senior Notes due 2032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6.375% Senior Notes due 2033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5.500% Senior Notes due 2034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Short-term debt and current portion of 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5,756.4 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7.250% Senior Notes due 2028</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April 29, 2026, WESCO Distribution, Inc. (“Wesco Distribution”) exercised its right to redeem the entire outstanding $1,325 million aggregate principal amount of the 7.250% Senior Notes due 2028 (the “2028 Notes”), and U.S. Bank Trust Company, National Association, as successor to U.S. Bank National Association, as trustee under the 2028 Notes Indenture, issued a notice of redemption to registered holders of the 2028 Notes.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June 15, 2026, Wesco Distribution redeemed the $1,325 million aggregate principal amount of the 2028 Notes at a redemption price equal to 100% of the principal amount plus accrued interest up to, but not including, June 15, 2026. The redemption of the 2028 Notes was funded through the issuance of the 5.250% Senior Notes due 2031 and the 5.500% Senior Notes due 2034 as described below. The Company recognized a non-cash loss of $10.0 million from the redemption of the 2028 Notes resulting from the write-off of unamortized debt issuance costs and debt discount, which is recorded as a component of Interest expense, net in the Condensed Consolidated Statement of Income and Comprehensive Income for the three and six months ended June 30, 2026.</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5.250% Senior Notes due 2031</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5.500% Senior Notes due 2034</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February 27, 2026, Wesco Distribution issued $650 million aggregate principal amount of 5.250% Senior Notes due 2031 (the “2031 Notes”) and $850 million aggregate principal amount of 5.500% Senior Notes due 2034 (the “2034 Notes” and, together with the 2031 Notes, the “2031 and 2034 Notes”). The 2031 and 2034 Notes were issued at prices of 100% of the aggregate principal amounts thereof. Wesco incurred costs related to the issuance of the 2031 and 2034 Notes totaling $8.3 million and $10.8 million, respectively, which were recorded as a reduction to the carrying value of the debt and are being amortized over the respective terms of the notes.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2031 and 2034 Notes were issued pursuant to, and are governed by, an indenture (the “2031 and 2034 Notes Indenture”), dated as of February 27, 2026, among Wesco Distribution, the Company, Anixter Inc., and U.S. Bank Trust Company, National Association, as trustee (the “Trustee”). The 2031 and 2034 Notes and related guarantees were issued in a private transaction exempt from the Securities Act of 1933, as amended (the “Securities Act”), and have not been, and will not be, registered under the Securities Act and may not be offered or sold in the United States absent registration or an applicable exemption from, or in a transaction not subject to, the registration requirements of the Securities Act and other applicable securities laws.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used the net proceeds from the issuance of the 2031 and 2034 Notes to redeem the 2028 Notes on June 15, 2026 and to repay a portion of the amounts outstanding under its revolving credit facility (the “Revolving Credit Facility”). Prior to redeeming the 2028 Notes, the Company used the net proceeds to temporarily repay a portion of the outstanding borrowings under its accounts receivable securitization facility (the “Receivables Facility”) and Revolving Credit Facility. The Company subsequently redrew under the Receivables Facility and the Revolving Credit Facility in an aggregate amount sufficient to redeem the 2028 Notes.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2031 and 2034 Notes are unsecured and unsubordinated obligations of Wesco Distribution and are guaranteed on an unsecured, unsubordinated basis by the Company and Anixter Inc. The 2031 Notes accrue interest at a rate of 5.250% per annum, payable semi-annually in arrears on April 15 and October 15 of each year. The 2031 Notes will mature on April 15, 2031. The 2034 Notes accrue interest at a rate of 5.500% per annum, payable semi-annually in arrears on April 15 and October 15 of each year. The 2034 Notes will mature on April 15, 2034.</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Distribution may redeem all or a part of the 2031 Notes at any time prior to April 15, 2028 by paying a “make-whole” premium plus accrued and unpaid interest, if any, to but excluding the redemption date. In addition, any time prior to April 15, 2028, Wesco Distribution may redeem up to 35% of the original aggregate principal amount of the 2031 Notes with the net cash proceeds from certain equity offerings. At any time between April 15, 2028 and April 14, 2029, Wesco Distribution may redeem all or a part of the 2031 Notes at a redemption price equal to 102.625% of the principal amount. Between April 15, 2029 and April 14, 2030, Wesco Distribution may redeem all or a part of the 2031 Notes at a redemption price equal to 101.3125% of the principal amount. On and after April 15, 2030, Wesco Distribution may redeem all or a part of the 2031 Notes at a redemption price equal to 100% of the principal amount.</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Wesco Distribution may redeem all or a part of the 2034 Notes at any time prior to April 15, 2029 by paying a “make-whole” premium plus accrued and unpaid interest, if any, to but excluding the redemption date. In addition, any time prior to April 15, 2029, Wesco Distribution may redeem up to 35% of the original aggregate principal amount of the 2034 Notes with the net cash proceeds from certain equity offerings. At any time between April 15, 2029 and April 14, 2030, Wesco Distribution may redeem all or a part of the 2034 Notes at a redemption price equal to 102.750% of the principal amount. Between April 15, 2030 and April 14, 2031, Wesco Distribution may redeem all or a part of the 2034 Notes at a redemption price equal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101.375% of the principal amount. On and after April 15, 2031, Wesco Distribution may redeem all or a part of the 2034 Notes at a redemption price equal to 100% of the principal amount.</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2031 and 2034 Notes Indenture contains certain covenants that, among other things, limit the Company’s and its restricted subsidiaries’ ability to incur liens on assets, make certain restricted payments, engage in certain sale and leaseback transactions or sell certain assets or merge or consolidate with or into other companies, subject to certain qualifications and exceptions, including the termination of certain of these covenants upon the 2031 and 2034 Notes receiving investment grade credit ratings.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2031 and 2034 Notes Indenture contains certain events of default, including, among other things, failure to make required payments, failure to comply with certain agreements or covenants, failure to pay or acceleration of certain other indebtedness, certain events of bankruptcy and insolvency, and failure to pay certain judgments. An event of default under the 2031 and 2034 Notes Indenture will allow either the Trustee or the holders of at least 25% in aggregate principal amount of the applicable series of the then-outstanding Notes to accelerate or, in certain cases, will automatically cause the acceleration of the amounts due under the applicable series of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FAIR VALUE OF FINANCIAL INSTRUMENTS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primarily consist of cash and cash equivalents, accounts receivable, accounts payable, bank overdrafts, outstanding indebtedness, foreign currency forward contracts, and benefit plan assets. Except for benefit plan assets, outstanding indebtedness and foreign currency forward contracts, the carrying value of the Company’s other financial instruments approximates fair value.</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assets of the Company’s various defined benefit plans primarily comprise common/collective/pool funds (i.e., mutual funds). These funds are valued at the net asset value (“NAV”) of shares held in the underlying funds. Investments for which fair value is measured using the NAV per share practical expedient are not classified in the fair value hierarchy.</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uses a market approach to determine the fair value of its debt instruments, utilizing quoted prices in active markets, interest rates and other relevant information generated by market transactions involving similar instruments. Therefore, the inputs used to measure the fair value of the Company’s debt instruments are classified as Level 2 within the fair value hierarchy.</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carrying value of Wesco’s debt instruments with fixed interest rates was $4,050.0 million and $3,871.9 million as of June 30, 2026 and December 31, 2025, respectively. The estimated fair value of this debt was $4,104.0 million and $4,004.2 million as of June 30, 2026 and December 31, 2025, respectively. The reported carrying values of Wesco’s other debt instruments, including those with variable interest rates, approximated their fair values as of June 30, 2026 and December 31, 2025.</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purchases foreign currency forward contracts to reduce the effect of fluctuations in foreign currency-denominated accounts on its earnings. The foreign currency forward contracts are not designated as hedges for accounting purposes. The Company’s strategy is to negotiate terms for its derivatives and other financial instruments to be highly effective, such that the change in the value of the derivative offsets the impact of the underlying hedge. Its counterparties to foreign currency forward contracts have investment-grade credit ratings. The Company regularly monitors the creditworthiness of its counterparties as a risk mitigation effort to protect the value of its derivatives.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does not hedge 100% of its foreign currency-denominated accounts. In addition, the results of hedging can vary significantly based on various factors, such as the timing of executing foreign currency forward contracts versus the movement of currencies, as well as fluctuations in the account balances throughout each reporting period. The fair value of foreign currency forward contracts is based on the difference between the contract rate and the current price of a forward contract with an equivalent remaining term. The fair value of foreign currency forward contracts is measured using observable market information. These inputs are considered Level 2 in the fair value hierarchy. At June 30, 2026 and December 31, 2025, foreign currency forward contracts were revalued at then-current foreign exchange rates with the changes in valuation reflected directly in Other non-operating (income) expense in the Condensed Consolidated Statements of Income and Comprehensive Income offsetting the transaction gain (loss) recorded on foreign currency-denominated accounts. The gross and net notional amounts of foreign currency forward contracts outstanding were approximately $320.0 million and $286.3 million, at June 30, 2026 and December 31, 2025, respectively. While all of the Company’s foreign currency forward contracts are subject to master netting arrangements with its counterparties, assets and liabilities related to these contracts are presented on a gross basis within the Condensed Consolidated Balance Sheets. The gross fair value of assets and liabilities related to foreign currency forward contracts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COMMITMENTS AND CONTINGENCIES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From time to time, a number of lawsuits and claims have been or may be asserted against the Company relating to the conduct of its business, including litigation relating to commercial, product and employment matters. The outcome of any litigation cannot be predicted with certainty, and some lawsuits may result in a negative impact to Wesco. However, management does not believe that the ultimate outcome of any such pending matters is likely to have a material adverse effect on Wesco’s financial condition or liquidity, although the resolution in any fiscal period of one or more of these matters may have a material adverse effect on Wesco’s results of operations for that period. Recoveries related to previously recognized losses are recorded when realization is probable. Recoveries in excess of recognized losses are deferred until realized or realizable.</w:t>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has a loss contingency of approximately $49.0 million related to a matter in Other current liabilities, along with a corresponding insurance recovery receivable of $48.5 million in Other accounts receivable on the unaudited Condensed Consolidated Balance Sheet. As a result, the Company does not expect to incur a loss other than for the insurance deductible amount, which is not material to the unaudited Condensed Consolidated Financial Statements. </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February 20, 2026, the U.S. Supreme Court ruled that tariffs previously imposed under the International Emergency Economic Powers Act (“IEEPA”) were invalid. The availability, timing, amount, and process for recovering IEEPA tariffs previously paid by the Company remains subject to further developments. IEEPA tariff refunds are not expected to materially impact the unaudited Condensed Consolidated Financial Statements for the Company. The Company continues to monitor developments and evaluate potential impacts on its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June 30, 2026 and 2025 was 22.9% and 26.1%, respectively. For the three months ended June 30, 2026 and 2025, the effective tax rate reflects discrete income tax benefits of $14.7 million and $0.3 million, respectively, resulting from the exercise of stock-based awards. These discrete income tax benefits reduced the effective tax rates in the respective periods by approximately 5.4 and 0.1 percentage points.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2026 and 2025 was 22.5% and 25.0%, respectively. For the six months ended June 30, 2026 and 2025, the effective tax rates reflect discrete income tax benefits of $22.5 million and $5.0 million, respectively, resulting from the exercise and vesting of stock-based awards. These discrete income tax benefits reduced the effective tax rates in the respective periods by approximately 4.8 and 1.3 percentage points.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purchased $54.9 million and $54.4 million, respectively, of transferable clean energy tax credits to reduce its U.S. federal income tax liability. The Company has taken appropriate measures to mitigate the transferee liability associated with these tax credits, including, but not limited to, conducting due diligence to confirm the eligibility of the underlying projects or production, as applicable, for the tax credits and the eligibility of the tax credits for transfer, obtaining appropriate contractual protections from the sellers, and obtaining tax credit insurance and/or seller guarantees.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effective tax rate, excluding discrete income tax benefits, differs from the federal statutory income tax rate due primarily to state income taxes, nondeductible expenses, and the tax impact of international operations.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adjustments to the Company's assessment of uncertain tax positions since December 31, 2025.</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October 2021, one of the Company’s Mexican affiliates received a tax assessment from the Mexican tax authorities related to its 2012 income tax return which was approximately $33.4 million as of December 31, 2025. The Company believed the assessment was without merit and the Company's Mexican affiliate filed an annulment lawsuit in the Mexican Federal Court of Administrative Justice (the “Court”). The Company expected to prevail in this litigation and, accordingly, did not recognize a liability for this assessment in its Consolidated Financial Statements. On April 23, 2026, the Company received the written decision of the Court, which was a split finding, mostly in favor of the government. Both parties filed appeals with the Mexican Federal Collegiate Circuit Court. The Company maintains that it ultimately expects to prevail upon final resolution of the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BUSINESS SEGMENTS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operating segments comprising three strategic business units: EES, CSS and UBS. These operating segments are equivalent to the Company’s reportable segments. The President and Chief Executive Officer serves as the Company’s Chief Operating Decision Maker (“CODM”). The CODM evaluates the performance of the Company’s reportable segments based on Adjusted earnings before interest, taxes, depreciation and amortization (“Adjusted EBITDA”), which is the Company’s measure of segment profit or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incurs corporate costs primarily related to treasury, tax, information technology, finance, legal and other centralized functions. The Company also has various corporate assets. Segment assets may not include jointly used assets, but segment results include allocations related to those assets. Interest expense and other non-operating items are either not allocated to the segments or reviewed on a segment basis. Corporate expenses and assets not directly identifiable with a reportable segment are reported in the tables below to reconcile the reportable segments to the Consolidated Financial Statements.</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reportable segments and reconcile Adjusted EBITDA by segment to Income before income taxes on a consolidated basis for the periods presented:</w:t>
      </w:r>
    </w:p>
    <w:tbl>
      <w:tblPr>
        <w:tblW w:w="10205" w:type="dxa"/>
        <w:jc w:val="center"/>
        <w:tblInd w:w="0" w:type="dxa"/>
        <w:tblLayout w:type="fixed"/>
        <w:tblCellMar>
          <w:top w:w="28" w:type="dxa"/>
          <w:left w:w="28" w:type="dxa"/>
          <w:bottom w:w="28" w:type="dxa"/>
          <w:right w:w="28" w:type="dxa"/>
        </w:tblCellMar>
      </w:tblPr>
      <w:tblGrid>
        <w:gridCol w:w="1293"/>
        <w:gridCol w:w="1009"/>
        <w:gridCol w:w="1020"/>
        <w:gridCol w:w="261"/>
        <w:gridCol w:w="255"/>
        <w:gridCol w:w="639"/>
        <w:gridCol w:w="135"/>
        <w:gridCol w:w="135"/>
        <w:gridCol w:w="135"/>
        <w:gridCol w:w="320"/>
        <w:gridCol w:w="314"/>
        <w:gridCol w:w="639"/>
        <w:gridCol w:w="135"/>
        <w:gridCol w:w="135"/>
        <w:gridCol w:w="135"/>
        <w:gridCol w:w="320"/>
        <w:gridCol w:w="314"/>
        <w:gridCol w:w="639"/>
        <w:gridCol w:w="135"/>
        <w:gridCol w:w="135"/>
        <w:gridCol w:w="135"/>
        <w:gridCol w:w="795"/>
        <w:gridCol w:w="576"/>
        <w:gridCol w:w="596"/>
      </w:tblGrid>
      <w:tr>
        <w:trPr/>
        <w:tc>
          <w:tcPr>
            <w:tcW w:w="129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3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EES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CSS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UBS</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Reportable Segments Total</w:t>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6,665.1</w:t>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1,897.8</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2,097.1</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5,209.1</w:t>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payroll expenses</w:t>
            </w:r>
            <w:r>
              <w:rPr>
                <w:rFonts w:ascii="Times New Roman;serif" w:hAnsi="Times New Roman;serif"/>
                <w:b w:val="false"/>
                <w:color w:val="000000"/>
                <w:sz w:val="13"/>
              </w:rPr>
              <w:t>(1)(3)</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w:t>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w:t>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w:t>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51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63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63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3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Adjusted EBITDA</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(3)</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amounts (Corporate):</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w:t>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(4)</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w:t>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3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Selling, general and administrative payroll expenses include salaries, benefits, commissions, incentives, temporary labor, and other payroll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Other segment items primarily include allocated expenses (which includes employee-related allocations), transportation costs, facility costs (including rent and utilities), employee expenses (including travel and entertainment), credit losses, real estate and personal property taxes, supplies, professional and consulting fees, and sales promotion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Stock-based compensation expense is excluded from Selling, general and administrative payroll expenses, as this is an adjustment to calculate Adjusted EBITDA.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The reportable segments do not incur interest expense as these costs are centrally controlled through the Corporate treasury function.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before="60" w:after="283"/>
        <w:jc w:val="both"/>
        <w:rPr/>
      </w:pPr>
      <w:r>
        <w:rPr/>
      </w:r>
    </w:p>
    <w:tbl>
      <w:tblPr>
        <w:tblW w:w="10205" w:type="dxa"/>
        <w:jc w:val="center"/>
        <w:tblInd w:w="0" w:type="dxa"/>
        <w:tblLayout w:type="fixed"/>
        <w:tblCellMar>
          <w:top w:w="28" w:type="dxa"/>
          <w:left w:w="28" w:type="dxa"/>
          <w:bottom w:w="28" w:type="dxa"/>
          <w:right w:w="28" w:type="dxa"/>
        </w:tblCellMar>
      </w:tblPr>
      <w:tblGrid>
        <w:gridCol w:w="1293"/>
        <w:gridCol w:w="1002"/>
        <w:gridCol w:w="1012"/>
        <w:gridCol w:w="268"/>
        <w:gridCol w:w="261"/>
        <w:gridCol w:w="654"/>
        <w:gridCol w:w="138"/>
        <w:gridCol w:w="138"/>
        <w:gridCol w:w="138"/>
        <w:gridCol w:w="268"/>
        <w:gridCol w:w="261"/>
        <w:gridCol w:w="654"/>
        <w:gridCol w:w="138"/>
        <w:gridCol w:w="138"/>
        <w:gridCol w:w="138"/>
        <w:gridCol w:w="327"/>
        <w:gridCol w:w="321"/>
        <w:gridCol w:w="654"/>
        <w:gridCol w:w="138"/>
        <w:gridCol w:w="138"/>
        <w:gridCol w:w="138"/>
        <w:gridCol w:w="800"/>
        <w:gridCol w:w="588"/>
        <w:gridCol w:w="600"/>
      </w:tblGrid>
      <w:tr>
        <w:trPr/>
        <w:tc>
          <w:tcPr>
            <w:tcW w:w="129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3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EES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CSS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UBS</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Reportable Segments Total</w:t>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2,257.8</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2,265.2</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5,899.6</w:t>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w:t>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1,739.3</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1,791.2</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4,656.9</w:t>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payroll expenses</w:t>
            </w:r>
            <w:r>
              <w:rPr>
                <w:rFonts w:ascii="Times New Roman;serif" w:hAnsi="Times New Roman;serif"/>
                <w:b w:val="false"/>
                <w:color w:val="000000"/>
                <w:sz w:val="13"/>
              </w:rPr>
              <w:t>(1)(3)</w:t>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w:t>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w:t>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w:t>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52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5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5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65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Adjusted EBITDA</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(3)</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amounts (Corporate):</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w:t>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(4)</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Selling, general and administrative payroll expenses include salaries, benefits, commissions, incentives, temporary labor, and other payroll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Other segment items primarily include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Stock-based compensation expense is excluded from Selling, general and administrative payroll expenses, as this is an adjustment to calculate Adjusted EBITDA.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The reportable segments do not incur interest expense as these costs are centrally controlled through the Corporate treasury function.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20"/>
        <w:gridCol w:w="1033"/>
        <w:gridCol w:w="1044"/>
        <w:gridCol w:w="264"/>
        <w:gridCol w:w="258"/>
        <w:gridCol w:w="645"/>
        <w:gridCol w:w="136"/>
        <w:gridCol w:w="136"/>
        <w:gridCol w:w="136"/>
        <w:gridCol w:w="264"/>
        <w:gridCol w:w="258"/>
        <w:gridCol w:w="645"/>
        <w:gridCol w:w="136"/>
        <w:gridCol w:w="136"/>
        <w:gridCol w:w="136"/>
        <w:gridCol w:w="264"/>
        <w:gridCol w:w="258"/>
        <w:gridCol w:w="645"/>
        <w:gridCol w:w="136"/>
        <w:gridCol w:w="136"/>
        <w:gridCol w:w="136"/>
        <w:gridCol w:w="809"/>
        <w:gridCol w:w="643"/>
        <w:gridCol w:w="631"/>
      </w:tblGrid>
      <w:tr>
        <w:trPr/>
        <w:tc>
          <w:tcPr>
            <w:tcW w:w="132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EES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CSS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UBS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Reportable Segments Total</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4,754.9</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5,160.1</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2,830.2</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12,745.2</w:t>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w:t>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3,608.8</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4,057.8</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2,330.8</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9,997.4</w:t>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payroll expenses</w:t>
            </w:r>
            <w:r>
              <w:rPr>
                <w:rFonts w:ascii="Times New Roman;serif" w:hAnsi="Times New Roman;serif"/>
                <w:b w:val="false"/>
                <w:color w:val="000000"/>
                <w:sz w:val="13"/>
              </w:rPr>
              <w:t>(1)(3)</w:t>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962.8</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w:t>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1,189.9</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5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6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6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6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Adjusted EBITDA</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(3)</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amounts (Corporate):</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(4)</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w:t>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469.2</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Selling, general and administrative payroll expenses include salaries, benefits, commissions, incentives, temporary labor, and other payroll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Other segment items primarily include allocated expenses (which includes employee-related allocations), transportation costs, facility costs (including rent and utilities), employee expenses (including travel and entertainment), credit losses, real estate and personal property taxes, supplies, professional and consulting fees, and sales promotion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Stock-based compensation expense is excluded from Selling, general and administrative payroll expenses, as this is an adjustment to calculate Adjusted EBITDA.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The reportable segments do not incur interest expense as these costs are centrally controlled through the Corporate treasury function.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76"/>
        <w:gridCol w:w="987"/>
        <w:gridCol w:w="997"/>
        <w:gridCol w:w="266"/>
        <w:gridCol w:w="260"/>
        <w:gridCol w:w="651"/>
        <w:gridCol w:w="137"/>
        <w:gridCol w:w="137"/>
        <w:gridCol w:w="137"/>
        <w:gridCol w:w="266"/>
        <w:gridCol w:w="260"/>
        <w:gridCol w:w="651"/>
        <w:gridCol w:w="137"/>
        <w:gridCol w:w="137"/>
        <w:gridCol w:w="137"/>
        <w:gridCol w:w="326"/>
        <w:gridCol w:w="319"/>
        <w:gridCol w:w="651"/>
        <w:gridCol w:w="137"/>
        <w:gridCol w:w="137"/>
        <w:gridCol w:w="137"/>
        <w:gridCol w:w="792"/>
        <w:gridCol w:w="648"/>
        <w:gridCol w:w="622"/>
      </w:tblGrid>
      <w:tr>
        <w:trPr/>
        <w:tc>
          <w:tcPr>
            <w:tcW w:w="12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3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3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EES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CSS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UBS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Reportable Segments Total</w:t>
            </w:r>
          </w:p>
        </w:tc>
      </w:tr>
      <w:tr>
        <w:trPr/>
        <w:tc>
          <w:tcPr>
            <w:tcW w:w="3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2,654.7</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11,243.3</w:t>
            </w:r>
          </w:p>
        </w:tc>
      </w:tr>
      <w:tr>
        <w:trPr/>
        <w:tc>
          <w:tcPr>
            <w:tcW w:w="3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w:t>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2,169.6</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8,875.0</w:t>
            </w:r>
          </w:p>
        </w:tc>
      </w:tr>
      <w:tr>
        <w:trPr/>
        <w:tc>
          <w:tcPr>
            <w:tcW w:w="3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payroll expenses</w:t>
            </w:r>
            <w:r>
              <w:rPr>
                <w:rFonts w:ascii="Times New Roman;serif" w:hAnsi="Times New Roman;serif"/>
                <w:b w:val="false"/>
                <w:color w:val="000000"/>
                <w:sz w:val="13"/>
              </w:rPr>
              <w:t>(1)(3)</w:t>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w:t>
            </w:r>
          </w:p>
        </w:tc>
      </w:tr>
      <w:tr>
        <w:trPr/>
        <w:tc>
          <w:tcPr>
            <w:tcW w:w="3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w:t>
            </w:r>
          </w:p>
        </w:tc>
      </w:tr>
      <w:tr>
        <w:trPr/>
        <w:tc>
          <w:tcPr>
            <w:tcW w:w="3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964.9</w:t>
            </w:r>
          </w:p>
        </w:tc>
      </w:tr>
      <w:tr>
        <w:trPr/>
        <w:tc>
          <w:tcPr>
            <w:tcW w:w="3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52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6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6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Adjusted EBITDA</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r>
      <w:tr>
        <w:trPr/>
        <w:tc>
          <w:tcPr>
            <w:tcW w:w="3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r>
      <w:tr>
        <w:trPr/>
        <w:tc>
          <w:tcPr>
            <w:tcW w:w="3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(3)</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3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amounts (Corporate):</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w:t>
            </w:r>
          </w:p>
        </w:tc>
      </w:tr>
      <w:tr>
        <w:trPr/>
        <w:tc>
          <w:tcPr>
            <w:tcW w:w="3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(4)</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w:t>
            </w:r>
          </w:p>
        </w:tc>
      </w:tr>
      <w:tr>
        <w:trPr/>
        <w:tc>
          <w:tcPr>
            <w:tcW w:w="3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r>
      <w:tr>
        <w:trPr/>
        <w:tc>
          <w:tcPr>
            <w:tcW w:w="3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r>
      <w:tr>
        <w:trPr/>
        <w:tc>
          <w:tcPr>
            <w:tcW w:w="3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Selling, general and administrative payroll expenses include salaries, benefits, commissions, incentives, temporary labor, and other payroll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Other segment items primarily include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Stock-based compensation expense is excluded from Selling, general and administrative payroll expenses, as this is an adjustment to calculate Adjusted EBITDA.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The reportable segments do not incur interest expense as these costs are centrally controlled through the Corporate treasury function.</w:t>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Other (income) expense, net by reportable segment for the periods presented, which primarily consists of net foreign currency (gains) losses:</w:t>
      </w:r>
    </w:p>
    <w:tbl>
      <w:tblPr>
        <w:tblW w:w="7401" w:type="dxa"/>
        <w:jc w:val="center"/>
        <w:tblInd w:w="0" w:type="dxa"/>
        <w:tblLayout w:type="fixed"/>
        <w:tblCellMar>
          <w:top w:w="28" w:type="dxa"/>
          <w:left w:w="28" w:type="dxa"/>
          <w:bottom w:w="28" w:type="dxa"/>
          <w:right w:w="28" w:type="dxa"/>
        </w:tblCellMar>
      </w:tblPr>
      <w:tblGrid>
        <w:gridCol w:w="810"/>
        <w:gridCol w:w="709"/>
        <w:gridCol w:w="716"/>
        <w:gridCol w:w="427"/>
        <w:gridCol w:w="240"/>
        <w:gridCol w:w="240"/>
        <w:gridCol w:w="220"/>
        <w:gridCol w:w="220"/>
        <w:gridCol w:w="220"/>
        <w:gridCol w:w="427"/>
        <w:gridCol w:w="240"/>
        <w:gridCol w:w="240"/>
        <w:gridCol w:w="109"/>
        <w:gridCol w:w="109"/>
        <w:gridCol w:w="109"/>
        <w:gridCol w:w="383"/>
        <w:gridCol w:w="240"/>
        <w:gridCol w:w="240"/>
        <w:gridCol w:w="198"/>
        <w:gridCol w:w="198"/>
        <w:gridCol w:w="198"/>
        <w:gridCol w:w="383"/>
        <w:gridCol w:w="217"/>
        <w:gridCol w:w="308"/>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EES</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CSS</w:t>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UBS</w:t>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segments total</w:t>
            </w:r>
          </w:p>
        </w:tc>
        <w:tc>
          <w:tcPr>
            <w:tcW w:w="9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capital expenditures by reportable segment for the periods presented:</w:t>
      </w:r>
    </w:p>
    <w:tbl>
      <w:tblPr>
        <w:tblW w:w="7436" w:type="dxa"/>
        <w:jc w:val="center"/>
        <w:tblInd w:w="0" w:type="dxa"/>
        <w:tblLayout w:type="fixed"/>
        <w:tblCellMar>
          <w:top w:w="28" w:type="dxa"/>
          <w:left w:w="28" w:type="dxa"/>
          <w:bottom w:w="28" w:type="dxa"/>
          <w:right w:w="28" w:type="dxa"/>
        </w:tblCellMar>
      </w:tblPr>
      <w:tblGrid>
        <w:gridCol w:w="810"/>
        <w:gridCol w:w="709"/>
        <w:gridCol w:w="716"/>
        <w:gridCol w:w="427"/>
        <w:gridCol w:w="283"/>
        <w:gridCol w:w="220"/>
        <w:gridCol w:w="220"/>
        <w:gridCol w:w="220"/>
        <w:gridCol w:w="220"/>
        <w:gridCol w:w="427"/>
        <w:gridCol w:w="283"/>
        <w:gridCol w:w="220"/>
        <w:gridCol w:w="109"/>
        <w:gridCol w:w="109"/>
        <w:gridCol w:w="109"/>
        <w:gridCol w:w="383"/>
        <w:gridCol w:w="255"/>
        <w:gridCol w:w="211"/>
        <w:gridCol w:w="198"/>
        <w:gridCol w:w="198"/>
        <w:gridCol w:w="198"/>
        <w:gridCol w:w="383"/>
        <w:gridCol w:w="249"/>
        <w:gridCol w:w="279"/>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EES</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CSS</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UBS</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segments total</w:t>
            </w:r>
          </w:p>
        </w:tc>
        <w:tc>
          <w:tcPr>
            <w:tcW w:w="9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r>
    </w:tbl>
    <w:p>
      <w:pPr>
        <w:pStyle w:val="TextBody"/>
        <w:bidi w:val="0"/>
        <w:spacing w:lineRule="auto" w:line="288" w:before="18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Total assets by reportable segment for the periods presented:</w:t>
      </w:r>
    </w:p>
    <w:tbl>
      <w:tblPr>
        <w:tblW w:w="4989" w:type="dxa"/>
        <w:jc w:val="center"/>
        <w:tblInd w:w="0" w:type="dxa"/>
        <w:tblLayout w:type="fixed"/>
        <w:tblCellMar>
          <w:top w:w="28" w:type="dxa"/>
          <w:left w:w="28" w:type="dxa"/>
          <w:bottom w:w="28" w:type="dxa"/>
          <w:right w:w="28" w:type="dxa"/>
        </w:tblCellMar>
      </w:tblPr>
      <w:tblGrid>
        <w:gridCol w:w="810"/>
        <w:gridCol w:w="709"/>
        <w:gridCol w:w="716"/>
        <w:gridCol w:w="211"/>
        <w:gridCol w:w="871"/>
        <w:gridCol w:w="109"/>
        <w:gridCol w:w="109"/>
        <w:gridCol w:w="109"/>
        <w:gridCol w:w="109"/>
        <w:gridCol w:w="211"/>
        <w:gridCol w:w="871"/>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UBS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segments total</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(1)</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270"/>
        <w:jc w:val="left"/>
        <w:rPr/>
      </w:pPr>
      <w:r>
        <w:rPr>
          <w:rFonts w:ascii="Times New Roman;serif" w:hAnsi="Times New Roman;serif"/>
          <w:b w:val="false"/>
          <w:color w:val="000000"/>
          <w:sz w:val="12"/>
        </w:rPr>
        <w:t>(1)    </w:t>
      </w:r>
      <w:r>
        <w:rPr>
          <w:rFonts w:ascii="Times New Roman;serif" w:hAnsi="Times New Roman;serif"/>
          <w:b w:val="false"/>
          <w:color w:val="000000"/>
          <w:sz w:val="18"/>
        </w:rPr>
        <w:t>Total assets for Corporate primarily consist of cash and cash equivalents, income taxes receivable, deferred income taxes, property, buildings and equipment, and capitalized cloud computing arrangement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July 1, 2026, the Company closed its acquisition of Newark Engineering Group (“Newark”), a Singapore-based provider of engineered cooling solutions and lifecycle services for data centers. The Company funded the base purchase price paid at closing of approximately $135.0 million with borrowings on the Revolving Credit Facility and cash on hand. Due to the timing of the close of the acquisition, the Company will complete its preliminary purchase price allocation during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120"/>
        <w:ind w:left="0" w:right="0" w:firstLine="270"/>
        <w:jc w:val="both"/>
        <w:rPr/>
      </w:pPr>
      <w:r>
        <w:rPr>
          <w:rFonts w:ascii="Times New Roman;serif" w:hAnsi="Times New Roman;serif"/>
          <w:b w:val="false"/>
          <w:i/>
          <w:color w:val="000000"/>
          <w:sz w:val="20"/>
        </w:rPr>
        <w:t xml:space="preserve">The following discussion should be read in conjunction with the unaudited condensed consolidated financial statements and notes thereto included in Item 1 of this Quarterly Report on Form 10-Q and WESCO International, Inc.’s audited Consolidated Financial Statements and Management’s Discussion and Analysis of Financial Condition and Results of Operations included in its Annual Report on Form 10-K for the fiscal year ended December 31, 2025. The matters discussed herein may contain forward-looking statements that are subject to certain risks and uncertainties that could cause actual results to differ materially from expectations. Certain of these risks are set forth in Item 1A of WESCO International, Inc.’s Annual Report on Form 10-K for the fiscal year ended December 31, 2025, as well as WESCO International, Inc.’s other reports filed with the Securities and Exchange Commission. In this Item 2, </w:t>
      </w:r>
      <w:r>
        <w:rPr>
          <w:color w:val="000000"/>
        </w:rPr>
        <w:t>“</w:t>
      </w:r>
      <w:r>
        <w:rPr>
          <w:rFonts w:ascii="Times New Roman;serif" w:hAnsi="Times New Roman;serif"/>
          <w:b w:val="false"/>
          <w:i/>
          <w:color w:val="000000"/>
          <w:sz w:val="20"/>
        </w:rPr>
        <w:t>Wesco</w:t>
      </w:r>
      <w:r>
        <w:rPr>
          <w:color w:val="000000"/>
        </w:rPr>
        <w:t xml:space="preserve">” </w:t>
      </w:r>
      <w:r>
        <w:rPr>
          <w:rFonts w:ascii="Times New Roman;serif" w:hAnsi="Times New Roman;serif"/>
          <w:b w:val="false"/>
          <w:i/>
          <w:color w:val="000000"/>
          <w:sz w:val="20"/>
        </w:rPr>
        <w:t xml:space="preserve">refers to WESCO International, Inc., and its subsidiaries and its predecessors unless the context otherwise requires. References to </w:t>
      </w:r>
      <w:r>
        <w:rPr>
          <w:color w:val="000000"/>
        </w:rPr>
        <w:t>“</w:t>
      </w:r>
      <w:r>
        <w:rPr>
          <w:rFonts w:ascii="Times New Roman;serif" w:hAnsi="Times New Roman;serif"/>
          <w:b w:val="false"/>
          <w:i/>
          <w:color w:val="000000"/>
          <w:sz w:val="20"/>
        </w:rPr>
        <w:t>we,</w:t>
      </w:r>
      <w:r>
        <w:rPr>
          <w:color w:val="000000"/>
        </w:rPr>
        <w:t>” “</w:t>
      </w:r>
      <w:r>
        <w:rPr>
          <w:rFonts w:ascii="Times New Roman;serif" w:hAnsi="Times New Roman;serif"/>
          <w:b w:val="false"/>
          <w:i/>
          <w:color w:val="000000"/>
          <w:sz w:val="20"/>
        </w:rPr>
        <w:t>us,</w:t>
      </w:r>
      <w:r>
        <w:rPr>
          <w:color w:val="000000"/>
        </w:rPr>
        <w:t>” “</w:t>
      </w:r>
      <w:r>
        <w:rPr>
          <w:rFonts w:ascii="Times New Roman;serif" w:hAnsi="Times New Roman;serif"/>
          <w:b w:val="false"/>
          <w:i/>
          <w:color w:val="000000"/>
          <w:sz w:val="20"/>
        </w:rPr>
        <w:t>our</w:t>
      </w:r>
      <w:r>
        <w:rPr>
          <w:color w:val="000000"/>
        </w:rPr>
        <w:t xml:space="preserve">” </w:t>
      </w:r>
      <w:r>
        <w:rPr>
          <w:rFonts w:ascii="Times New Roman;serif" w:hAnsi="Times New Roman;serif"/>
          <w:b w:val="false"/>
          <w:i/>
          <w:color w:val="000000"/>
          <w:sz w:val="20"/>
        </w:rPr>
        <w:t xml:space="preserve">and the </w:t>
      </w:r>
      <w:r>
        <w:rPr>
          <w:color w:val="000000"/>
        </w:rPr>
        <w:t>“</w:t>
      </w:r>
      <w:r>
        <w:rPr>
          <w:rFonts w:ascii="Times New Roman;serif" w:hAnsi="Times New Roman;serif"/>
          <w:b w:val="false"/>
          <w:i/>
          <w:color w:val="000000"/>
          <w:sz w:val="20"/>
        </w:rPr>
        <w:t>Company</w:t>
      </w:r>
      <w:r>
        <w:rPr>
          <w:color w:val="000000"/>
        </w:rPr>
        <w:t xml:space="preserve">” </w:t>
      </w:r>
      <w:r>
        <w:rPr>
          <w:rFonts w:ascii="Times New Roman;serif" w:hAnsi="Times New Roman;serif"/>
          <w:b w:val="false"/>
          <w:i/>
          <w:color w:val="000000"/>
          <w:sz w:val="20"/>
        </w:rPr>
        <w:t>refer to Wesco and its subsidiaries.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to the results provided in accordance with accounting principles generally accepted in the United States of America (“U.S. GAAP”), our discussion and analysis of financial condition and results of operations includes certain non-GAAP financial measures, which are defined further below. These financial measures include Organic sales growth, Earnings before interest, taxes, depreciation and amortization (“EBITDA”), Adjusted EBITDA, Adjusted EBITDA margin, Financial leverage, Adjusted selling, general and administrative expenses, Adjusted income from operations, Adjusted other non-operating (income) expense, Adjusted provision for income taxes, Adjusted income before income taxes, Adjusted net income, Adjusted net income attributable to WESCO International, Inc., Adjusted net income attributable to common stockholders, and Adjusted earnings per diluted share. We believe that these non-GAAP measures are helpful to users of our financial statements as they provide a better understanding of our financial condition and results of operations on a comparable basis. Additionally, certain non-GAAP measures either focus on or exclude items impacting comparability of results, allowing users to more easily compare our financial performance from period to period. Management uses certain non-GAAP financial measures in its evaluation of the performance of the Company’s operating segments and in the determination of incentive compensation. Management does not use these non-GAAP financial measures for any purpose other than the reasons stated above.</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Company Overview </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headquartered in Pittsburgh, Pennsylvania, is a leading provider of business-to-business distribution, logistics services and supply chain solutions.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employ approximately 21,000 people, maintain relationships with more than 35,000 suppliers, and serve nearly 130,000 customers worldwide. With millions of products, end-to-end supply chain services and significant digital capabilities, Wesco provides innovative solutions to meet customer needs across commercial and industrial businesses, technology companies, telecommunications providers, and utilities. Our innovative solutions include supply chain management, logistics and transportation, procurement, warehousing and inventory management, as well as kitting and labeling, limited assembly of products and installation enhancement. We operate more than 700 sites, including distribution centers, fulfillment centers and sales offices in approximately 50 countries, providing a local presence for customers and a global network to serve multi-location businesses and global corporations.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operating segments comprising three strategic business units: Electrical &amp; Electronic Solutions (“EES”), Communications &amp; Security Solutions (“CSS”) and Utility &amp; Broadband Solutions (“UBS”). These operating segments are equivalent to our reportable segments. The following is a description of each of our reportable segments and their business activities.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Electrical &amp; Electronic Solutions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EES segment, serving customers in over 50 countries, is a North American leader, and supplies a broad range of products and solutions primarily to construction, industrial and original equipment manufacturer (“OEM”) customers. The EES product portfolio includes a broad range of electrical equipment and supplies, automation and connected devices (the “Internet of Things” or “IoT”), security, lighting, wire and cable, safety, and maintenance, repair and operating (“MRO”) products from industry-leading manufacturing partners. The EES service portfolio includes solutions to improve project execution, direct and indirect manufacturing supply chain optimization programs, lighting and renewables advisory services, and digital and automation solutions to improve safety and productivity.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Communications &amp; Security Solutions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CSS segment, serving customers in over 50 countries, is a global leader in data center, network infrastructure and security solutions. CSS sells directly to end-users or through an extensive network of channel partners, including data communications contractors, security and network integrators, professional audio/visual integrators, and systems integrators. CSS also provides a wide range of professional A/V, safety, facilities, and energy management solutions. The full CSS product portfolio is frequently coupled with services designed to enhance efficiency and productivity across all customer segments globally. These services include data center services, advisory, installation enhancement, project deployment, supply chain solutions, and management platforms.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Utility &amp; Broadband Solutions</w:t>
      </w:r>
    </w:p>
    <w:p>
      <w:pPr>
        <w:pStyle w:val="TextBody"/>
        <w:bidi w:val="0"/>
        <w:spacing w:lineRule="auto" w:line="26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UBS segment is a leader in North America, serving customers primarily in the U.S. and Canada, and provides products and services to investor-owned utilities, electric power cooperatives and municipalities, as well as global service providers, wireless providers, broadband operators and the contractors that service these customers. The products sold include wire and cable, transformers, transmission and distribution hardware, switches, protective devices, connectors, lighting, conduit, fiber and copper cable, connectivity products, pole line hardware, racks, cabinets, safety and MRO products, and point-to-point wireless devices. UBS also offers a complete set of service solutions to improve customer supply chain efficiencies.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Highlights</w:t>
      </w:r>
    </w:p>
    <w:p>
      <w:pPr>
        <w:pStyle w:val="TextBody"/>
        <w:bidi w:val="0"/>
        <w:spacing w:lineRule="auto" w:line="26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results reflect continued sales momentum in the first six months of 2026, highlighted by a 13.4% year-over-year increase in reported Net sales driven by volume growth across all three segments. For the first six months of 2026 compared to the first six months of 2025, organic sales increased by 12.5%, which adjusts for fluctuations in foreign exchange rates. All three of our segments contributed to growth, led by our CSS segment's data center solutions business. Our EES segment experienced continued growth across its OEM and construction businesses, fueled in part by continued demand for data center projects and increased infrastructure activity. Our UBS segment also delivered sales growth, driven by year-over-year increases in its United States and Canadian broadband businesses, along with growth in its utility business and increased grid services activity. We also saw record year-over-year backlog growth driven by all three segments. </w:t>
      </w:r>
    </w:p>
    <w:p>
      <w:pPr>
        <w:pStyle w:val="TextBody"/>
        <w:bidi w:val="0"/>
        <w:spacing w:lineRule="auto" w:line="26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we issued 5.250% Senior Notes due 2031 (the “2031 Notes”) and 5.500% Senior Notes due 2034 (the “2034 Notes” and, together with the 2031 Notes, the “2031 and 2034 Notes”) in part to support the redemption of our 7.250% senior notes due 2028 (the “2028 Notes”) which occurred in the second quarter on June 15, 2026. Following the redemption of the 2028 Notes, we have no significant debt maturities until 2029. We expect this redemption to create substantial net income, earnings per share, and cash flow benefit.</w:t>
      </w:r>
    </w:p>
    <w:p>
      <w:pPr>
        <w:pStyle w:val="TextBody"/>
        <w:bidi w:val="0"/>
        <w:spacing w:lineRule="auto" w:line="26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are actively monitoring and evaluating the potential effects of the February 20, 2026 U.S. Supreme Court ruling that invalidated tariffs imposed under the International Emergency Economic Powers Act (“IEEPA”). IEEPA tariff refunds are not expected to materially impact our unaudited Condensed Consolidated Financial Statements.</w:t>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we continued to execute on our multi-year, phased development and implementation of a new Digital and Data Platform (“DDP”). The DDP is intended to be a unified, technology-enabled operating model that spans all business functions, maintains and enhances the flow of financial information, and improves resource efficiency. </w:t>
      </w:r>
    </w:p>
    <w:p>
      <w:pPr>
        <w:pStyle w:val="TextBody"/>
        <w:bidi w:val="0"/>
        <w:spacing w:lineRule="auto" w:line="26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Taking the above highlights into consideration, we believe we are well positioned to benefit from enduring secular growth trends of AI-driven data centers, increased power generation, electrification, automation and reshoring. </w:t>
      </w:r>
    </w:p>
    <w:p>
      <w:pPr>
        <w:pStyle w:val="TextBody"/>
        <w:bidi w:val="0"/>
        <w:spacing w:before="12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Second Quarter of 2026 versus Second Quarter of 2025</w:t>
      </w:r>
    </w:p>
    <w:p>
      <w:pPr>
        <w:pStyle w:val="TextBody"/>
        <w:bidi w:val="0"/>
        <w:spacing w:lineRule="auto" w:line="288" w:before="240" w:after="18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12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Net sales and organic sales growth for the periods presented:</w:t>
      </w:r>
    </w:p>
    <w:tbl>
      <w:tblPr>
        <w:tblW w:w="10205" w:type="dxa"/>
        <w:jc w:val="left"/>
        <w:tblInd w:w="0" w:type="dxa"/>
        <w:tblLayout w:type="fixed"/>
        <w:tblCellMar>
          <w:top w:w="28" w:type="dxa"/>
          <w:left w:w="28" w:type="dxa"/>
          <w:bottom w:w="28" w:type="dxa"/>
          <w:right w:w="28" w:type="dxa"/>
        </w:tblCellMar>
      </w:tblPr>
      <w:tblGrid>
        <w:gridCol w:w="219"/>
        <w:gridCol w:w="192"/>
        <w:gridCol w:w="194"/>
        <w:gridCol w:w="221"/>
        <w:gridCol w:w="804"/>
        <w:gridCol w:w="114"/>
        <w:gridCol w:w="109"/>
        <w:gridCol w:w="109"/>
        <w:gridCol w:w="109"/>
        <w:gridCol w:w="221"/>
        <w:gridCol w:w="804"/>
        <w:gridCol w:w="114"/>
        <w:gridCol w:w="109"/>
        <w:gridCol w:w="109"/>
        <w:gridCol w:w="109"/>
        <w:gridCol w:w="303"/>
        <w:gridCol w:w="235"/>
        <w:gridCol w:w="569"/>
        <w:gridCol w:w="109"/>
        <w:gridCol w:w="109"/>
        <w:gridCol w:w="109"/>
        <w:gridCol w:w="237"/>
        <w:gridCol w:w="237"/>
        <w:gridCol w:w="592"/>
        <w:gridCol w:w="109"/>
        <w:gridCol w:w="109"/>
        <w:gridCol w:w="109"/>
        <w:gridCol w:w="256"/>
        <w:gridCol w:w="256"/>
        <w:gridCol w:w="642"/>
        <w:gridCol w:w="109"/>
        <w:gridCol w:w="109"/>
        <w:gridCol w:w="109"/>
        <w:gridCol w:w="204"/>
        <w:gridCol w:w="204"/>
        <w:gridCol w:w="508"/>
        <w:gridCol w:w="109"/>
        <w:gridCol w:w="109"/>
        <w:gridCol w:w="109"/>
        <w:gridCol w:w="271"/>
        <w:gridCol w:w="249"/>
        <w:gridCol w:w="597"/>
      </w:tblGrid>
      <w:tr>
        <w:trPr/>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Growth/(Decline)</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 Sales</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20" w:after="180"/>
        <w:jc w:val="both"/>
        <w:rPr>
          <w:rFonts w:ascii="Times New Roman;serif" w:hAnsi="Times New Roman;serif"/>
          <w:b w:val="false"/>
          <w:color w:val="000000"/>
          <w:sz w:val="18"/>
        </w:rPr>
      </w:pPr>
      <w:r>
        <w:rPr>
          <w:rFonts w:ascii="Times New Roman;serif" w:hAnsi="Times New Roman;serif"/>
          <w:b w:val="false"/>
          <w:color w:val="000000"/>
          <w:sz w:val="18"/>
        </w:rPr>
        <w:t>Note: Organic sales growth is a non-GAAP financial measure of sales performance. Organic sales growth is calculated by deducting the percentage impact from acquisitions and divestitures for one year following the respective transaction, fluctuations in foreign exchange rates and number of workdays from the reported percentage change in consolidated Net sales. Workday impact represents the change in the number of operating days period-over-period after adjusting for weekends and public holidays in the United States; there was no change in the number of workdays in the second quarter of 2026 compared to the second quarter of 2025.</w:t>
      </w:r>
    </w:p>
    <w:p>
      <w:pPr>
        <w:pStyle w:val="TextBody"/>
        <w:bidi w:val="0"/>
        <w:spacing w:lineRule="auto" w:line="276"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were $6.7 billion for the second quarter of 2026 compared to $5.9 billion for the second quarter of 2025, an increase of 13.0%. Organic sales for the second quarter of 2026 grew by 12.6%. This growth reflects an approximate 10% increase in volume driven by all three segments (CSS, EES and UBS), and an approximate 3% benefit from price. </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Cost of goods sold for the second quarter of 2026 was $5.2 billion compared to $4.7 billion for the second quarter of 2025, an increase of 11.9%. Cost of goods sold as a percentage of Net sales was 78.2% and 78.9% for the second quarter of 2026 and 2025, respectively. The favorable impact reflects improved gross margins in the EES and CSS segments, partially offset by a decline in the UBS segment.</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expenses for the second quarter of 2026 totaled $1,022.7 million versus $872.2 million for the second quarter of 2025, an increase of $150.5 million, or 17.3%.</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SG&amp;A expenses to Adjusted SG&amp;A expenses, which is a non-GAAP financial measure, for the periods presented: </w:t>
      </w:r>
    </w:p>
    <w:tbl>
      <w:tblPr>
        <w:tblW w:w="7360" w:type="dxa"/>
        <w:jc w:val="center"/>
        <w:tblInd w:w="0" w:type="dxa"/>
        <w:tblLayout w:type="fixed"/>
        <w:tblCellMar>
          <w:top w:w="28" w:type="dxa"/>
          <w:left w:w="28" w:type="dxa"/>
          <w:bottom w:w="28" w:type="dxa"/>
          <w:right w:w="28" w:type="dxa"/>
        </w:tblCellMar>
      </w:tblPr>
      <w:tblGrid>
        <w:gridCol w:w="917"/>
        <w:gridCol w:w="807"/>
        <w:gridCol w:w="810"/>
        <w:gridCol w:w="628"/>
        <w:gridCol w:w="384"/>
        <w:gridCol w:w="337"/>
        <w:gridCol w:w="359"/>
        <w:gridCol w:w="359"/>
        <w:gridCol w:w="361"/>
        <w:gridCol w:w="628"/>
        <w:gridCol w:w="323"/>
        <w:gridCol w:w="323"/>
        <w:gridCol w:w="327"/>
        <w:gridCol w:w="327"/>
        <w:gridCol w:w="470"/>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Net sales</w:t>
            </w:r>
          </w:p>
        </w:tc>
        <w:tc>
          <w:tcPr>
            <w:tcW w:w="12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Net sales</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SG&amp;A Expenses:</w:t>
            </w:r>
          </w:p>
        </w:tc>
        <w:tc>
          <w:tcPr>
            <w:tcW w:w="482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15.3%</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14.8%</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(1)</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expenses</w:t>
            </w:r>
          </w:p>
        </w:tc>
        <w:tc>
          <w:tcPr>
            <w:tcW w:w="6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c>
          <w:tcPr>
            <w:tcW w:w="6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14.6%</w:t>
            </w:r>
          </w:p>
        </w:tc>
      </w:tr>
    </w:tbl>
    <w:p>
      <w:pPr>
        <w:pStyle w:val="TextBody"/>
        <w:bidi w:val="0"/>
        <w:spacing w:lineRule="auto" w:line="288" w:before="60" w:after="6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Digital transformation costs include costs associated with certain digital transformation initiatives.</w:t>
      </w:r>
    </w:p>
    <w:p>
      <w:pPr>
        <w:pStyle w:val="TextBody"/>
        <w:bidi w:val="0"/>
        <w:spacing w:lineRule="auto" w:line="288" w:before="60" w:after="60"/>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Restructuring costs include severance costs incurred pursuant to an ongoing restructuring plan.</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SG&amp;A payroll and payroll-related expenses for the second quarter of 2026 were $628.1 million, an increase of $86.6 million compared to the same period in 2025, which primarily reflects increases of $33.4 million in commissions and incentives, $25.3 million in salaries, $15.6 million in benefits, and $10.7 million in stock-based compensation expense. The higher commissions and incentives expense was largely driven by increased commissions and management incentive accruals aligned with Company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SG&amp;A expenses not related to payroll and payroll-related costs for the second quarter of 2026 were $394.6 million, an increase of $63.9 million compared to the same period in 2025, which primarily reflects increased professional and consulting fees of $15.3 million, increased transportation costs of $11.8 million, increased costs to operate our facilities of $10.9 million, and increased bad debt expense of $10.7 million. Additionally, digital transformation costs increased by $15.6 million year-over-year primarily due to increased costs associated with DDP deployment resources.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Income from Operations</w:t>
      </w:r>
    </w:p>
    <w:p>
      <w:pPr>
        <w:pStyle w:val="TextBody"/>
        <w:bidi w:val="0"/>
        <w:spacing w:lineRule="auto" w:line="288" w:before="12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Income from operations was $382.2 million for the second quarter of 2026 compared to $322.2 million for the second quarter of 2025, an increase of $60.0 million, or 18.6%. The increase primarily reflects higher Net sales and lower Cost of goods sold as a percentage of Net sales, partially offset by higher SG&amp;A expenses as a percentage of Net sales.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interest expense totaled $110.4 million for the second quarter of 2026 compared to $92.9 million for the second quarter of 2025. The increase of $17.5 million, or 18.8%, was primarily driven by higher net term debt throughout the second quarter of 2026 compared to the second quarter of 2025, as well as a $10.0 million non-cash loss on extinguishment of the 2028 Notes. These increases were partially offset by lower borrowings and lower rates on our accounts receivable securitization facility (the “Receivables Facility”) and our revolving credit facility (the “Revolving Credit Facility”) throughout the second quarter of 2026 compared to the second quarter of 2025.</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Other non-operating income totaled $0.2 million for the second quarter of 2026 compared to $7.3 million for the second quarter of 2025. We recognized a net foreign currency exchange loss of $2.3 million for the second quarter of 2026 compared to a net foreign currency exchange gain of $3.0 million for the second quarter of 2025. We also recognized $0.6 million and $2.3 million of income in the second quarter of 2026 and 2025, respectively, from adjustments to the fair value of the contingent consideration liability related to a recent acquisition.</w:t>
      </w:r>
    </w:p>
    <w:p>
      <w:pPr>
        <w:pStyle w:val="TextBody"/>
        <w:bidi w:val="0"/>
        <w:spacing w:lineRule="auto" w:line="276" w:before="180" w:after="1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was $62.4 million for the second quarter of 2026 compared to $61.8 million for the corresponding quarter of the prior year, resulting in effective tax rates of 22.9% and 26.1%, respectively. The lower effective tax rate for the second quarter of 2026 is largely driven by higher discrete income tax benefits relating to the exercise of stock-based awards.</w:t>
      </w:r>
    </w:p>
    <w:p>
      <w:pPr>
        <w:pStyle w:val="TextBody"/>
        <w:bidi w:val="0"/>
        <w:spacing w:lineRule="auto" w:line="276" w:before="180" w:after="283"/>
        <w:jc w:val="both"/>
        <w:rPr>
          <w:rFonts w:ascii="Times New Roman;serif" w:hAnsi="Times New Roman;serif"/>
          <w:b/>
          <w:i/>
          <w:color w:val="000000"/>
          <w:sz w:val="20"/>
        </w:rPr>
      </w:pPr>
      <w:r>
        <w:rPr>
          <w:rFonts w:ascii="Times New Roman;serif" w:hAnsi="Times New Roman;serif"/>
          <w:b/>
          <w:i/>
          <w:color w:val="000000"/>
          <w:sz w:val="20"/>
        </w:rPr>
        <w:t>Net Income and Earnings per Share</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and Earnings per diluted share attributable to common stockholders were $209.0 million and $4.23, respectively, for the second quarter of 2026 compared to $189.2 million and $3.83, respectively, for the second quarter of 2025. Adjusted for the non-GAAP adjustments above and the related income tax effects, Net income and Earnings per diluted share attributable to common stockholders were $225.6 million and $4.57, respectively, for the three months ended June 30, 2026, and $167.5 million and $3.39, respectively, for the three months ended June 30, 2025. </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increase in Adjusted earnings per diluted share primarily reflects the increase in Net sales and lower Cost of goods sold as a percentage of Net sales, partially offset by higher Adjusted SG&amp;A expenses.</w:t>
      </w:r>
    </w:p>
    <w:p>
      <w:pPr>
        <w:pStyle w:val="TextBody"/>
        <w:bidi w:val="0"/>
        <w:spacing w:lineRule="auto" w:line="276" w:before="180" w:after="120"/>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Adjusted EBITDA, a non-GAAP financial measure, was $487.2 million for the second quarter of 2026, compared to $394.2 million for the second quarter of 2025, an increase of $93.0 million, or 23.6% year-over-year. The increase primarily reflects higher Net sales and gross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76" w:before="180" w:after="120"/>
        <w:jc w:val="both"/>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the financial results of our operating segments comprising three strategic business units consisting of EES, CSS and UBS for the three months ended June 30, 2026. As further described below and in Note 12, “Business Segments” of our Notes to the unaudited Condensed Consolidated Financial Statements, the Chief Operating Decision Maker (the “CODM”) allocates resources and evaluates the performance of the Company’s reportable segments based on Adjusted EBITDA, which is the Company’s measure of segment profit or loss. Adjusted EBITDA and Adjusted EBITDA margin percentage are non-GAAP financial measures.</w:t>
      </w:r>
    </w:p>
    <w:p>
      <w:pPr>
        <w:pStyle w:val="TextBody"/>
        <w:bidi w:val="0"/>
        <w:spacing w:lineRule="auto" w:line="276" w:before="180" w:after="120"/>
        <w:jc w:val="both"/>
        <w:rPr>
          <w:rFonts w:ascii="Times New Roman;serif" w:hAnsi="Times New Roman;serif"/>
          <w:b w:val="false"/>
          <w:i/>
          <w:color w:val="000000"/>
          <w:sz w:val="20"/>
        </w:rPr>
      </w:pPr>
      <w:r>
        <w:rPr>
          <w:rFonts w:ascii="Times New Roman;serif" w:hAnsi="Times New Roman;serif"/>
          <w:b w:val="false"/>
          <w:i/>
          <w:color w:val="000000"/>
          <w:sz w:val="20"/>
        </w:rPr>
        <w:t>Electrical &amp; Electronic Solutions</w:t>
      </w:r>
    </w:p>
    <w:tbl>
      <w:tblPr>
        <w:tblW w:w="10205" w:type="dxa"/>
        <w:jc w:val="left"/>
        <w:tblInd w:w="0" w:type="dxa"/>
        <w:tblLayout w:type="fixed"/>
        <w:tblCellMar>
          <w:top w:w="28" w:type="dxa"/>
          <w:left w:w="28" w:type="dxa"/>
          <w:bottom w:w="28" w:type="dxa"/>
          <w:right w:w="28" w:type="dxa"/>
        </w:tblCellMar>
      </w:tblPr>
      <w:tblGrid>
        <w:gridCol w:w="396"/>
        <w:gridCol w:w="347"/>
        <w:gridCol w:w="353"/>
        <w:gridCol w:w="248"/>
        <w:gridCol w:w="235"/>
        <w:gridCol w:w="501"/>
        <w:gridCol w:w="112"/>
        <w:gridCol w:w="112"/>
        <w:gridCol w:w="112"/>
        <w:gridCol w:w="248"/>
        <w:gridCol w:w="235"/>
        <w:gridCol w:w="501"/>
        <w:gridCol w:w="109"/>
        <w:gridCol w:w="109"/>
        <w:gridCol w:w="109"/>
        <w:gridCol w:w="303"/>
        <w:gridCol w:w="222"/>
        <w:gridCol w:w="532"/>
        <w:gridCol w:w="109"/>
        <w:gridCol w:w="109"/>
        <w:gridCol w:w="109"/>
        <w:gridCol w:w="237"/>
        <w:gridCol w:w="237"/>
        <w:gridCol w:w="592"/>
        <w:gridCol w:w="109"/>
        <w:gridCol w:w="109"/>
        <w:gridCol w:w="109"/>
        <w:gridCol w:w="234"/>
        <w:gridCol w:w="234"/>
        <w:gridCol w:w="587"/>
        <w:gridCol w:w="109"/>
        <w:gridCol w:w="109"/>
        <w:gridCol w:w="109"/>
        <w:gridCol w:w="204"/>
        <w:gridCol w:w="204"/>
        <w:gridCol w:w="508"/>
        <w:gridCol w:w="109"/>
        <w:gridCol w:w="109"/>
        <w:gridCol w:w="109"/>
        <w:gridCol w:w="271"/>
        <w:gridCol w:w="244"/>
        <w:gridCol w:w="561"/>
      </w:tblGrid>
      <w:tr>
        <w:trPr/>
        <w:tc>
          <w:tcPr>
            <w:tcW w:w="3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Growth/(Decline)</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 Sales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EES reported Net sales of $2.5 billion for the second quarter of 2026 compared to $2.3 billion for the second quarter of 2025, an increase of $252.9 million, or 11.2%. EES organic sales for the second quarter of 2026 increased by 10.9%, reflecting volume growth of approximately 6%, driven primarily by the construction and OEM businesses, and by the impact of changes in price, which favorably impacted organic sales by approximately 5%.</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EES Adjusted EBITDA increased $48.4 million, or 26.5% year-over-year. The increase primarily reflects an increase in volume and price, as well as improved gross margin.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Communications &amp; Security Solutions</w:t>
      </w:r>
    </w:p>
    <w:tbl>
      <w:tblPr>
        <w:tblW w:w="10205" w:type="dxa"/>
        <w:jc w:val="left"/>
        <w:tblInd w:w="0" w:type="dxa"/>
        <w:tblLayout w:type="fixed"/>
        <w:tblCellMar>
          <w:top w:w="28" w:type="dxa"/>
          <w:left w:w="28" w:type="dxa"/>
          <w:bottom w:w="28" w:type="dxa"/>
          <w:right w:w="28" w:type="dxa"/>
        </w:tblCellMar>
      </w:tblPr>
      <w:tblGrid>
        <w:gridCol w:w="393"/>
        <w:gridCol w:w="345"/>
        <w:gridCol w:w="351"/>
        <w:gridCol w:w="264"/>
        <w:gridCol w:w="235"/>
        <w:gridCol w:w="500"/>
        <w:gridCol w:w="112"/>
        <w:gridCol w:w="112"/>
        <w:gridCol w:w="112"/>
        <w:gridCol w:w="247"/>
        <w:gridCol w:w="235"/>
        <w:gridCol w:w="500"/>
        <w:gridCol w:w="109"/>
        <w:gridCol w:w="109"/>
        <w:gridCol w:w="109"/>
        <w:gridCol w:w="303"/>
        <w:gridCol w:w="222"/>
        <w:gridCol w:w="531"/>
        <w:gridCol w:w="109"/>
        <w:gridCol w:w="109"/>
        <w:gridCol w:w="109"/>
        <w:gridCol w:w="237"/>
        <w:gridCol w:w="237"/>
        <w:gridCol w:w="592"/>
        <w:gridCol w:w="109"/>
        <w:gridCol w:w="109"/>
        <w:gridCol w:w="109"/>
        <w:gridCol w:w="233"/>
        <w:gridCol w:w="233"/>
        <w:gridCol w:w="585"/>
        <w:gridCol w:w="109"/>
        <w:gridCol w:w="109"/>
        <w:gridCol w:w="109"/>
        <w:gridCol w:w="204"/>
        <w:gridCol w:w="204"/>
        <w:gridCol w:w="508"/>
        <w:gridCol w:w="109"/>
        <w:gridCol w:w="109"/>
        <w:gridCol w:w="109"/>
        <w:gridCol w:w="271"/>
        <w:gridCol w:w="244"/>
        <w:gridCol w:w="560"/>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Growth/(Decline)</w:t>
            </w:r>
          </w:p>
        </w:tc>
      </w:tr>
      <w:tr>
        <w:trPr/>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 Sales</w:t>
            </w:r>
          </w:p>
        </w:tc>
      </w:tr>
      <w:tr>
        <w:trPr/>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CSS reported Net sales of $2.7 billion for the second quarter of 2026 compared to $2.3 billion for the second quarter of 2025, an increase of $416.0 million, or 18.4%. CSS organic sales for the second quarter of 2026 grew by 17.5%, primarily reflecting volume growth of approximately 17%, driven primarily by the data center solutions business, as well as the impact of changes in price, which favorably impacted organic sales by approximately 1%.</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CSS Adjusted EBITDA increased $74.0 million, or 37.2% year-over-year. The increase primarily reflects an increase in volume, specifically within the data center solutions business as well as improved gross margin and lower SG&amp;A expenses as a percentage of Net sales.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Utility &amp; Broadband Solutions</w:t>
      </w:r>
    </w:p>
    <w:tbl>
      <w:tblPr>
        <w:tblW w:w="10205" w:type="dxa"/>
        <w:jc w:val="left"/>
        <w:tblInd w:w="0" w:type="dxa"/>
        <w:tblLayout w:type="fixed"/>
        <w:tblCellMar>
          <w:top w:w="28" w:type="dxa"/>
          <w:left w:w="28" w:type="dxa"/>
          <w:bottom w:w="28" w:type="dxa"/>
          <w:right w:w="28" w:type="dxa"/>
        </w:tblCellMar>
      </w:tblPr>
      <w:tblGrid>
        <w:gridCol w:w="417"/>
        <w:gridCol w:w="365"/>
        <w:gridCol w:w="372"/>
        <w:gridCol w:w="273"/>
        <w:gridCol w:w="235"/>
        <w:gridCol w:w="504"/>
        <w:gridCol w:w="113"/>
        <w:gridCol w:w="113"/>
        <w:gridCol w:w="113"/>
        <w:gridCol w:w="273"/>
        <w:gridCol w:w="235"/>
        <w:gridCol w:w="504"/>
        <w:gridCol w:w="109"/>
        <w:gridCol w:w="109"/>
        <w:gridCol w:w="109"/>
        <w:gridCol w:w="226"/>
        <w:gridCol w:w="217"/>
        <w:gridCol w:w="542"/>
        <w:gridCol w:w="109"/>
        <w:gridCol w:w="109"/>
        <w:gridCol w:w="109"/>
        <w:gridCol w:w="237"/>
        <w:gridCol w:w="237"/>
        <w:gridCol w:w="592"/>
        <w:gridCol w:w="109"/>
        <w:gridCol w:w="109"/>
        <w:gridCol w:w="109"/>
        <w:gridCol w:w="240"/>
        <w:gridCol w:w="240"/>
        <w:gridCol w:w="602"/>
        <w:gridCol w:w="109"/>
        <w:gridCol w:w="109"/>
        <w:gridCol w:w="109"/>
        <w:gridCol w:w="204"/>
        <w:gridCol w:w="204"/>
        <w:gridCol w:w="508"/>
        <w:gridCol w:w="109"/>
        <w:gridCol w:w="109"/>
        <w:gridCol w:w="109"/>
        <w:gridCol w:w="239"/>
        <w:gridCol w:w="192"/>
        <w:gridCol w:w="573"/>
      </w:tblGrid>
      <w:tr>
        <w:trPr/>
        <w:tc>
          <w:tcPr>
            <w:tcW w:w="41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Growth/(Decline)</w:t>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 Sales</w:t>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UBS reported Net sales of $1,473.2 million for the second quarter of 2026 compared to $1,376.6 million for the second quarter of 2025, an increase of $96.6 million, or 7.0%, reflecting volume growth of approximately 4% driven by the broadband and utility businesses, as well as the impact of changes in price, which favorably impacted organic sales by approximately 3%.</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UBS Adjusted EBITDA increased $3.1 million, or 2.2% year-over-year.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before="12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reconcile Net income attributable to common stockholders to Adjusted EBITDA and Adjusted EBITDA margin % by segment, which are non-GAAP financial measures, for the periods presented: </w:t>
      </w:r>
    </w:p>
    <w:tbl>
      <w:tblPr>
        <w:tblW w:w="10205" w:type="dxa"/>
        <w:jc w:val="left"/>
        <w:tblInd w:w="0" w:type="dxa"/>
        <w:tblLayout w:type="fixed"/>
        <w:tblCellMar>
          <w:top w:w="28" w:type="dxa"/>
          <w:left w:w="28" w:type="dxa"/>
          <w:bottom w:w="28" w:type="dxa"/>
          <w:right w:w="28" w:type="dxa"/>
        </w:tblCellMar>
      </w:tblPr>
      <w:tblGrid>
        <w:gridCol w:w="1179"/>
        <w:gridCol w:w="910"/>
        <w:gridCol w:w="919"/>
        <w:gridCol w:w="125"/>
        <w:gridCol w:w="125"/>
        <w:gridCol w:w="125"/>
        <w:gridCol w:w="244"/>
        <w:gridCol w:w="174"/>
        <w:gridCol w:w="486"/>
        <w:gridCol w:w="125"/>
        <w:gridCol w:w="125"/>
        <w:gridCol w:w="125"/>
        <w:gridCol w:w="313"/>
        <w:gridCol w:w="225"/>
        <w:gridCol w:w="486"/>
        <w:gridCol w:w="125"/>
        <w:gridCol w:w="125"/>
        <w:gridCol w:w="125"/>
        <w:gridCol w:w="313"/>
        <w:gridCol w:w="225"/>
        <w:gridCol w:w="486"/>
        <w:gridCol w:w="125"/>
        <w:gridCol w:w="125"/>
        <w:gridCol w:w="125"/>
        <w:gridCol w:w="564"/>
        <w:gridCol w:w="375"/>
        <w:gridCol w:w="379"/>
        <w:gridCol w:w="125"/>
        <w:gridCol w:w="125"/>
        <w:gridCol w:w="125"/>
        <w:gridCol w:w="317"/>
        <w:gridCol w:w="292"/>
        <w:gridCol w:w="443"/>
      </w:tblGrid>
      <w:tr>
        <w:trPr/>
        <w:tc>
          <w:tcPr>
            <w:tcW w:w="117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3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3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EES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UBS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w:t>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w:t>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Cloud computing arrangement amortization</w:t>
            </w:r>
            <w:r>
              <w:rPr>
                <w:rFonts w:ascii="Times New Roman;serif" w:hAnsi="Times New Roman;serif"/>
                <w:b w:val="false"/>
                <w:color w:val="000000"/>
                <w:sz w:val="13"/>
              </w:rPr>
              <w:t>(3)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231.3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272.9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(163.8)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487.2</w:t>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w:t>
            </w:r>
          </w:p>
        </w:tc>
        <w:tc>
          <w:tcPr>
            <w:tcW w:w="4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w:t>
            </w:r>
          </w:p>
        </w:tc>
        <w:tc>
          <w:tcPr>
            <w:tcW w:w="4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w:t>
            </w:r>
          </w:p>
        </w:tc>
        <w:tc>
          <w:tcPr>
            <w:tcW w:w="4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reportable segments do not incur income taxes and interest expense as these costs are centrally controlled through the Corporate tax and treasury functions.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Digital transformation costs include costs associated with certain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Cloud computing arrangement amortization consists of expense recognized in Selling, general and administrative expenses for capitalized implementation costs for cloud computing arrangements to support our digital transformation initiatives.</w:t>
            </w:r>
          </w:p>
        </w:tc>
      </w:tr>
    </w:tbl>
    <w:tbl>
      <w:tblPr>
        <w:tblW w:w="10205" w:type="dxa"/>
        <w:jc w:val="left"/>
        <w:tblInd w:w="0" w:type="dxa"/>
        <w:tblLayout w:type="fixed"/>
        <w:tblCellMar>
          <w:top w:w="28" w:type="dxa"/>
          <w:left w:w="28" w:type="dxa"/>
          <w:bottom w:w="28" w:type="dxa"/>
          <w:right w:w="28" w:type="dxa"/>
        </w:tblCellMar>
      </w:tblPr>
      <w:tblGrid>
        <w:gridCol w:w="1201"/>
        <w:gridCol w:w="931"/>
        <w:gridCol w:w="941"/>
        <w:gridCol w:w="126"/>
        <w:gridCol w:w="126"/>
        <w:gridCol w:w="126"/>
        <w:gridCol w:w="246"/>
        <w:gridCol w:w="175"/>
        <w:gridCol w:w="490"/>
        <w:gridCol w:w="126"/>
        <w:gridCol w:w="126"/>
        <w:gridCol w:w="126"/>
        <w:gridCol w:w="246"/>
        <w:gridCol w:w="175"/>
        <w:gridCol w:w="490"/>
        <w:gridCol w:w="126"/>
        <w:gridCol w:w="126"/>
        <w:gridCol w:w="126"/>
        <w:gridCol w:w="316"/>
        <w:gridCol w:w="227"/>
        <w:gridCol w:w="490"/>
        <w:gridCol w:w="126"/>
        <w:gridCol w:w="126"/>
        <w:gridCol w:w="126"/>
        <w:gridCol w:w="567"/>
        <w:gridCol w:w="379"/>
        <w:gridCol w:w="383"/>
        <w:gridCol w:w="126"/>
        <w:gridCol w:w="126"/>
        <w:gridCol w:w="126"/>
        <w:gridCol w:w="319"/>
        <w:gridCol w:w="295"/>
        <w:gridCol w:w="444"/>
      </w:tblGrid>
      <w:tr>
        <w:trPr/>
        <w:tc>
          <w:tcPr>
            <w:tcW w:w="120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3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EES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UBS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w:t>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redemption of Series A Preferred Stock</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Cloud computing arrangement amortization</w:t>
            </w:r>
            <w:r>
              <w:rPr>
                <w:rFonts w:ascii="Times New Roman;serif" w:hAnsi="Times New Roman;serif"/>
                <w:b w:val="false"/>
                <w:color w:val="000000"/>
                <w:sz w:val="13"/>
              </w:rPr>
              <w:t>(3)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182.9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198.9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143.7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394.2</w:t>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w:t>
            </w:r>
          </w:p>
        </w:tc>
        <w:tc>
          <w:tcPr>
            <w:tcW w:w="4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w:t>
            </w:r>
          </w:p>
        </w:tc>
        <w:tc>
          <w:tcPr>
            <w:tcW w:w="4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w:t>
            </w:r>
          </w:p>
        </w:tc>
        <w:tc>
          <w:tcPr>
            <w:tcW w:w="4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reportable segments do not incur income taxes and interest expense as these costs are centrally controlled through the Corporate tax and treasury functions.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Digital transformation costs include costs associated with certain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Cloud computing arrangement amortization consists of expense recognized in Selling, general and administrative expenses for capitalized implementation costs for cloud computing arrangements to support our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Restructuring costs include severance costs incurred pursuant to an ongoing restructuring plan.</w:t>
            </w:r>
          </w:p>
        </w:tc>
      </w:tr>
    </w:tbl>
    <w:p>
      <w:pPr>
        <w:pStyle w:val="TextBody"/>
        <w:bidi w:val="0"/>
        <w:spacing w:lineRule="auto" w:line="288" w:before="200" w:after="180"/>
        <w:jc w:val="both"/>
        <w:rPr>
          <w:rFonts w:ascii="Times New Roman;serif" w:hAnsi="Times New Roman;serif"/>
          <w:b w:val="false"/>
          <w:color w:val="000000"/>
          <w:sz w:val="18"/>
        </w:rPr>
      </w:pPr>
      <w:r>
        <w:rPr>
          <w:rFonts w:ascii="Times New Roman;serif" w:hAnsi="Times New Roman;serif"/>
          <w:b w:val="false"/>
          <w:color w:val="000000"/>
          <w:sz w:val="18"/>
        </w:rPr>
        <w:t>Note: Adjusted EBITDA and Adjusted EBITDA margin % are non-GAAP financial measures that provide indicators of the Company's performance and its ability to meet debt service requirements. Adjusted EBITDA margin % is calculated by dividing Adjusted EBITDA by Net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Selling, general and administrative expenses, Income from operations, Provision for income taxes, Net income attributable to common stockholders and Earnings per diluted share to Adjusted selling, general and administrative expenses, Adjusted income from operations, Adjusted provision for income taxes, Adjusted net income attributable to common stockholders, and Adjusted earnings per diluted share, which are non-GAAP financial measures, for the periods presented:</w:t>
      </w:r>
    </w:p>
    <w:tbl>
      <w:tblPr>
        <w:tblW w:w="8352" w:type="dxa"/>
        <w:jc w:val="center"/>
        <w:tblInd w:w="0" w:type="dxa"/>
        <w:tblLayout w:type="fixed"/>
        <w:tblCellMar>
          <w:top w:w="28" w:type="dxa"/>
          <w:left w:w="28" w:type="dxa"/>
          <w:bottom w:w="28" w:type="dxa"/>
          <w:right w:w="28" w:type="dxa"/>
        </w:tblCellMar>
      </w:tblPr>
      <w:tblGrid>
        <w:gridCol w:w="1873"/>
        <w:gridCol w:w="1648"/>
        <w:gridCol w:w="1653"/>
        <w:gridCol w:w="627"/>
        <w:gridCol w:w="360"/>
        <w:gridCol w:w="361"/>
        <w:gridCol w:w="170"/>
        <w:gridCol w:w="170"/>
        <w:gridCol w:w="170"/>
        <w:gridCol w:w="588"/>
        <w:gridCol w:w="303"/>
        <w:gridCol w:w="429"/>
      </w:tblGrid>
      <w:tr>
        <w:trPr/>
        <w:tc>
          <w:tcPr>
            <w:tcW w:w="187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1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5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SG&amp;A Expenses:</w:t>
            </w:r>
          </w:p>
        </w:tc>
        <w:tc>
          <w:tcPr>
            <w:tcW w:w="317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(1)</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expenses</w:t>
            </w:r>
          </w:p>
        </w:tc>
        <w:tc>
          <w:tcPr>
            <w:tcW w:w="6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from Operations: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(1)</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from operations</w:t>
            </w:r>
          </w:p>
        </w:tc>
        <w:tc>
          <w:tcPr>
            <w:tcW w:w="6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w:t>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Provision for Income Taxes: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Income tax effect of adjustments to Income from operations</w:t>
            </w:r>
            <w:r>
              <w:rPr>
                <w:rFonts w:ascii="Times New Roman;serif" w:hAnsi="Times New Roman;serif"/>
                <w:b w:val="false"/>
                <w:color w:val="000000"/>
                <w:sz w:val="13"/>
              </w:rPr>
              <w:t>(3)</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provision for income taxes</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Attributable to Common Stockholders:</w:t>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(1)</w:t>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Income tax effect of adjustments to Income from operations</w:t>
            </w:r>
            <w:r>
              <w:rPr>
                <w:rFonts w:ascii="Times New Roman;serif" w:hAnsi="Times New Roman;serif"/>
                <w:b w:val="false"/>
                <w:color w:val="000000"/>
                <w:sz w:val="13"/>
              </w:rPr>
              <w:t>(3)</w:t>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redemption of Series A Preferred Stock</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common stockholders</w:t>
            </w:r>
          </w:p>
        </w:tc>
        <w:tc>
          <w:tcPr>
            <w:tcW w:w="62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w:t>
            </w:r>
          </w:p>
        </w:tc>
      </w:tr>
    </w:tbl>
    <w:p>
      <w:pPr>
        <w:pStyle w:val="TextBody"/>
        <w:bidi w:val="0"/>
        <w:spacing w:lineRule="auto" w:line="288" w:before="60" w:after="6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Digital transformation costs include costs associated with certain digital transformation initiatives.</w:t>
      </w:r>
    </w:p>
    <w:p>
      <w:pPr>
        <w:pStyle w:val="TextBody"/>
        <w:bidi w:val="0"/>
        <w:spacing w:lineRule="auto" w:line="288" w:before="60" w:after="60"/>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Restructuring costs include severance costs incurred pursuant to an ongoing restructuring plan.</w:t>
      </w:r>
    </w:p>
    <w:p>
      <w:pPr>
        <w:pStyle w:val="TextBody"/>
        <w:bidi w:val="0"/>
        <w:spacing w:lineRule="auto" w:line="288" w:before="60" w:after="60"/>
        <w:ind w:left="0" w:right="0" w:hanging="270"/>
        <w:jc w:val="both"/>
        <w:rPr/>
      </w:pPr>
      <w:r>
        <w:rPr>
          <w:rFonts w:ascii="Times New Roman;serif" w:hAnsi="Times New Roman;serif"/>
          <w:b w:val="false"/>
          <w:color w:val="000000"/>
          <w:sz w:val="12"/>
        </w:rPr>
        <w:t>(3)    </w:t>
      </w:r>
      <w:r>
        <w:rPr>
          <w:rFonts w:ascii="Times New Roman;serif" w:hAnsi="Times New Roman;serif"/>
          <w:b w:val="false"/>
          <w:color w:val="000000"/>
          <w:sz w:val="18"/>
        </w:rPr>
        <w:t xml:space="preserve">The adjustments to Income from operations have been tax effected at rates of </w:t>
      </w:r>
      <w:r>
        <w:rPr>
          <w:rFonts w:ascii="Times New Roman;serif" w:hAnsi="Times New Roman;serif"/>
          <w:b w:val="false"/>
          <w:color w:val="000000"/>
          <w:sz w:val="20"/>
        </w:rPr>
        <w:t>28.4%</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20"/>
        </w:rPr>
        <w:t>26.3%</w:t>
      </w:r>
      <w:r>
        <w:rPr>
          <w:color w:val="000000"/>
        </w:rPr>
        <w:t xml:space="preserve"> </w:t>
      </w:r>
      <w:r>
        <w:rPr>
          <w:rFonts w:ascii="Times New Roman;serif" w:hAnsi="Times New Roman;serif"/>
          <w:b w:val="false"/>
          <w:color w:val="000000"/>
          <w:sz w:val="18"/>
        </w:rPr>
        <w:t xml:space="preserve">for the three months ended June 30, 2026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tbl>
      <w:tblPr>
        <w:tblW w:w="8126" w:type="dxa"/>
        <w:jc w:val="left"/>
        <w:tblInd w:w="0" w:type="dxa"/>
        <w:tblLayout w:type="fixed"/>
        <w:tblCellMar>
          <w:top w:w="28" w:type="dxa"/>
          <w:left w:w="28" w:type="dxa"/>
          <w:bottom w:w="28" w:type="dxa"/>
          <w:right w:w="28" w:type="dxa"/>
        </w:tblCellMar>
      </w:tblPr>
      <w:tblGrid>
        <w:gridCol w:w="1883"/>
        <w:gridCol w:w="1658"/>
        <w:gridCol w:w="1664"/>
        <w:gridCol w:w="287"/>
        <w:gridCol w:w="839"/>
        <w:gridCol w:w="148"/>
        <w:gridCol w:w="109"/>
        <w:gridCol w:w="109"/>
        <w:gridCol w:w="109"/>
        <w:gridCol w:w="284"/>
        <w:gridCol w:w="829"/>
        <w:gridCol w:w="207"/>
      </w:tblGrid>
      <w:tr>
        <w:trPr/>
        <w:tc>
          <w:tcPr>
            <w:tcW w:w="188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Diluted Share:</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data)</w:t>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from operations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income taxes</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provision for income taxes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WESCO International, Inc.</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common stockholders</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diluted share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8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Note: For the three months ended June 30, 2026, Selling, general and administrative expenses, Income from operations, Provision for income taxes, Net income attributable to common stockholders, and Earnings per diluted share have been adjusted to exclude Digital transformation costs and the related income tax effects. For the three months ended June 30, 2025, Selling, general and administrative expenses, Income from operations, Provision for income taxes, Net income attributable to common stockholders, and Earnings per diluted share have been adjusted to exclude Digital transformation costs, Restructuring costs, and the related income tax effects, and the Gain on redemption of the Company's Series A Preferred Stock. These non-GAAP financial measures provide a better understanding of our financial results on a comparable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2026 versus Six Months Ended June 30, 2025</w:t>
      </w:r>
    </w:p>
    <w:p>
      <w:pPr>
        <w:pStyle w:val="TextBody"/>
        <w:bidi w:val="0"/>
        <w:spacing w:lineRule="auto" w:line="288" w:before="240" w:after="18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Net sales and organic sales growth for the periods presented:</w:t>
      </w:r>
    </w:p>
    <w:tbl>
      <w:tblPr>
        <w:tblW w:w="10205" w:type="dxa"/>
        <w:jc w:val="left"/>
        <w:tblInd w:w="0" w:type="dxa"/>
        <w:tblLayout w:type="fixed"/>
        <w:tblCellMar>
          <w:top w:w="28" w:type="dxa"/>
          <w:left w:w="28" w:type="dxa"/>
          <w:bottom w:w="28" w:type="dxa"/>
          <w:right w:w="28" w:type="dxa"/>
        </w:tblCellMar>
      </w:tblPr>
      <w:tblGrid>
        <w:gridCol w:w="210"/>
        <w:gridCol w:w="184"/>
        <w:gridCol w:w="186"/>
        <w:gridCol w:w="214"/>
        <w:gridCol w:w="884"/>
        <w:gridCol w:w="110"/>
        <w:gridCol w:w="109"/>
        <w:gridCol w:w="109"/>
        <w:gridCol w:w="109"/>
        <w:gridCol w:w="214"/>
        <w:gridCol w:w="884"/>
        <w:gridCol w:w="110"/>
        <w:gridCol w:w="109"/>
        <w:gridCol w:w="109"/>
        <w:gridCol w:w="109"/>
        <w:gridCol w:w="303"/>
        <w:gridCol w:w="228"/>
        <w:gridCol w:w="548"/>
        <w:gridCol w:w="109"/>
        <w:gridCol w:w="109"/>
        <w:gridCol w:w="109"/>
        <w:gridCol w:w="237"/>
        <w:gridCol w:w="237"/>
        <w:gridCol w:w="592"/>
        <w:gridCol w:w="109"/>
        <w:gridCol w:w="109"/>
        <w:gridCol w:w="109"/>
        <w:gridCol w:w="243"/>
        <w:gridCol w:w="243"/>
        <w:gridCol w:w="610"/>
        <w:gridCol w:w="109"/>
        <w:gridCol w:w="109"/>
        <w:gridCol w:w="109"/>
        <w:gridCol w:w="204"/>
        <w:gridCol w:w="204"/>
        <w:gridCol w:w="508"/>
        <w:gridCol w:w="109"/>
        <w:gridCol w:w="109"/>
        <w:gridCol w:w="109"/>
        <w:gridCol w:w="271"/>
        <w:gridCol w:w="246"/>
        <w:gridCol w:w="573"/>
      </w:tblGrid>
      <w:tr>
        <w:trPr/>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Growth/(Decline)</w:t>
            </w:r>
          </w:p>
        </w:tc>
      </w:tr>
      <w:tr>
        <w:trPr/>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 Sales</w:t>
            </w:r>
          </w:p>
        </w:tc>
      </w:tr>
      <w:tr>
        <w:trPr/>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20" w:after="180"/>
        <w:jc w:val="both"/>
        <w:rPr>
          <w:rFonts w:ascii="Times New Roman;serif" w:hAnsi="Times New Roman;serif"/>
          <w:b w:val="false"/>
          <w:color w:val="000000"/>
          <w:sz w:val="18"/>
        </w:rPr>
      </w:pPr>
      <w:r>
        <w:rPr>
          <w:rFonts w:ascii="Times New Roman;serif" w:hAnsi="Times New Roman;serif"/>
          <w:b w:val="false"/>
          <w:color w:val="000000"/>
          <w:sz w:val="18"/>
        </w:rPr>
        <w:t>Note: Organic sales growth is a non-GAAP financial measure of sales performance. Organic sales growth is calculated by deducting the percentage impact from acquisitions and divestitures for one year following the respective transaction, fluctuations in foreign exchange rates and number of workdays from the reported percentage change in consolidated Net sales. Workday impact represents the change in the number of operating days period-over-period after adjusting for weekends and public holidays in the United States; there was no change in the number of workdays in the first six months of 2026 compared to the first six months of 2025.</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were $12.7 billion for the first six months of 2026 compared to $11.2 billion for the first six months of 2025, an increase of 13.4%. Organic sales for the first six months of 2026 grew by 12.5%. This growth reflects an approximate 10% increase in volume driven by all three segments (CSS, EES, and UBS), and an approximate 3% benefit from price. </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Cost of goods sold for the first six months of 2026 was $10.0 billion compared to $8.9 billion for the first six months of 2025, an increase of 12.6%. Cost of goods sold as a percentage of Net sales was 78.4% and 78.9% for the first six months of 2026 and 2025, respectively. The favorable impact reflects improved gross margin in the EES and CSS segments, partially offset by a decline in the UBS segment.</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SG&amp;A expenses for the first six months of 2026 totaled $2.0 billion versus $1.7 billion for the first six months of 2025, an increase of $261.8 million, or 15.3%. </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SG&amp;A expenses to Adjusted SG&amp;A expenses, which is a non-GAAP financial measure, for the periods presented: </w:t>
      </w:r>
    </w:p>
    <w:tbl>
      <w:tblPr>
        <w:tblW w:w="7431" w:type="dxa"/>
        <w:jc w:val="center"/>
        <w:tblInd w:w="0" w:type="dxa"/>
        <w:tblLayout w:type="fixed"/>
        <w:tblCellMar>
          <w:top w:w="28" w:type="dxa"/>
          <w:left w:w="28" w:type="dxa"/>
          <w:bottom w:w="28" w:type="dxa"/>
          <w:right w:w="28" w:type="dxa"/>
        </w:tblCellMar>
      </w:tblPr>
      <w:tblGrid>
        <w:gridCol w:w="917"/>
        <w:gridCol w:w="807"/>
        <w:gridCol w:w="810"/>
        <w:gridCol w:w="626"/>
        <w:gridCol w:w="357"/>
        <w:gridCol w:w="364"/>
        <w:gridCol w:w="359"/>
        <w:gridCol w:w="359"/>
        <w:gridCol w:w="361"/>
        <w:gridCol w:w="626"/>
        <w:gridCol w:w="357"/>
        <w:gridCol w:w="364"/>
        <w:gridCol w:w="327"/>
        <w:gridCol w:w="327"/>
        <w:gridCol w:w="470"/>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Net sales</w:t>
            </w:r>
          </w:p>
        </w:tc>
        <w:tc>
          <w:tcPr>
            <w:tcW w:w="13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Net sales</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SG&amp;A Expenses:</w:t>
            </w:r>
          </w:p>
        </w:tc>
        <w:tc>
          <w:tcPr>
            <w:tcW w:w="489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1,970.3</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15.5%</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1,708.5</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15.2%</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(1)</w:t>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expenses</w:t>
            </w:r>
          </w:p>
        </w:tc>
        <w:tc>
          <w:tcPr>
            <w:tcW w:w="6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1,929.6</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15.1%</w:t>
            </w:r>
          </w:p>
        </w:tc>
        <w:tc>
          <w:tcPr>
            <w:tcW w:w="6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1,693.1</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15.1%</w:t>
            </w:r>
          </w:p>
        </w:tc>
      </w:tr>
    </w:tbl>
    <w:p>
      <w:pPr>
        <w:pStyle w:val="TextBody"/>
        <w:bidi w:val="0"/>
        <w:spacing w:lineRule="auto" w:line="288" w:before="60" w:after="6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Digital transformation costs include costs associated with certain digital transformation initiatives.</w:t>
      </w:r>
    </w:p>
    <w:p>
      <w:pPr>
        <w:pStyle w:val="TextBody"/>
        <w:bidi w:val="0"/>
        <w:spacing w:lineRule="auto" w:line="288" w:before="60" w:after="60"/>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Restructuring costs include severance costs incurred pursuant to an ongoing restructuring plan.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SG&amp;A payroll and payroll-related expenses for the first six months of 2026 were $1,213.0 million, an increase of $152.1 million compared to the same period in 2025, which primarily reflects increases of $55.7 million in commissions and incentives, $51.8 million in salaries, $25.0 million in benefits, and $16.6 million in stock-based compensation expense. The higher commissions and incentives expense was largely driven by increased commissions and management incentive accruals aligned with Company performance.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SG&amp;A expenses not related to payroll and payroll-related costs for the first six months of 2026 were $757.3 million, an increase of $109.7 million compared to the same period in 2025, which primarily reflects increased professional and consulting fees of $26.0 million, increased transportation costs of $24.1 million, increased costs to operate our facilities of $21.3 million, and increased IT costs of $20.6 million. Additionally, digital transformation costs increased by $26.9 million year-over-year primarily due to increased costs associated with DDP deployment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Income from Operations</w:t>
      </w:r>
    </w:p>
    <w:p>
      <w:pPr>
        <w:pStyle w:val="TextBody"/>
        <w:bidi w:val="0"/>
        <w:spacing w:lineRule="auto" w:line="288" w:before="12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Income from operations was $675.7 million for the first six months of 2026 compared to $563.1 million for the first six months of 2025, an increase of $112.6 million, or 20.0%. The increase primarily reflects higher Net sales and lower Cost of goods sold as a percentage of Net sales, partially offset by higher SG&amp;A expenses as a percentage of Net sales.</w:t>
      </w:r>
    </w:p>
    <w:p>
      <w:pPr>
        <w:pStyle w:val="TextBody"/>
        <w:bidi w:val="0"/>
        <w:spacing w:lineRule="auto" w:line="288" w:before="180" w:after="6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interest expense totaled $207.1 million for the first six months of 2026 compared to $179.2 million for the first six months of 2025. The increase of $27.9 million, or 15.6%, was primarily driven by higher net term debt throughout the first six months of 2026 compared to the first six months of 2025, as well as a $10.0 million non-cash loss on extinguishment of the 2028 Notes. These increases were partially offset by lower borrowings and lower rates on our Receivables Facility and our Revolving Credit Facility throughout the first six months of 2026 compared to the first six months of 2025.</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Other non-operating income totaled $0.6 million for the first six months of 2026 compared to $7.1 million for the first six months of 2025. We recognized a net foreign currency exchange loss of $3.1 million for the first six months of 2026 compared to a net foreign currency exchange gain of $1.9 million for the first six months of 2025. We also recognized $1.1 million and $2.4 million of income in the first six months of 2026 and 2025, respectively, from adjustments to the fair value of the contingent consideration liability related to a recent acquisition.</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Other non-operating income to Adjusted other non-operating income, which is a non-GAAP financial measure, for the periods presented: </w:t>
      </w:r>
    </w:p>
    <w:tbl>
      <w:tblPr>
        <w:tblW w:w="6937" w:type="dxa"/>
        <w:jc w:val="center"/>
        <w:tblInd w:w="0" w:type="dxa"/>
        <w:tblLayout w:type="fixed"/>
        <w:tblCellMar>
          <w:top w:w="28" w:type="dxa"/>
          <w:left w:w="28" w:type="dxa"/>
          <w:bottom w:w="28" w:type="dxa"/>
          <w:right w:w="28" w:type="dxa"/>
        </w:tblCellMar>
      </w:tblPr>
      <w:tblGrid>
        <w:gridCol w:w="1412"/>
        <w:gridCol w:w="1239"/>
        <w:gridCol w:w="1248"/>
        <w:gridCol w:w="629"/>
        <w:gridCol w:w="323"/>
        <w:gridCol w:w="323"/>
        <w:gridCol w:w="148"/>
        <w:gridCol w:w="148"/>
        <w:gridCol w:w="148"/>
        <w:gridCol w:w="588"/>
        <w:gridCol w:w="302"/>
        <w:gridCol w:w="429"/>
      </w:tblGrid>
      <w:tr>
        <w:trPr/>
        <w:tc>
          <w:tcPr>
            <w:tcW w:w="141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4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Other Income, net:</w:t>
            </w:r>
          </w:p>
        </w:tc>
        <w:tc>
          <w:tcPr>
            <w:tcW w:w="303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termination of business arrangement</w:t>
            </w:r>
            <w:r>
              <w:rPr>
                <w:rFonts w:ascii="Times New Roman;serif" w:hAnsi="Times New Roman;serif"/>
                <w:b w:val="false"/>
                <w:color w:val="000000"/>
                <w:sz w:val="13"/>
              </w:rPr>
              <w:t>(1)</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other income, net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bl>
    <w:p>
      <w:pPr>
        <w:pStyle w:val="TextBody"/>
        <w:bidi w:val="0"/>
        <w:spacing w:lineRule="auto" w:line="288" w:before="40" w:after="4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Loss on termination of business arrangement represents the loss recognized as a result of management's decision to terminate a business arrangement with a third party.</w:t>
      </w:r>
    </w:p>
    <w:p>
      <w:pPr>
        <w:pStyle w:val="TextBody"/>
        <w:bidi w:val="0"/>
        <w:spacing w:lineRule="auto" w:line="276" w:before="180" w:after="1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was $105.5 million for the first six months of 2026 compared to $97.9 million in last year's comparable period, resulting in effective tax rates of 22.5% and 25.0%, respectively. The lower effective tax rate for the first six months of 2026 is largely driven by higher discrete income tax benefits relating to the exercise and vesting of stock-based awards.</w:t>
      </w:r>
    </w:p>
    <w:p>
      <w:pPr>
        <w:pStyle w:val="TextBody"/>
        <w:bidi w:val="0"/>
        <w:spacing w:lineRule="auto" w:line="276" w:before="180" w:after="283"/>
        <w:jc w:val="both"/>
        <w:rPr>
          <w:rFonts w:ascii="Times New Roman;serif" w:hAnsi="Times New Roman;serif"/>
          <w:b/>
          <w:i/>
          <w:color w:val="000000"/>
          <w:sz w:val="20"/>
        </w:rPr>
      </w:pPr>
      <w:r>
        <w:rPr>
          <w:rFonts w:ascii="Times New Roman;serif" w:hAnsi="Times New Roman;serif"/>
          <w:b/>
          <w:i/>
          <w:color w:val="000000"/>
          <w:sz w:val="20"/>
        </w:rPr>
        <w:t>Net Income and Earnings per Share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income and Earnings per diluted share attributable to common stockholders were $362.8 million and $7.33, respectively, for the first six months of 2026 compared to $293.2 million and $5.92, respectively, for the first six months of 2025. Adjusted for the non-GAAP adjustments above and the related income tax effects, and the $27.6 million gain recognized as a result of the Company's redemption of its outstanding Series A Preferred Stock, Net income and Earnings per diluted share attributable to common stockholders were $392.4 million and $7.93, respectively, for the first six months of 2026 and $277.2 million and $5.60, respectively, for the first six months of 2025.</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increase in Adjusted earnings per diluted share primarily reflects the increase in Net sales and lower Cost of goods sold as a percentage of Net sales.</w:t>
      </w:r>
    </w:p>
    <w:p>
      <w:pPr>
        <w:pStyle w:val="TextBody"/>
        <w:bidi w:val="0"/>
        <w:spacing w:lineRule="auto" w:line="276" w:before="180" w:after="120"/>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a non-GAAP financial measure, was $876.0 million for the first six months of 2026 compared to $704.9 million for the first six months of 2025, an increase of $171.1 million, or 24.3% year-over-year. The increase primarily reflects higher Net sales and gross margin.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76" w:before="180" w:after="120"/>
        <w:jc w:val="both"/>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76"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the financial results of our operating segments comprising three strategic business units consisting of EES, CSS and UBS for the six months ended June 30, 2026. As further described below and in Note 12, “Business Segments” of our Notes to the unaudited Condensed Consolidated Financial Statements, the CODM allocates resources and evaluates the performance of the Company’s reportable segments based on Adjusted EBITDA, which is the Company’s measure of segment profit or loss. Adjusted EBITDA and Adjusted EBITDA margin percentage are non-GAAP financial measures.</w:t>
      </w:r>
    </w:p>
    <w:p>
      <w:pPr>
        <w:pStyle w:val="TextBody"/>
        <w:bidi w:val="0"/>
        <w:spacing w:lineRule="auto" w:line="276" w:before="180" w:after="120"/>
        <w:jc w:val="both"/>
        <w:rPr>
          <w:rFonts w:ascii="Times New Roman;serif" w:hAnsi="Times New Roman;serif"/>
          <w:b w:val="false"/>
          <w:i/>
          <w:color w:val="000000"/>
          <w:sz w:val="20"/>
        </w:rPr>
      </w:pPr>
      <w:r>
        <w:rPr>
          <w:rFonts w:ascii="Times New Roman;serif" w:hAnsi="Times New Roman;serif"/>
          <w:b w:val="false"/>
          <w:i/>
          <w:color w:val="000000"/>
          <w:sz w:val="20"/>
        </w:rPr>
        <w:t>Electrical &amp; Electronic Solutions</w:t>
      </w:r>
    </w:p>
    <w:tbl>
      <w:tblPr>
        <w:tblW w:w="10205" w:type="dxa"/>
        <w:jc w:val="left"/>
        <w:tblInd w:w="0" w:type="dxa"/>
        <w:tblLayout w:type="fixed"/>
        <w:tblCellMar>
          <w:top w:w="28" w:type="dxa"/>
          <w:left w:w="28" w:type="dxa"/>
          <w:bottom w:w="28" w:type="dxa"/>
          <w:right w:w="28" w:type="dxa"/>
        </w:tblCellMar>
      </w:tblPr>
      <w:tblGrid>
        <w:gridCol w:w="411"/>
        <w:gridCol w:w="361"/>
        <w:gridCol w:w="367"/>
        <w:gridCol w:w="254"/>
        <w:gridCol w:w="235"/>
        <w:gridCol w:w="503"/>
        <w:gridCol w:w="110"/>
        <w:gridCol w:w="110"/>
        <w:gridCol w:w="110"/>
        <w:gridCol w:w="254"/>
        <w:gridCol w:w="235"/>
        <w:gridCol w:w="503"/>
        <w:gridCol w:w="109"/>
        <w:gridCol w:w="109"/>
        <w:gridCol w:w="109"/>
        <w:gridCol w:w="303"/>
        <w:gridCol w:w="224"/>
        <w:gridCol w:w="539"/>
        <w:gridCol w:w="109"/>
        <w:gridCol w:w="109"/>
        <w:gridCol w:w="109"/>
        <w:gridCol w:w="237"/>
        <w:gridCol w:w="237"/>
        <w:gridCol w:w="592"/>
        <w:gridCol w:w="109"/>
        <w:gridCol w:w="109"/>
        <w:gridCol w:w="109"/>
        <w:gridCol w:w="238"/>
        <w:gridCol w:w="238"/>
        <w:gridCol w:w="597"/>
        <w:gridCol w:w="109"/>
        <w:gridCol w:w="109"/>
        <w:gridCol w:w="109"/>
        <w:gridCol w:w="204"/>
        <w:gridCol w:w="204"/>
        <w:gridCol w:w="508"/>
        <w:gridCol w:w="109"/>
        <w:gridCol w:w="109"/>
        <w:gridCol w:w="109"/>
        <w:gridCol w:w="238"/>
        <w:gridCol w:w="191"/>
        <w:gridCol w:w="567"/>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Growth/(Decline)</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 Sales</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EES reported Net sales of $4.8 billion for the first six months of 2026 compared to $4.3 billion for the first six months of 2025, an increase of $431.8 million, or 10.0%. EES organic sales for the first six months of 2026 grew by 9.1%, reflecting volume growth of approximately 5%, driven primarily by the construction and OEM businesses, and by the impact of changes in price, which favorably impacted organic sales by approximately 4%.</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EES Adjusted EBITDA increased $90.8 million, or 27.9% year-over-year. The increase primarily reflects an increase in volume and price, as well as improved gross margin.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Communications &amp; Security Solutions</w:t>
      </w:r>
    </w:p>
    <w:tbl>
      <w:tblPr>
        <w:tblW w:w="10205" w:type="dxa"/>
        <w:jc w:val="left"/>
        <w:tblInd w:w="0" w:type="dxa"/>
        <w:tblLayout w:type="fixed"/>
        <w:tblCellMar>
          <w:top w:w="28" w:type="dxa"/>
          <w:left w:w="28" w:type="dxa"/>
          <w:bottom w:w="28" w:type="dxa"/>
          <w:right w:w="28" w:type="dxa"/>
        </w:tblCellMar>
      </w:tblPr>
      <w:tblGrid>
        <w:gridCol w:w="398"/>
        <w:gridCol w:w="349"/>
        <w:gridCol w:w="355"/>
        <w:gridCol w:w="248"/>
        <w:gridCol w:w="235"/>
        <w:gridCol w:w="501"/>
        <w:gridCol w:w="110"/>
        <w:gridCol w:w="110"/>
        <w:gridCol w:w="110"/>
        <w:gridCol w:w="248"/>
        <w:gridCol w:w="235"/>
        <w:gridCol w:w="501"/>
        <w:gridCol w:w="109"/>
        <w:gridCol w:w="109"/>
        <w:gridCol w:w="109"/>
        <w:gridCol w:w="303"/>
        <w:gridCol w:w="222"/>
        <w:gridCol w:w="533"/>
        <w:gridCol w:w="109"/>
        <w:gridCol w:w="109"/>
        <w:gridCol w:w="109"/>
        <w:gridCol w:w="237"/>
        <w:gridCol w:w="237"/>
        <w:gridCol w:w="592"/>
        <w:gridCol w:w="109"/>
        <w:gridCol w:w="109"/>
        <w:gridCol w:w="109"/>
        <w:gridCol w:w="234"/>
        <w:gridCol w:w="234"/>
        <w:gridCol w:w="587"/>
        <w:gridCol w:w="109"/>
        <w:gridCol w:w="109"/>
        <w:gridCol w:w="109"/>
        <w:gridCol w:w="204"/>
        <w:gridCol w:w="204"/>
        <w:gridCol w:w="508"/>
        <w:gridCol w:w="109"/>
        <w:gridCol w:w="109"/>
        <w:gridCol w:w="109"/>
        <w:gridCol w:w="271"/>
        <w:gridCol w:w="244"/>
        <w:gridCol w:w="560"/>
      </w:tblGrid>
      <w:tr>
        <w:trPr/>
        <w:tc>
          <w:tcPr>
            <w:tcW w:w="39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Growth/(Decline)</w:t>
            </w:r>
          </w:p>
        </w:tc>
      </w:tr>
      <w:tr>
        <w:trPr/>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 Sales</w:t>
            </w:r>
          </w:p>
        </w:tc>
      </w:tr>
      <w:tr>
        <w:trPr/>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CSS reported Net sales of $5.2 billion for the first six months of 2026 compared to $4.3 billion for the first six months of 2025, an increase of $894.6 million, or 21.0%. CSS organic sales for the first six months of 2026 grew by 19.7%, primarily reflecting volume growth of approximately 19%, driven primarily by the data center solutions business, as well as the impact of changes in price, which favorably impacted organic sales by approximately 1%.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CSS Adjusted EBITDA increased $138.7 million, or 38.8% year-over-year. The increase primarily reflects an increase in volume, specifically within the data center solutions business, as well as improved gross margin and lower SG&amp;A expenses as a percentage of Net sales.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Utility &amp; Broadband Solutions</w:t>
      </w:r>
    </w:p>
    <w:tbl>
      <w:tblPr>
        <w:tblW w:w="10205" w:type="dxa"/>
        <w:jc w:val="left"/>
        <w:tblInd w:w="0" w:type="dxa"/>
        <w:tblLayout w:type="fixed"/>
        <w:tblCellMar>
          <w:top w:w="28" w:type="dxa"/>
          <w:left w:w="28" w:type="dxa"/>
          <w:bottom w:w="28" w:type="dxa"/>
          <w:right w:w="28" w:type="dxa"/>
        </w:tblCellMar>
      </w:tblPr>
      <w:tblGrid>
        <w:gridCol w:w="422"/>
        <w:gridCol w:w="370"/>
        <w:gridCol w:w="377"/>
        <w:gridCol w:w="258"/>
        <w:gridCol w:w="235"/>
        <w:gridCol w:w="505"/>
        <w:gridCol w:w="110"/>
        <w:gridCol w:w="110"/>
        <w:gridCol w:w="110"/>
        <w:gridCol w:w="274"/>
        <w:gridCol w:w="235"/>
        <w:gridCol w:w="505"/>
        <w:gridCol w:w="109"/>
        <w:gridCol w:w="109"/>
        <w:gridCol w:w="109"/>
        <w:gridCol w:w="227"/>
        <w:gridCol w:w="217"/>
        <w:gridCol w:w="544"/>
        <w:gridCol w:w="109"/>
        <w:gridCol w:w="109"/>
        <w:gridCol w:w="109"/>
        <w:gridCol w:w="237"/>
        <w:gridCol w:w="237"/>
        <w:gridCol w:w="592"/>
        <w:gridCol w:w="109"/>
        <w:gridCol w:w="109"/>
        <w:gridCol w:w="109"/>
        <w:gridCol w:w="241"/>
        <w:gridCol w:w="241"/>
        <w:gridCol w:w="604"/>
        <w:gridCol w:w="109"/>
        <w:gridCol w:w="109"/>
        <w:gridCol w:w="109"/>
        <w:gridCol w:w="204"/>
        <w:gridCol w:w="204"/>
        <w:gridCol w:w="508"/>
        <w:gridCol w:w="109"/>
        <w:gridCol w:w="109"/>
        <w:gridCol w:w="109"/>
        <w:gridCol w:w="239"/>
        <w:gridCol w:w="192"/>
        <w:gridCol w:w="572"/>
      </w:tblGrid>
      <w:tr>
        <w:trPr/>
        <w:tc>
          <w:tcPr>
            <w:tcW w:w="42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Growth/(Decline)</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 Sales</w:t>
            </w:r>
          </w:p>
        </w:tc>
      </w:tr>
      <w:tr>
        <w:trPr/>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UBS reported Net sales of $2.8 billion for the first six months of 2026 compared to $2.7 billion for the first six months of 2025, an increase of $175.5 million, or 6.6%. UBS organic sales for the first six months of 2026 grew by 6.4%, reflecting volume growth of approximately 3% driven by the broadband and utility businesses, as well as the impact of changes in price, which favorably impacted organic sales by approximately 3%.</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UBS Adjusted EBITDA decreased $4.5 million, or 1.6% year-over-year.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Net income attributable to common stockholders to Adjusted EBITDA and Adjusted EBITDA margin % by segment, which are non-GAAP financial measures, for the periods presented:</w:t>
      </w:r>
    </w:p>
    <w:tbl>
      <w:tblPr>
        <w:tblW w:w="10205" w:type="dxa"/>
        <w:jc w:val="left"/>
        <w:tblInd w:w="0" w:type="dxa"/>
        <w:tblLayout w:type="fixed"/>
        <w:tblCellMar>
          <w:top w:w="28" w:type="dxa"/>
          <w:left w:w="28" w:type="dxa"/>
          <w:bottom w:w="28" w:type="dxa"/>
          <w:right w:w="28" w:type="dxa"/>
        </w:tblCellMar>
      </w:tblPr>
      <w:tblGrid>
        <w:gridCol w:w="1225"/>
        <w:gridCol w:w="952"/>
        <w:gridCol w:w="963"/>
        <w:gridCol w:w="128"/>
        <w:gridCol w:w="128"/>
        <w:gridCol w:w="128"/>
        <w:gridCol w:w="247"/>
        <w:gridCol w:w="177"/>
        <w:gridCol w:w="493"/>
        <w:gridCol w:w="128"/>
        <w:gridCol w:w="128"/>
        <w:gridCol w:w="128"/>
        <w:gridCol w:w="247"/>
        <w:gridCol w:w="177"/>
        <w:gridCol w:w="493"/>
        <w:gridCol w:w="128"/>
        <w:gridCol w:w="128"/>
        <w:gridCol w:w="128"/>
        <w:gridCol w:w="247"/>
        <w:gridCol w:w="177"/>
        <w:gridCol w:w="493"/>
        <w:gridCol w:w="128"/>
        <w:gridCol w:w="128"/>
        <w:gridCol w:w="128"/>
        <w:gridCol w:w="572"/>
        <w:gridCol w:w="382"/>
        <w:gridCol w:w="386"/>
        <w:gridCol w:w="128"/>
        <w:gridCol w:w="128"/>
        <w:gridCol w:w="128"/>
        <w:gridCol w:w="321"/>
        <w:gridCol w:w="297"/>
        <w:gridCol w:w="436"/>
      </w:tblGrid>
      <w:tr>
        <w:trPr/>
        <w:tc>
          <w:tcPr>
            <w:tcW w:w="1225"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3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UBS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w:t>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w:t>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(2)</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Cloud computing arrangement amortization</w:t>
            </w:r>
            <w:r>
              <w:rPr>
                <w:rFonts w:ascii="Times New Roman;serif" w:hAnsi="Times New Roman;serif"/>
                <w:b w:val="false"/>
                <w:color w:val="000000"/>
                <w:sz w:val="13"/>
              </w:rPr>
              <w:t>(3)</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416.3</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496.1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277.5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(313.9)</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876.0</w:t>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 %</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w:t>
            </w:r>
          </w:p>
        </w:tc>
        <w:tc>
          <w:tcPr>
            <w:tcW w:w="49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w:t>
            </w:r>
          </w:p>
        </w:tc>
        <w:tc>
          <w:tcPr>
            <w:tcW w:w="49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w:t>
            </w:r>
          </w:p>
        </w:tc>
        <w:tc>
          <w:tcPr>
            <w:tcW w:w="49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reportable segments do not incur income taxes and interest expense as these costs are centrally controlled through the Corporate tax and treasury functions.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Digital transformation costs include costs associated with certain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Cloud computing arrangement amortization consists of expense recognized in Selling, general and administrative expenses for capitalized implementation costs for cloud computing arrangements to support our digital transformation initiatives.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tbl>
      <w:tblPr>
        <w:tblW w:w="10205" w:type="dxa"/>
        <w:jc w:val="left"/>
        <w:tblInd w:w="0" w:type="dxa"/>
        <w:tblLayout w:type="fixed"/>
        <w:tblCellMar>
          <w:top w:w="28" w:type="dxa"/>
          <w:left w:w="28" w:type="dxa"/>
          <w:bottom w:w="28" w:type="dxa"/>
          <w:right w:w="28" w:type="dxa"/>
        </w:tblCellMar>
      </w:tblPr>
      <w:tblGrid>
        <w:gridCol w:w="1201"/>
        <w:gridCol w:w="931"/>
        <w:gridCol w:w="941"/>
        <w:gridCol w:w="126"/>
        <w:gridCol w:w="126"/>
        <w:gridCol w:w="126"/>
        <w:gridCol w:w="246"/>
        <w:gridCol w:w="175"/>
        <w:gridCol w:w="490"/>
        <w:gridCol w:w="126"/>
        <w:gridCol w:w="126"/>
        <w:gridCol w:w="126"/>
        <w:gridCol w:w="246"/>
        <w:gridCol w:w="175"/>
        <w:gridCol w:w="490"/>
        <w:gridCol w:w="126"/>
        <w:gridCol w:w="126"/>
        <w:gridCol w:w="126"/>
        <w:gridCol w:w="316"/>
        <w:gridCol w:w="227"/>
        <w:gridCol w:w="490"/>
        <w:gridCol w:w="126"/>
        <w:gridCol w:w="126"/>
        <w:gridCol w:w="126"/>
        <w:gridCol w:w="567"/>
        <w:gridCol w:w="379"/>
        <w:gridCol w:w="383"/>
        <w:gridCol w:w="126"/>
        <w:gridCol w:w="126"/>
        <w:gridCol w:w="126"/>
        <w:gridCol w:w="319"/>
        <w:gridCol w:w="295"/>
        <w:gridCol w:w="444"/>
      </w:tblGrid>
      <w:tr>
        <w:trPr/>
        <w:tc>
          <w:tcPr>
            <w:tcW w:w="120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3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EES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UBS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w:t>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redemption of Series A Preferred Stock</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w:t>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Cloud computing arrangement amortization</w:t>
            </w:r>
            <w:r>
              <w:rPr>
                <w:rFonts w:ascii="Times New Roman;serif" w:hAnsi="Times New Roman;serif"/>
                <w:b w:val="false"/>
                <w:color w:val="000000"/>
                <w:sz w:val="13"/>
              </w:rPr>
              <w:t>(3)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3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325.5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357.4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282.0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(260.0)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704.9</w:t>
            </w:r>
          </w:p>
        </w:tc>
      </w:tr>
      <w:tr>
        <w:trPr/>
        <w:tc>
          <w:tcPr>
            <w:tcW w:w="3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w:t>
            </w:r>
          </w:p>
        </w:tc>
        <w:tc>
          <w:tcPr>
            <w:tcW w:w="4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8.4</w:t>
            </w:r>
          </w:p>
        </w:tc>
        <w:tc>
          <w:tcPr>
            <w:tcW w:w="4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w:t>
            </w:r>
          </w:p>
        </w:tc>
        <w:tc>
          <w:tcPr>
            <w:tcW w:w="4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The reportable segments do not incur income taxes and interest expense as these costs are centrally controlled through the Corporate tax and treasury functions.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Digital transformation costs include costs associated with certain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Cloud computing arrangement amortization consists of expense recognized in Selling, general and administrative expenses for capitalized implementation costs for cloud computing arrangements to support our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Restructuring costs include severance costs incurred pursuant to an ongoing restructuring plan.</w:t>
            </w:r>
          </w:p>
        </w:tc>
      </w:tr>
    </w:tbl>
    <w:p>
      <w:pPr>
        <w:pStyle w:val="TextBody"/>
        <w:bidi w:val="0"/>
        <w:spacing w:lineRule="auto" w:line="288" w:before="200" w:after="180"/>
        <w:jc w:val="both"/>
        <w:rPr>
          <w:rFonts w:ascii="Times New Roman;serif" w:hAnsi="Times New Roman;serif"/>
          <w:b w:val="false"/>
          <w:color w:val="000000"/>
          <w:sz w:val="18"/>
        </w:rPr>
      </w:pPr>
      <w:r>
        <w:rPr>
          <w:rFonts w:ascii="Times New Roman;serif" w:hAnsi="Times New Roman;serif"/>
          <w:b w:val="false"/>
          <w:color w:val="000000"/>
          <w:sz w:val="18"/>
        </w:rPr>
        <w:t>Note: Adjusted EBITDA and Adjusted EBITDA margin % are non-GAAP financial measures that provide indicators of the Company's performance and its ability to meet debt service requirements. Adjusted EBITDA margin % is calculated by dividing Adjusted EBITDA by Net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Selling, general and administrative expenses, Income from operations, Other non-operating income, Provision for income taxes, Net income attributable to common stockholders and Earnings per diluted share to Adjusted selling, general and administrative expenses, Adjusted income from operations, Adjusted other non-operating income, Adjusted provision for income taxes, Adjusted net income attributable to common stockholders, and Adjusted earnings per diluted share, which are non-GAAP financial measures, for the periods presented:</w:t>
      </w:r>
    </w:p>
    <w:tbl>
      <w:tblPr>
        <w:tblW w:w="10063" w:type="dxa"/>
        <w:jc w:val="center"/>
        <w:tblInd w:w="0" w:type="dxa"/>
        <w:tblLayout w:type="fixed"/>
        <w:tblCellMar>
          <w:top w:w="28" w:type="dxa"/>
          <w:left w:w="28" w:type="dxa"/>
          <w:bottom w:w="28" w:type="dxa"/>
          <w:right w:w="28" w:type="dxa"/>
        </w:tblCellMar>
      </w:tblPr>
      <w:tblGrid>
        <w:gridCol w:w="2502"/>
        <w:gridCol w:w="2203"/>
        <w:gridCol w:w="2210"/>
        <w:gridCol w:w="629"/>
        <w:gridCol w:w="368"/>
        <w:gridCol w:w="353"/>
        <w:gridCol w:w="148"/>
        <w:gridCol w:w="148"/>
        <w:gridCol w:w="148"/>
        <w:gridCol w:w="588"/>
        <w:gridCol w:w="325"/>
        <w:gridCol w:w="441"/>
      </w:tblGrid>
      <w:tr>
        <w:trPr/>
        <w:tc>
          <w:tcPr>
            <w:tcW w:w="2502"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4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6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SG&amp;A Expenses:</w:t>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1,970.3</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1,708.5</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(1)</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expenses</w:t>
            </w:r>
          </w:p>
        </w:tc>
        <w:tc>
          <w:tcPr>
            <w:tcW w:w="6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1,929.6</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1,693.1</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from Operations:</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(1)</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from operations</w:t>
            </w:r>
          </w:p>
        </w:tc>
        <w:tc>
          <w:tcPr>
            <w:tcW w:w="6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Other Income, net:</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termination of business arrangement</w:t>
            </w:r>
            <w:r>
              <w:rPr>
                <w:rFonts w:ascii="Times New Roman;serif" w:hAnsi="Times New Roman;serif"/>
                <w:b w:val="false"/>
                <w:color w:val="000000"/>
                <w:sz w:val="13"/>
              </w:rPr>
              <w:t>(3)</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other income, net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Provision for Income Taxes:</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Income tax effect of adjustments to Income from operations and Other income, net</w:t>
            </w:r>
            <w:r>
              <w:rPr>
                <w:rFonts w:ascii="Times New Roman;serif" w:hAnsi="Times New Roman;serif"/>
                <w:b w:val="false"/>
                <w:color w:val="000000"/>
                <w:sz w:val="13"/>
              </w:rPr>
              <w:t>(4)</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provision for income taxes</w:t>
            </w:r>
          </w:p>
        </w:tc>
        <w:tc>
          <w:tcPr>
            <w:tcW w:w="6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Attributable to Common Stockholders:</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(1)</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termination of business arrangement</w:t>
            </w:r>
            <w:r>
              <w:rPr>
                <w:rFonts w:ascii="Times New Roman;serif" w:hAnsi="Times New Roman;serif"/>
                <w:b w:val="false"/>
                <w:color w:val="000000"/>
                <w:sz w:val="13"/>
              </w:rPr>
              <w:t>(3)</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Income tax effect of adjustments to Income from operations and Other income, net</w:t>
            </w:r>
            <w:r>
              <w:rPr>
                <w:rFonts w:ascii="Times New Roman;serif" w:hAnsi="Times New Roman;serif"/>
                <w:b w:val="false"/>
                <w:color w:val="000000"/>
                <w:sz w:val="13"/>
              </w:rPr>
              <w:t>(4)</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redemption of Series A Preferred Stock</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common stockholders</w:t>
            </w:r>
          </w:p>
        </w:tc>
        <w:tc>
          <w:tcPr>
            <w:tcW w:w="6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w:t>
            </w:r>
          </w:p>
        </w:tc>
      </w:tr>
    </w:tbl>
    <w:p>
      <w:pPr>
        <w:pStyle w:val="TextBody"/>
        <w:bidi w:val="0"/>
        <w:spacing w:lineRule="auto" w:line="288" w:before="60" w:after="6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Digital transformation costs include costs associated with certain digital transformation initiatives.</w:t>
      </w:r>
    </w:p>
    <w:p>
      <w:pPr>
        <w:pStyle w:val="TextBody"/>
        <w:bidi w:val="0"/>
        <w:spacing w:lineRule="auto" w:line="288" w:before="60" w:after="60"/>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Restructuring costs include severance costs incurred pursuant to an ongoing restructuring plan.</w:t>
      </w:r>
    </w:p>
    <w:p>
      <w:pPr>
        <w:pStyle w:val="TextBody"/>
        <w:bidi w:val="0"/>
        <w:spacing w:lineRule="auto" w:line="288" w:before="60" w:after="60"/>
        <w:ind w:left="0" w:right="0" w:hanging="270"/>
        <w:jc w:val="both"/>
        <w:rPr/>
      </w:pPr>
      <w:r>
        <w:rPr>
          <w:rFonts w:ascii="Times New Roman;serif" w:hAnsi="Times New Roman;serif"/>
          <w:b w:val="false"/>
          <w:color w:val="000000"/>
          <w:sz w:val="12"/>
        </w:rPr>
        <w:t>(3)    </w:t>
      </w:r>
      <w:r>
        <w:rPr>
          <w:rFonts w:ascii="Times New Roman;serif" w:hAnsi="Times New Roman;serif"/>
          <w:b w:val="false"/>
          <w:color w:val="000000"/>
          <w:sz w:val="18"/>
        </w:rPr>
        <w:t>Loss on termination of business arrangement represents the loss recognized as a result of management's decision to terminate a business arrangement with a third party.</w:t>
      </w:r>
    </w:p>
    <w:p>
      <w:pPr>
        <w:pStyle w:val="TextBody"/>
        <w:bidi w:val="0"/>
        <w:spacing w:lineRule="auto" w:line="288" w:before="60" w:after="60"/>
        <w:ind w:left="0" w:right="0" w:hanging="270"/>
        <w:jc w:val="both"/>
        <w:rPr/>
      </w:pPr>
      <w:r>
        <w:rPr>
          <w:rFonts w:ascii="Times New Roman;serif" w:hAnsi="Times New Roman;serif"/>
          <w:b w:val="false"/>
          <w:color w:val="000000"/>
          <w:sz w:val="12"/>
        </w:rPr>
        <w:t>(4)    </w:t>
      </w:r>
      <w:r>
        <w:rPr>
          <w:rFonts w:ascii="Times New Roman;serif" w:hAnsi="Times New Roman;serif"/>
          <w:b w:val="false"/>
          <w:color w:val="000000"/>
          <w:sz w:val="18"/>
        </w:rPr>
        <w:t xml:space="preserve">The adjustments to Income from operations and Other income, net have been tax effected at rates of 27.2% and 26.3% for the six months ended June 30, 2026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before="180" w:after="120"/>
        <w:jc w:val="both"/>
        <w:rPr/>
      </w:pPr>
      <w:r>
        <w:rPr/>
      </w:r>
    </w:p>
    <w:tbl>
      <w:tblPr>
        <w:tblW w:w="8126" w:type="dxa"/>
        <w:jc w:val="left"/>
        <w:tblInd w:w="0" w:type="dxa"/>
        <w:tblLayout w:type="fixed"/>
        <w:tblCellMar>
          <w:top w:w="28" w:type="dxa"/>
          <w:left w:w="28" w:type="dxa"/>
          <w:bottom w:w="28" w:type="dxa"/>
          <w:right w:w="28" w:type="dxa"/>
        </w:tblCellMar>
      </w:tblPr>
      <w:tblGrid>
        <w:gridCol w:w="1883"/>
        <w:gridCol w:w="1658"/>
        <w:gridCol w:w="1664"/>
        <w:gridCol w:w="287"/>
        <w:gridCol w:w="839"/>
        <w:gridCol w:w="148"/>
        <w:gridCol w:w="109"/>
        <w:gridCol w:w="109"/>
        <w:gridCol w:w="109"/>
        <w:gridCol w:w="284"/>
        <w:gridCol w:w="829"/>
        <w:gridCol w:w="207"/>
      </w:tblGrid>
      <w:tr>
        <w:trPr/>
        <w:tc>
          <w:tcPr>
            <w:tcW w:w="188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Diluted Share:</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data)</w:t>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from operations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other income,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income taxes</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provision for income taxes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WESCO International, Inc.</w:t>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common stockholders</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diluted share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Note: For the six months ended June 30, 2026, Selling, general and administrative expenses, Income from operations, Provision for income taxes, Net income attributable to common stockholders, and Earnings per diluted share have been adjusted to exclude Digital transformation costs and the related income tax effects. For the six months ended June 30, 2025, SG&amp;A expenses, Income from operations, Other non-operating (income) expense, Provision for income taxes, Net income attributable to common stockholders, and Earnings per diluted share have been adjusted to exclude Digital transformation costs, Restructuring costs, the Loss on termination of business arrangement, and the related income tax effects, and the Gain on redemption of the Company's Series A Preferred Stock. These non-GAAP financial measures provide a better understanding of our financial results on a comparable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liquidity needs generally arise from fluctuations in our working capital requirements, information technology investments, capital expenditures, acquisitions, the payment of dividends, and debt service obligations. We finance our operating and investing needs primarily with borrowings under our Revolving Credit Facility and Receivables Facility, as well as uncommitted lines of credit entered into by certain of our foreign subsidiaries to support local operations, some of which are overdraft facilities. The Revolving Credit Facility has a borrowing limit of $1,725 million and the purchase limit under the Receivables Facility is $1,550 million. Our international lines of credit generally are renewable on an annual basis and certain facilities are fully and unconditionally guaranteed by Wesco Distribution. Accordingly, certain borrowings under these lines directly reduce availability under our Revolving Credit Facility. The maximum borrowing limits of our international lines of credit vary by facility and range between $1.0 million and $12.0 million. As of June 30, 2026, we had $2.1 million outstanding under our international lines of credit.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June 30, 2026, we had $578.9 million outstanding and $1,110.7 million in available borrowing capacity on the Revolving Credit Facility after giving effect to outstanding letters of credit and certain borrowings under our international lines of credit. Additionally as of June 30, 2026, we had $1,275.0 million outstanding and $275.0 million of available borrowing capacity under our Receivables Facility, which combined with available cash of $302.0 million, provided liquidity of approximately $1.7 billion. Cash included in our determination of liquidity represents cash in certain deposit and interest-bearing investment accounts held in the United States and Canada. We monitor the depository institutions that hold our cash and cash equivalents on a regular basis, and we believe that we have placed our deposits with creditworthy financial institutions.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disclosure of our debt instruments, including our outstanding indebtedness as of June 30, 2026, see Note 8, “Debt” of our Notes to the unaudited Condensed Consolidated Financial Statements.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February 27, 2026, Wesco Distribution issued $650 million aggregate principal amount of 2031 Notes and $850 million aggregate principal amount of 2034 Notes. We used the net proceeds from the issuance of the 2031 and 2034 Notes to redeem all of our outstanding 2028 Notes on June 15, 2026. Prior to redeeming the 2028 Notes, we used the net proceeds to temporarily repay a portion of the outstanding borrowings under our Receivables Facility and Revolving Credit Facility. We subsequently redrew under the Receivables Facility and the Revolving Credit Facility in an aggregate amount sufficient to redeem the 2028 Notes.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regularly review our mix of fixed versus variable rate debt, and we may, from time to time, issue or retire borrowings and/or refinance existing debt in an effort to mitigate the impact of interest rate and foreign exchange rate fluctuations, and to maintain a cost-effective capital structure consistent with our anticipated capital requirements. Interest rates remained stable in the first six months of 2026, after the Federal Reserve reduced its benchmark interest rate by 50 basis points in the fourth quarter of 2025. Future interest rate changes would raise or lower the rates we pay on our variable rate debt and would contribute to fluctuations in interest expense versus prior periods.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June 30, 2026, approximately 68% of our debt portfolio consisted of fixed rate debt. We believe our capital structure has an appropriate mix of fixed versus variable rate debt and secured versus unsecured instruments.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Over the next several quarters, we expect that our excess liquidity will be directed primarily at debt reduction, the payment of dividends, share repurchases, digital transformation initiatives, and potential acquisitions and related integration activities. We expect to maintain sufficient liquidity through our credit facilities and cash balances. We continue to monitor the sufficiency of our liquidity given the potential impact of current economic conditions and uncertainty, including tariffs, interest rates, and inflation. While we did not face significant challenges with our sources or uses of cash in the second quarter of 2026, future market disruptions could occur which could potentially affect our liquidity. We believe cash provided by operations and financing activities will be adequate to cover our operational and business needs for at least the next twelve months.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communicate on a regular basis with our lenders regarding our financial and working capital performance, and liquidity position. We were in compliance with all financial covenants and restrictions contained in our debt agreements as of June 30, 2026.</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also measure our ability to meet our debt obligations based on our financial leverage ratio, which was 3.0x as of June 30, 2026 and 3.4x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financial leverage ratio, which is a non-GAAP financial measure, for the periods presented:</w:t>
      </w:r>
    </w:p>
    <w:tbl>
      <w:tblPr>
        <w:tblW w:w="6977" w:type="dxa"/>
        <w:jc w:val="center"/>
        <w:tblInd w:w="0" w:type="dxa"/>
        <w:tblLayout w:type="fixed"/>
        <w:tblCellMar>
          <w:top w:w="28" w:type="dxa"/>
          <w:left w:w="28" w:type="dxa"/>
          <w:bottom w:w="28" w:type="dxa"/>
          <w:right w:w="28" w:type="dxa"/>
        </w:tblCellMar>
      </w:tblPr>
      <w:tblGrid>
        <w:gridCol w:w="1520"/>
        <w:gridCol w:w="1333"/>
        <w:gridCol w:w="1346"/>
        <w:gridCol w:w="196"/>
        <w:gridCol w:w="691"/>
        <w:gridCol w:w="109"/>
        <w:gridCol w:w="109"/>
        <w:gridCol w:w="109"/>
        <w:gridCol w:w="109"/>
        <w:gridCol w:w="221"/>
        <w:gridCol w:w="781"/>
        <w:gridCol w:w="453"/>
      </w:tblGrid>
      <w:tr>
        <w:trPr/>
        <w:tc>
          <w:tcPr>
            <w:tcW w:w="152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ratios)</w:t>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645.8 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redemption of Series A Preferred Stock</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dividends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386.7 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1,440.2 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Digital transformation costs</w:t>
            </w:r>
            <w:r>
              <w:rPr>
                <w:rFonts w:ascii="Times New Roman;serif" w:hAnsi="Times New Roman;serif"/>
                <w:b w:val="false"/>
                <w:color w:val="000000"/>
                <w:sz w:val="12"/>
              </w:rPr>
              <w:t>(1)</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Cloud computing arrangement amortization</w:t>
            </w:r>
            <w:r>
              <w:rPr>
                <w:rFonts w:ascii="Times New Roman;serif" w:hAnsi="Times New Roman;serif"/>
                <w:b w:val="false"/>
                <w:color w:val="000000"/>
                <w:sz w:val="12"/>
              </w:rPr>
              <w:t>(2)</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costs</w:t>
            </w:r>
            <w:r>
              <w:rPr>
                <w:rFonts w:ascii="Times New Roman;serif" w:hAnsi="Times New Roman;serif"/>
                <w:b w:val="false"/>
                <w:color w:val="000000"/>
                <w:sz w:val="12"/>
              </w:rPr>
              <w:t>(3)</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1,536.5 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firstLine="270"/>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and current portion of long-term debt,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5,756.4 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erif" w:hAnsi="Times New Roman;serif"/>
                <w:b w:val="false"/>
                <w:color w:val="000000"/>
                <w:sz w:val="18"/>
              </w:rPr>
              <w:t>Debt discount and debt issuance costs</w:t>
            </w:r>
            <w:r>
              <w:rPr>
                <w:rFonts w:ascii="Times New Roman;serif" w:hAnsi="Times New Roman;serif"/>
                <w:b w:val="false"/>
                <w:color w:val="000000"/>
                <w:sz w:val="12"/>
              </w:rPr>
              <w:t>(4)</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5,829.4 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and cash equivalents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604.8 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 of cash</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5,224.6 </w:t>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leverage ratio</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Digital transformation costs include costs associated with certain digital transformation initiatives.</w:t>
      </w:r>
    </w:p>
    <w:p>
      <w:pPr>
        <w:pStyle w:val="TextBody"/>
        <w:bidi w:val="0"/>
        <w:spacing w:lineRule="auto" w:line="288" w:before="60" w:after="60"/>
        <w:ind w:left="0" w:right="0" w:hanging="270"/>
        <w:jc w:val="both"/>
        <w:rPr/>
      </w:pPr>
      <w:r>
        <w:rPr>
          <w:rFonts w:ascii="Times New Roman;serif" w:hAnsi="Times New Roman;serif"/>
          <w:b w:val="false"/>
          <w:color w:val="000000"/>
          <w:sz w:val="12"/>
        </w:rPr>
        <w:t>(2)</w:t>
      </w:r>
      <w:r>
        <w:rPr>
          <w:rFonts w:ascii="Times New Roman;serif" w:hAnsi="Times New Roman;serif"/>
          <w:b w:val="false"/>
          <w:color w:val="000000"/>
          <w:sz w:val="18"/>
        </w:rPr>
        <w:t>Cloud computing arrangement amortization consists of expense recognized in Selling, general and administrative expenses for capitalized implementation costs for cloud computing arrangements to support our digital transformation initiatives.</w:t>
      </w:r>
    </w:p>
    <w:p>
      <w:pPr>
        <w:pStyle w:val="TextBody"/>
        <w:bidi w:val="0"/>
        <w:spacing w:lineRule="auto" w:line="288" w:before="60" w:after="60"/>
        <w:ind w:left="0" w:right="0" w:hanging="270"/>
        <w:jc w:val="both"/>
        <w:rPr/>
      </w:pPr>
      <w:r>
        <w:rPr>
          <w:rFonts w:ascii="Times New Roman;serif" w:hAnsi="Times New Roman;serif"/>
          <w:b w:val="false"/>
          <w:color w:val="000000"/>
          <w:sz w:val="12"/>
        </w:rPr>
        <w:t>(3)</w:t>
      </w:r>
      <w:r>
        <w:rPr>
          <w:rFonts w:ascii="Times New Roman;serif" w:hAnsi="Times New Roman;serif"/>
          <w:b w:val="false"/>
          <w:color w:val="000000"/>
          <w:sz w:val="18"/>
        </w:rPr>
        <w:t>Reduction to restructuring costs represents the reversal of certain severance costs previously incurred pursuant to an ongoing restructuring plan.</w:t>
      </w:r>
    </w:p>
    <w:p>
      <w:pPr>
        <w:pStyle w:val="TextBody"/>
        <w:bidi w:val="0"/>
        <w:spacing w:lineRule="auto" w:line="288" w:before="60" w:after="60"/>
        <w:ind w:left="0" w:right="0" w:hanging="270"/>
        <w:jc w:val="both"/>
        <w:rPr/>
      </w:pPr>
      <w:r>
        <w:rPr>
          <w:rFonts w:ascii="Times New Roman;serif" w:hAnsi="Times New Roman;serif"/>
          <w:b w:val="false"/>
          <w:color w:val="000000"/>
          <w:sz w:val="12"/>
        </w:rPr>
        <w:t>(4)</w:t>
      </w:r>
      <w:r>
        <w:rPr>
          <w:rFonts w:ascii="Times New Roman;serif" w:hAnsi="Times New Roman;serif"/>
          <w:b w:val="false"/>
          <w:color w:val="000000"/>
          <w:sz w:val="18"/>
        </w:rPr>
        <w:t>Debt is presented in the Condensed Consolidated Balance Sheets net of Debt discount and debt issuance costs.</w:t>
      </w:r>
    </w:p>
    <w:p>
      <w:pPr>
        <w:pStyle w:val="TextBody"/>
        <w:bidi w:val="0"/>
        <w:spacing w:lineRule="auto" w:line="288" w:before="180" w:after="120"/>
        <w:jc w:val="both"/>
        <w:rPr>
          <w:rFonts w:ascii="Times New Roman;serif" w:hAnsi="Times New Roman;serif"/>
          <w:b w:val="false"/>
          <w:color w:val="000000"/>
          <w:sz w:val="18"/>
        </w:rPr>
      </w:pPr>
      <w:r>
        <w:rPr>
          <w:rFonts w:ascii="Times New Roman;serif" w:hAnsi="Times New Roman;serif"/>
          <w:b w:val="false"/>
          <w:color w:val="000000"/>
          <w:sz w:val="18"/>
        </w:rPr>
        <w:t>Note: Financial leverage ratio is a non-GAAP measure of the use of debt. Financial leverage ratio is calculated by dividing total debt, excluding debt issuance costs and debt discount, net of cash, by Adjusted EBITDA. EBITDA is defined as the trailing twelve months earnings before interest, taxes, depreciation and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Most of the undistributed earnings of our foreign subsidiaries have been taxed in the U.S. under either the one-time tax imposed on the deemed repatriation of undistributed foreign earnings (the “transition tax”), or the global intangible low-taxed income tax regime imposed by the Tax Cuts and Jobs Act of 2017 renamed, along with other changes, under the One Big Beautiful Bill Act signed into law on July 4, 2025, to net controlled foreign corporation tested income. The distribution of earnings, however, by our foreign subsidiaries in the form of dividends, or otherwise, may be subject to additional taxation. We believe that we are able to maintain sufficient liquidity for our domestic operations and commitments without repatriating cash from our foreign subsidiaries. Therefore, we continue to assert that the remaining undistributed earnings of our foreign subsidiaries are indefinitely reinvested.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An analysis of cash flow for the first six months of 2026 and 2025 follows:</w:t>
      </w:r>
    </w:p>
    <w:p>
      <w:pPr>
        <w:pStyle w:val="TextBody"/>
        <w:bidi w:val="0"/>
        <w:spacing w:lineRule="auto" w:line="288" w:before="120" w:after="120"/>
        <w:jc w:val="both"/>
        <w:rPr/>
      </w:pPr>
      <w:r>
        <w:rPr>
          <w:rFonts w:ascii="Times New Roman;serif" w:hAnsi="Times New Roman;serif"/>
          <w:b w:val="false"/>
          <w:i/>
          <w:color w:val="000000"/>
          <w:sz w:val="20"/>
        </w:rPr>
        <w:t>Operating Activities</w:t>
      </w:r>
      <w:r>
        <w:rPr>
          <w:color w:val="000000"/>
        </w:rPr>
        <w:t xml:space="preserve"> </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first six months of 2026 totaled $275.1 million, compared to $135.8 million for the first six months of 2025. The $139.3 million increase is driven by a $170.4 million impact from changes in other current and noncurrent liabilities, primarily driven by increases in deferred revenue due to advance payments from customers and milestone billings. Accounts payable additionally contributed to the increase, with a $151.3 million impact primarily driven by increased inventory purchases, as well as the timing of inventory purchases and payments to suppliers as compared to the prior year. An increase in net income as adjusted for certain non-cash items also contributed to the increase in operating cash flows.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These increases were partially offset by a $209.8 million impact from changes in trade accounts receivable and a $168.1 million impact from changes in other current and noncurrent assets. The impact from trade accounts receivable was primarily due to sales growth in all three segments, as well as the timing of receipts from customers as compared to the prior year, and the impact from other current and noncurrent assets was primarily due to increases in supplier prepayments.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first six months of 2026 was $48.0 million compared to $76.9 million in the first six months of 2025. Included in the first six months of 2026 were capital expenditures of $51.6 million compared to $42.2 million in the first six months of 2025. Capital expenditures in the first six months of 2026 and 2025 primarily comprised leasehold improvements and equipment to support our global network of locations, and internal-use computer software and information technology hardware to support our digital transformation initiatives. Included in the first six months of 2025 was $36.3 million paid to acquire Industrial Software Solutions, net of cash acquired.</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first six months of 2026 was $21.9 million, compared to $108.3 million during the first six months of 2025. During the first six months of 2026, financing activities primarily comprised the redemption of our $1,325 million aggregate principal amount of 2028 Notes, net repayments of $25.0 million related to our Receivables Facility, payment of debt issuance costs of $19.1 million related to the issuance of the 2031 and 2034 Notes, net borrowings of $5.4 million related to our Revolving Credit Facility, and proceeds of $650.0 million and $850.0 million related to the issuance of the 2031 and 2034 Notes, respectively. The first six months of 2026 also included $48.8 million of dividends paid to holders of our common stock, $48.1 million of payments for taxes related to the exercise and vesting of stock-based awards, and $39.9 million of common stock repurchases.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six months of 2025, financing activities primarily comprised proceeds of $800.0 million related to the issuance of the 6.375% senior notes due 2033 (the “2033 Notes”), net repayments of $150.0 million related to our Receivables Facility, net repayments of $50.0 million related to our Revolving Credit Facility, and payment of total debt issuance costs of $14.0 million related to the issuance of the 2033 Notes and amendments to the Revolving Credit Facility and Receivables Facility. The first six months of 2025 also included $540.3 million paid to redeem our Series A Preferred Stock, $50.0 million of common stock repurchases, $44.2 million and $27.3 million of dividends paid to holders of our common stock and Series A Preferred Stock, respectively, and $18.4 million of payments for taxes related to the exercise and vesting of stock-based awards.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Contractual Cash Obligations and Other Commercial Commitments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in our contractual obligations and other commercial commitments that would require an update to the disclosure provided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operating results are not significantly affected by seasonal factors. Sales during the first and fourth quarters have historically been affected by a reduced level of activity due to the impact of weather on projects. Sales typically increase beginning in March, with slight fluctuations per month through October. During periods of economic expansion or contraction, our sales by quarter have varied significantly from this pattern.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critical accounting estimates disclosed in Part II, Item 7. “Management’s Discussion and Analysis of Financial Condition and Results of Operations” of our Annual Report on Form 10-K for the year ended December 31, 2025.</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Recent Accounting Standards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See Note 2, “Accounting Policies” of our Notes to the unaudited Condensed Consolidated Financial Statements for a description of recently issued accounting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00" w:after="12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statements include, but are not limited to, statements regarding business strategy, growth strategy, competitive strengths, productivity and profitability enhancement, competition, new product and service introductions, and liquidity and capital resources. Such statements can generally be identified by the use of words such as “anticipate,” “plan,” “believe,” “estimate,” “intend,” “expect,” “project,” and similar words, phrases or expressions or future or conditional verbs such as “could,” “may,” “should,” “will,” and “would,” although not all forward-looking statements contain such words. These forward-looking statements are based on current expectations and beliefs of Wesco's management, as well as assumptions made by, and information currently available to, Wesco's management, current market trends and market conditions and involve risks and uncertainties, many of which are outside of Wesco's and Wesco's management's control, and which may cause actual results to differ materially from those contained in forward-looking statements. Accordingly, you should not place undue reliance on such statements.</w:t>
      </w:r>
    </w:p>
    <w:p>
      <w:pPr>
        <w:pStyle w:val="TextBody"/>
        <w:bidi w:val="0"/>
        <w:spacing w:lineRule="auto" w:line="288" w:before="200" w:after="6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Important factors that could cause actual results or events to differ materially from those presented or implied in the forward-looking statements include, among others, the failure to achieve the anticipated benefits of, and other risks associated with, acquisitions, joint ventures, divestitures and other corporate transactions; the inability to successfully integrate acquired businesses; the impact of increased interest rates or borrowing costs; fluctuations in currency exchange rates; evolving impacts from tariffs or other trade tensions between the U.S. and other countries (including implementation of new tariffs and retaliatory measures); failure to adequately protect Wesco's intellectual property or successfully defend against infringement claims; the inability to successfully deploy new technologies, digital products and information systems or to otherwise adapt to emerging technologies in the marketplace, such as those incorporating artificial intelligence (AI); risks relating to our use or reliance on AI; failure to execute on our efforts and programs related to environmental, social and governance (ESG) matters; unanticipated expenditures or other adverse developments related to compliance with new or stricter government policies, laws or regulations, including those relating to data privacy, cybersecurity, competition, sustainability and environmental protection; the inability to successfully develop, manage or implement new technology initiatives or business strategies, including with respect to the expansion of e-commerce or AI capabilities and other digital solutions and digitalization initiatives; disruption of information technology systems or operations; natural disasters (including as a result of climate change), health epidemics, pandemics and other outbreaks; supply chain disruptions; geopolitical conflicts and issues, such as the ongoing Middle East and Russia/Ukraine conflicts; the impact of changing and expanding export controls, sanctions, and data localization rules; the failure to manage the increased risks and impacts of cyber incidents or data breaches; and exacerbation of key materials shortages, inflationary cost pressures, material cost increases, demand volatility, and logistics and capacity constraints, any of which may have a material adverse effect on the Company's business, results of operations and financial condition. All such factors are difficult to predict and are beyond the Company's control. Additional factors that could cause results to differ materially from those described above can be found in Wesco's most recent Annual Report on Form 10-K and other periodic reports filed with the U.S.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a discussion of changes to the market risks that were previously disclosed in our Annual Report on Form 10-K for the fiscal year ended December 31, 2025, refer to Part I, Item 2, “Management’s Discussion and Analysis of Financial Condition and Results of Operations” and to Part II,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principal executive officer and principal financial officer, we conducted an evaluation of our disclosure controls and procedures (as defined in Exchange Act Rules 13a-15(e) and 15d-15(e)) and internal control over financial reporting (as defined in Exchange Act Rules 13a-15(f) and 15d-15(f)). Based on this evaluation, our principal executive officer and our principal financial officer concluded that our disclosure controls and procedures and internal control over financial reporting were effective as of the end of the period covered by this report.</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that occurred during the quarterly period ended June 30, 2026,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a0427c5d11d74e81ac5f1a87e3d1bdfa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quarterly period ended June 30, 2026, the Company continued its multi-year, phased development and implementation of a new Digital and Data Platform (“DDP”). The DDP is intended to be a unified, technology-enabled operating model that spans all business functions, maintains and enhances the flow of financial information, and improves resource efficiency. The implementation, in certain cases, may affect the processes that constitute the Company’s internal control over financial reporting and will require testing for effectiveness.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concluded, as part of its evaluation described in the above paragraphs, that the current quarter developments have not materially affected, or are reasonably likely to materially affect, its internal control over financial reporting and will continue to make such an assessment throughout the implementation period.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0427c5d11d74e81ac5f1a87e3d1bdfa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set forth in Note 10, “Commitments and Contingencies” to the Notes to the unaudited Condensed Consolidated Financial Statements, from time to time, a number of lawsuits and claims have been or may be asserted against us relating to the conduct of our business, including litigation relating to commercial, product and employment matters. The outcome of any litigation cannot be predicted with certainty, and some lawsuits may be determined adversely to us. However, management does not believe that the ultimate outcome of any such pending matters is likely to have a material adverse effect on our financial condition or liquidity, although the resolution in any fiscal period of one or more of these matters may have a material adverse effect on our results of operations for that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Item 1A. to Part I of WESCO International, Inc.’s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all issuer purchases of common stock during the three months ended June 30, 2026:</w:t>
      </w:r>
    </w:p>
    <w:tbl>
      <w:tblPr>
        <w:tblW w:w="10205" w:type="dxa"/>
        <w:jc w:val="center"/>
        <w:tblInd w:w="0" w:type="dxa"/>
        <w:tblLayout w:type="fixed"/>
        <w:tblCellMar>
          <w:top w:w="28" w:type="dxa"/>
          <w:left w:w="28" w:type="dxa"/>
          <w:bottom w:w="28" w:type="dxa"/>
          <w:right w:w="28" w:type="dxa"/>
        </w:tblCellMar>
      </w:tblPr>
      <w:tblGrid>
        <w:gridCol w:w="367"/>
        <w:gridCol w:w="323"/>
        <w:gridCol w:w="328"/>
        <w:gridCol w:w="647"/>
        <w:gridCol w:w="464"/>
        <w:gridCol w:w="465"/>
        <w:gridCol w:w="109"/>
        <w:gridCol w:w="109"/>
        <w:gridCol w:w="109"/>
        <w:gridCol w:w="279"/>
        <w:gridCol w:w="953"/>
        <w:gridCol w:w="143"/>
        <w:gridCol w:w="109"/>
        <w:gridCol w:w="109"/>
        <w:gridCol w:w="109"/>
        <w:gridCol w:w="893"/>
        <w:gridCol w:w="801"/>
        <w:gridCol w:w="804"/>
        <w:gridCol w:w="109"/>
        <w:gridCol w:w="109"/>
        <w:gridCol w:w="109"/>
        <w:gridCol w:w="589"/>
        <w:gridCol w:w="1726"/>
        <w:gridCol w:w="442"/>
      </w:tblGrid>
      <w:tr>
        <w:trPr/>
        <w:tc>
          <w:tcPr>
            <w:tcW w:w="3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 as Part of Publicly Announced Plans or Programs</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Approximate Dollar Value of Shares That May Yet be Purchased Under the Plans or Programs</w:t>
            </w:r>
            <w:r>
              <w:rPr>
                <w:rFonts w:ascii="Times New Roman;serif" w:hAnsi="Times New Roman;serif"/>
                <w:b/>
                <w:color w:val="000000"/>
                <w:sz w:val="10"/>
              </w:rPr>
              <w:t>(2)</w:t>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0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5,798 </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330.58 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388.9 </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73,351 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73,732 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72,228 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11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152,881</w:t>
            </w:r>
            <w:r>
              <w:rPr>
                <w:color w:val="000000"/>
              </w:rPr>
              <w:t> </w:t>
            </w:r>
          </w:p>
        </w:tc>
        <w:tc>
          <w:tcPr>
            <w:tcW w:w="4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72,228</w:t>
            </w:r>
            <w:r>
              <w:rPr>
                <w:color w:val="000000"/>
              </w:rPr>
              <w:t> </w:t>
            </w:r>
          </w:p>
        </w:tc>
        <w:tc>
          <w:tcPr>
            <w:tcW w:w="8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There were 80,653 shares purchased during the quarterly period ended June 30, 2026 that were not part of the publicly announced share repurchase program. These shares were surrendered by stock-based compensation plan participants to satisfy tax withholding obligations arising from the exercise of stock-settled stock appreciation rights and vesting of restricted stock units.</w:t>
      </w:r>
    </w:p>
    <w:p>
      <w:pPr>
        <w:pStyle w:val="TextBody"/>
        <w:bidi w:val="0"/>
        <w:spacing w:lineRule="auto" w:line="288" w:before="120" w:after="283"/>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 xml:space="preserve">On May 31, 2022, Wesco’s Board of Directors authorized the repurchase of up to $1 billion of the Company’s common stock. The share repurchase authorization has no expiration date and may be modified, suspended, or terminated at any time without prior notice. During the three months ended June 30, 2026, the Company entered into spot repurchase transactions through brokers to purchase 72,228 shares of its common stock in the open market for cash totaling $25.0 million. Wesco funded the repurchases with available cash and borrowings under its accounts receivable securitization and revolving credit facilities.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0427c5d11d74e81ac5f1a87e3d1bdfa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w:t>
      </w:r>
      <w:r>
        <w:rPr>
          <w:color w:val="000000"/>
        </w:rPr>
        <w:t>    </w:t>
      </w:r>
      <w:r>
        <w:rPr>
          <w:rFonts w:ascii="Times New Roman;serif" w:hAnsi="Times New Roman;serif"/>
          <w:b/>
          <w:color w:val="000000"/>
          <w:sz w:val="20"/>
        </w:rPr>
        <w:t xml:space="preserve">Exhibits. </w:t>
      </w:r>
    </w:p>
    <w:p>
      <w:pPr>
        <w:pStyle w:val="TextBody"/>
        <w:bidi w:val="0"/>
        <w:spacing w:lineRule="auto" w:line="288" w:before="240" w:after="120"/>
        <w:jc w:val="left"/>
        <w:rPr/>
      </w:pPr>
      <w:r>
        <w:rPr>
          <w:rFonts w:ascii="Times New Roman;serif" w:hAnsi="Times New Roman;serif"/>
          <w:b w:val="false"/>
          <w:color w:val="000000"/>
          <w:sz w:val="20"/>
        </w:rPr>
        <w:t>(a)</w:t>
      </w:r>
      <w:r>
        <w:rPr>
          <w:rFonts w:ascii="Times New Roman;serif" w:hAnsi="Times New Roman;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273"/>
        <w:gridCol w:w="241"/>
        <w:gridCol w:w="242"/>
        <w:gridCol w:w="109"/>
        <w:gridCol w:w="109"/>
        <w:gridCol w:w="109"/>
        <w:gridCol w:w="1658"/>
        <w:gridCol w:w="1441"/>
        <w:gridCol w:w="1417"/>
        <w:gridCol w:w="109"/>
        <w:gridCol w:w="109"/>
        <w:gridCol w:w="109"/>
        <w:gridCol w:w="1379"/>
        <w:gridCol w:w="1198"/>
        <w:gridCol w:w="1702"/>
      </w:tblGrid>
      <w:tr>
        <w:trPr/>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 of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Filing or Sequential Page Number</w:t>
            </w:r>
          </w:p>
        </w:tc>
      </w:tr>
      <w:tr>
        <w:trPr/>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Consulting Services Agreement, dated June 1, 2026, between WESCO International, Inc. and David Schulz</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Wesco's Current Report on Form 8-K, dated May 28, 2026</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2q26exx311.htm">
              <w:r>
                <w:rPr>
                  <w:rStyle w:val="InternetLink"/>
                  <w:rFonts w:ascii="Times New Roman;serif" w:hAnsi="Times New Roman;serif"/>
                  <w:b w:val="false"/>
                  <w:color w:val="0000FF"/>
                  <w:sz w:val="20"/>
                  <w:u w:val="single"/>
                </w:rPr>
                <w:t>Certification of Chief Executive Officer pursuant to Rules 13a-14(a) promulgated under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2q26exx312.htm">
              <w:r>
                <w:rPr>
                  <w:rStyle w:val="InternetLink"/>
                  <w:rFonts w:ascii="Times New Roman;serif" w:hAnsi="Times New Roman;serif"/>
                  <w:b w:val="false"/>
                  <w:color w:val="0000FF"/>
                  <w:sz w:val="20"/>
                  <w:u w:val="single"/>
                </w:rPr>
                <w:t>Certification of Chief Financial Officer pursuant to Rules 13a-14(a) promulgated under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2q26exx321.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lineRule="auto" w:line="240" w:before="0" w:after="60"/>
              <w:jc w:val="left"/>
              <w:rPr/>
            </w:pPr>
            <w:hyperlink w:anchor="wcc-2q26exx322.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2"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24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0427c5d11d74e81ac5f1a87e3d1bdfa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297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76"/>
        <w:gridCol w:w="676"/>
        <w:gridCol w:w="9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WESCO International,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bl>
    <w:tbl>
      <w:tblPr>
        <w:tblW w:w="6072" w:type="dxa"/>
        <w:jc w:val="center"/>
        <w:tblInd w:w="0" w:type="dxa"/>
        <w:tblLayout w:type="fixed"/>
        <w:tblCellMar>
          <w:top w:w="28" w:type="dxa"/>
          <w:left w:w="28" w:type="dxa"/>
          <w:bottom w:w="28" w:type="dxa"/>
          <w:right w:w="28" w:type="dxa"/>
        </w:tblCellMar>
      </w:tblPr>
      <w:tblGrid>
        <w:gridCol w:w="443"/>
        <w:gridCol w:w="390"/>
        <w:gridCol w:w="396"/>
        <w:gridCol w:w="134"/>
        <w:gridCol w:w="134"/>
        <w:gridCol w:w="136"/>
        <w:gridCol w:w="1292"/>
        <w:gridCol w:w="1292"/>
        <w:gridCol w:w="1855"/>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Indraneel Dev</w:t>
            </w:r>
          </w:p>
        </w:tc>
      </w:tr>
      <w:tr>
        <w:trPr/>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Indraneel Dev</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tbl>
      <w:tblPr>
        <w:tblW w:w="7753" w:type="dxa"/>
        <w:jc w:val="center"/>
        <w:tblInd w:w="0" w:type="dxa"/>
        <w:tblLayout w:type="fixed"/>
        <w:tblCellMar>
          <w:top w:w="28" w:type="dxa"/>
          <w:left w:w="28" w:type="dxa"/>
          <w:bottom w:w="28" w:type="dxa"/>
          <w:right w:w="28" w:type="dxa"/>
        </w:tblCellMar>
      </w:tblPr>
      <w:tblGrid>
        <w:gridCol w:w="443"/>
        <w:gridCol w:w="390"/>
        <w:gridCol w:w="396"/>
        <w:gridCol w:w="134"/>
        <w:gridCol w:w="134"/>
        <w:gridCol w:w="136"/>
        <w:gridCol w:w="1786"/>
        <w:gridCol w:w="1786"/>
        <w:gridCol w:w="2548"/>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S. Kulasa</w:t>
            </w:r>
          </w:p>
        </w:tc>
      </w:tr>
      <w:tr>
        <w:trPr/>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S. Kulasa</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Corporate Controller and Chief Accounting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Exhibit 31.1</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I, John J. Engel, certify that: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1. I have reviewed this quarterly report on Form 10-Q of WESCO International, Inc.;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center"/>
        <w:rPr/>
      </w:pPr>
      <w:r>
        <w:rPr/>
      </w:r>
    </w:p>
    <w:tbl>
      <w:tblPr>
        <w:tblW w:w="6683"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49"/>
        <w:gridCol w:w="149"/>
        <w:gridCol w:w="151"/>
        <w:gridCol w:w="682"/>
        <w:gridCol w:w="682"/>
        <w:gridCol w:w="682"/>
        <w:gridCol w:w="682"/>
        <w:gridCol w:w="682"/>
        <w:gridCol w:w="68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40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J. Engel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J. Engel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Exhibit 31.2</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I, Indraneel Dev, certify that: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1. I have reviewed this quarterly report on Form 10-Q of WESCO International, Inc.;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center"/>
        <w:rPr/>
      </w:pPr>
      <w:r>
        <w:rPr/>
      </w:r>
    </w:p>
    <w:tbl>
      <w:tblPr>
        <w:tblW w:w="6986"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740"/>
        <w:gridCol w:w="740"/>
        <w:gridCol w:w="740"/>
        <w:gridCol w:w="740"/>
        <w:gridCol w:w="740"/>
        <w:gridCol w:w="740"/>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Indraneel Dev</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Indraneel Dev</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Exhibit 32.1</w:t>
      </w:r>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WESCO International, Inc. (the “Company”) on Form 10-Q for the period ended June 30, 2026,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 of the Company.  </w:t>
      </w:r>
    </w:p>
    <w:p>
      <w:pPr>
        <w:pStyle w:val="TextBody"/>
        <w:bidi w:val="0"/>
        <w:spacing w:before="0" w:after="0"/>
        <w:jc w:val="center"/>
        <w:rPr/>
      </w:pPr>
      <w:r>
        <w:rPr/>
      </w:r>
    </w:p>
    <w:tbl>
      <w:tblPr>
        <w:tblW w:w="6683"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49"/>
        <w:gridCol w:w="149"/>
        <w:gridCol w:w="151"/>
        <w:gridCol w:w="682"/>
        <w:gridCol w:w="682"/>
        <w:gridCol w:w="682"/>
        <w:gridCol w:w="682"/>
        <w:gridCol w:w="682"/>
        <w:gridCol w:w="68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40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John J. Engel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J. Engel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Exhibit 32.2</w:t>
      </w:r>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WESCO International, Inc. (the “Company”) on Form 10-Q for the period ended June 30, 2026,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 of the Company.  </w:t>
      </w:r>
    </w:p>
    <w:p>
      <w:pPr>
        <w:pStyle w:val="TextBody"/>
        <w:bidi w:val="0"/>
        <w:spacing w:before="0" w:after="0"/>
        <w:jc w:val="center"/>
        <w:rPr/>
      </w:pPr>
      <w:r>
        <w:rPr/>
      </w:r>
    </w:p>
    <w:tbl>
      <w:tblPr>
        <w:tblW w:w="6986"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740"/>
        <w:gridCol w:w="740"/>
        <w:gridCol w:w="740"/>
        <w:gridCol w:w="740"/>
        <w:gridCol w:w="740"/>
        <w:gridCol w:w="740"/>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Indraneel Dev</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Indraneel Dev</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29008/000119312526253608/d139131d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21618</Words>
  <Characters>122525</Characters>
  <CharactersWithSpaces>142026</CharactersWithSpaces>
  <Paragraphs>3512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