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6" w:lineRule="exact"/>
        <w:rPr>
          <w:sz w:val="24"/>
          <w:szCs w:val="24"/>
          <w:color w:val="auto"/>
        </w:rPr>
      </w:pPr>
    </w:p>
    <w:p>
      <w:pPr>
        <w:ind w:left="560" w:hanging="437"/>
        <w:spacing w:after="0"/>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June 30, 2025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560" w:hanging="437"/>
        <w:spacing w:after="0"/>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5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2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3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001-14989</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60" w:type="dxa"/>
            <w:vAlign w:val="bottom"/>
            <w:gridSpan w:val="8"/>
          </w:tcPr>
          <w:p>
            <w:pPr>
              <w:jc w:val="center"/>
              <w:ind w:right="3199"/>
              <w:spacing w:after="0"/>
              <w:rPr>
                <w:sz w:val="20"/>
                <w:szCs w:val="20"/>
                <w:color w:val="auto"/>
              </w:rPr>
            </w:pPr>
            <w:r>
              <w:rPr>
                <w:rFonts w:ascii="Times New Roman" w:cs="Times New Roman" w:eastAsia="Times New Roman" w:hAnsi="Times New Roman"/>
                <w:sz w:val="36"/>
                <w:szCs w:val="36"/>
                <w:b w:val="1"/>
                <w:bCs w:val="1"/>
                <w:color w:val="auto"/>
                <w:w w:val="99"/>
              </w:rPr>
              <w:t>WESCO International, Inc.</w:t>
            </w:r>
          </w:p>
        </w:tc>
        <w:tc>
          <w:tcPr>
            <w:tcW w:w="0" w:type="dxa"/>
            <w:vAlign w:val="bottom"/>
          </w:tcPr>
          <w:p>
            <w:pPr>
              <w:spacing w:after="0"/>
              <w:rPr>
                <w:sz w:val="1"/>
                <w:szCs w:val="1"/>
                <w:color w:val="auto"/>
              </w:rPr>
            </w:pPr>
          </w:p>
        </w:tc>
      </w:tr>
      <w:tr>
        <w:trPr>
          <w:trHeight w:val="254"/>
        </w:trPr>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4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200" w:type="dxa"/>
            <w:vAlign w:val="bottom"/>
          </w:tcPr>
          <w:p>
            <w:pPr>
              <w:spacing w:after="0"/>
              <w:rPr>
                <w:sz w:val="21"/>
                <w:szCs w:val="21"/>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80" w:type="dxa"/>
            <w:vAlign w:val="bottom"/>
          </w:tcPr>
          <w:p>
            <w:pPr>
              <w:jc w:val="right"/>
              <w:ind w:right="2159"/>
              <w:spacing w:after="0"/>
              <w:rPr>
                <w:sz w:val="20"/>
                <w:szCs w:val="20"/>
                <w:color w:val="auto"/>
              </w:rPr>
            </w:pPr>
            <w:r>
              <w:rPr>
                <w:rFonts w:ascii="Times New Roman" w:cs="Times New Roman" w:eastAsia="Times New Roman" w:hAnsi="Times New Roman"/>
                <w:sz w:val="16"/>
                <w:szCs w:val="16"/>
                <w:b w:val="1"/>
                <w:bCs w:val="1"/>
                <w:color w:val="auto"/>
              </w:rPr>
              <w:t>25-1723342</w:t>
            </w:r>
          </w:p>
        </w:tc>
        <w:tc>
          <w:tcPr>
            <w:tcW w:w="0" w:type="dxa"/>
            <w:vAlign w:val="bottom"/>
          </w:tcPr>
          <w:p>
            <w:pPr>
              <w:spacing w:after="0"/>
              <w:rPr>
                <w:sz w:val="1"/>
                <w:szCs w:val="1"/>
                <w:color w:val="auto"/>
              </w:rPr>
            </w:pPr>
          </w:p>
        </w:tc>
      </w:tr>
      <w:tr>
        <w:trPr>
          <w:trHeight w:val="168"/>
        </w:trPr>
        <w:tc>
          <w:tcPr>
            <w:tcW w:w="3720" w:type="dxa"/>
            <w:vAlign w:val="bottom"/>
            <w:gridSpan w:val="4"/>
          </w:tcPr>
          <w:p>
            <w:pPr>
              <w:jc w:val="center"/>
              <w:ind w:left="1438"/>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80" w:type="dxa"/>
            <w:vAlign w:val="bottom"/>
          </w:tcPr>
          <w:p>
            <w:pPr>
              <w:jc w:val="center"/>
              <w:ind w:right="1499"/>
              <w:spacing w:after="0" w:line="168" w:lineRule="exact"/>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0"/>
        </w:trPr>
        <w:tc>
          <w:tcPr>
            <w:tcW w:w="37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8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222"/>
        </w:trPr>
        <w:tc>
          <w:tcPr>
            <w:tcW w:w="37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b w:val="1"/>
                <w:bCs w:val="1"/>
                <w:color w:val="auto"/>
              </w:rPr>
              <w:t>225 West Station Square Drive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80" w:type="dxa"/>
            <w:vAlign w:val="bottom"/>
            <w:vMerge w:val="restart"/>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15219</w:t>
            </w: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Suite 700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gridSpan w:val="4"/>
          </w:tcPr>
          <w:p>
            <w:pPr>
              <w:ind w:left="1820"/>
              <w:spacing w:after="0"/>
              <w:rPr>
                <w:sz w:val="20"/>
                <w:szCs w:val="20"/>
                <w:color w:val="auto"/>
              </w:rPr>
            </w:pPr>
            <w:r>
              <w:rPr>
                <w:rFonts w:ascii="Times New Roman" w:cs="Times New Roman" w:eastAsia="Times New Roman" w:hAnsi="Times New Roman"/>
                <w:sz w:val="16"/>
                <w:szCs w:val="16"/>
                <w:b w:val="1"/>
                <w:bCs w:val="1"/>
                <w:color w:val="auto"/>
              </w:rPr>
              <w:t>Pittsburgh, Pennsylvania</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8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16"/>
        </w:trPr>
        <w:tc>
          <w:tcPr>
            <w:tcW w:w="7560" w:type="dxa"/>
            <w:vAlign w:val="bottom"/>
            <w:gridSpan w:val="10"/>
          </w:tcPr>
          <w:p>
            <w:pPr>
              <w:jc w:val="center"/>
              <w:ind w:right="232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gridSpan w:val="4"/>
          </w:tcPr>
          <w:p>
            <w:pPr>
              <w:jc w:val="center"/>
              <w:ind w:left="896"/>
              <w:spacing w:after="0"/>
              <w:rPr>
                <w:sz w:val="20"/>
                <w:szCs w:val="20"/>
                <w:color w:val="auto"/>
              </w:rPr>
            </w:pPr>
            <w:r>
              <w:rPr>
                <w:rFonts w:ascii="Times New Roman" w:cs="Times New Roman" w:eastAsia="Times New Roman" w:hAnsi="Times New Roman"/>
                <w:sz w:val="16"/>
                <w:szCs w:val="16"/>
                <w:b w:val="1"/>
                <w:bCs w:val="1"/>
                <w:color w:val="auto"/>
              </w:rPr>
              <w:t>(412) 454-2200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4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9040" w:type="dxa"/>
            <w:vAlign w:val="bottom"/>
            <w:gridSpan w:val="10"/>
          </w:tcPr>
          <w:p>
            <w:pPr>
              <w:jc w:val="center"/>
              <w:ind w:right="21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317"/>
        </w:trPr>
        <w:tc>
          <w:tcPr>
            <w:tcW w:w="2200" w:type="dxa"/>
            <w:vAlign w:val="bottom"/>
          </w:tcPr>
          <w:p>
            <w:pPr>
              <w:spacing w:after="0"/>
              <w:rPr>
                <w:sz w:val="24"/>
                <w:szCs w:val="24"/>
                <w:color w:val="auto"/>
              </w:rPr>
            </w:pPr>
          </w:p>
        </w:tc>
        <w:tc>
          <w:tcPr>
            <w:tcW w:w="9040" w:type="dxa"/>
            <w:vAlign w:val="bottom"/>
            <w:gridSpan w:val="10"/>
          </w:tcPr>
          <w:p>
            <w:pPr>
              <w:jc w:val="center"/>
              <w:ind w:right="20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40"/>
        </w:trPr>
        <w:tc>
          <w:tcPr>
            <w:tcW w:w="3720" w:type="dxa"/>
            <w:vAlign w:val="bottom"/>
            <w:gridSpan w:val="4"/>
          </w:tcPr>
          <w:p>
            <w:pPr>
              <w:ind w:left="1800"/>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8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c>
          <w:tcPr>
            <w:tcW w:w="0" w:type="dxa"/>
            <w:vAlign w:val="bottom"/>
          </w:tcPr>
          <w:p>
            <w:pPr>
              <w:spacing w:after="0"/>
              <w:rPr>
                <w:sz w:val="1"/>
                <w:szCs w:val="1"/>
                <w:color w:val="auto"/>
              </w:rPr>
            </w:pPr>
          </w:p>
        </w:tc>
      </w:tr>
      <w:tr>
        <w:trPr>
          <w:trHeight w:val="207"/>
        </w:trPr>
        <w:tc>
          <w:tcPr>
            <w:tcW w:w="3720" w:type="dxa"/>
            <w:vAlign w:val="bottom"/>
            <w:tcBorders>
              <w:top w:val="single" w:sz="8" w:color="auto"/>
            </w:tcBorders>
            <w:gridSpan w:val="4"/>
          </w:tcPr>
          <w:p>
            <w:pPr>
              <w:ind w:left="920"/>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WCC</w:t>
            </w: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799"/>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600" w:val="left"/>
        </w:tabs>
        <w:rPr>
          <w:sz w:val="20"/>
          <w:szCs w:val="20"/>
          <w:color w:val="auto"/>
        </w:rPr>
      </w:pPr>
      <w:r>
        <w:rPr>
          <w:rFonts w:ascii="Times New Roman" w:cs="Times New Roman" w:eastAsia="Times New Roman" w:hAnsi="Times New Roman"/>
          <w:sz w:val="18"/>
          <w:szCs w:val="18"/>
          <w:color w:val="auto"/>
        </w:rPr>
        <w:t>requirements for at least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jc w:val="both"/>
        <w:ind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283"/>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left="20" w:right="920" w:firstLine="243"/>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840"/>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30, 2025, 48,662,715 shares of common stock, $0.01 par value,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00" w:type="dxa"/>
            <w:vAlign w:val="bottom"/>
            <w:gridSpan w:val="11"/>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400" w:type="dxa"/>
            <w:vAlign w:val="bottom"/>
            <w:gridSpan w:val="11"/>
            <w:vMerge w:val="continue"/>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8020" w:type="dxa"/>
            <w:vAlign w:val="bottom"/>
            <w:gridSpan w:val="4"/>
          </w:tcPr>
          <w:p>
            <w:pPr>
              <w:spacing w:after="0"/>
              <w:rPr>
                <w:sz w:val="24"/>
                <w:szCs w:val="24"/>
                <w:color w:val="auto"/>
              </w:rPr>
            </w:pPr>
          </w:p>
        </w:tc>
        <w:tc>
          <w:tcPr>
            <w:tcW w:w="46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0000FF"/>
                <w:w w:val="88"/>
              </w:rPr>
              <w:t>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0" w:type="dxa"/>
            <w:vAlign w:val="bottom"/>
          </w:tcPr>
          <w:p>
            <w:pPr>
              <w:spacing w:after="0"/>
              <w:rPr>
                <w:sz w:val="24"/>
                <w:szCs w:val="24"/>
                <w:color w:val="auto"/>
              </w:rPr>
            </w:pPr>
          </w:p>
        </w:tc>
        <w:tc>
          <w:tcPr>
            <w:tcW w:w="4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180" w:type="dxa"/>
            <w:vAlign w:val="bottom"/>
            <w:tcBorders>
              <w:left w:val="single" w:sz="8" w:color="0000FF"/>
            </w:tcBorders>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1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Pr>
          <w:p>
            <w:pPr>
              <w:spacing w:after="0"/>
              <w:rPr>
                <w:sz w:val="24"/>
                <w:szCs w:val="24"/>
                <w:color w:val="auto"/>
              </w:rPr>
            </w:pPr>
          </w:p>
        </w:tc>
        <w:tc>
          <w:tcPr>
            <w:tcW w:w="518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9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tcPr>
          <w:p>
            <w:pPr>
              <w:spacing w:after="0"/>
              <w:rPr>
                <w:sz w:val="24"/>
                <w:szCs w:val="24"/>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5"/>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2.</w:t>
            </w:r>
          </w:p>
        </w:tc>
        <w:tc>
          <w:tcPr>
            <w:tcW w:w="4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8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44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5180" w:type="dxa"/>
            <w:vAlign w:val="bottom"/>
            <w:gridSpan w:val="2"/>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94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940" w:type="dxa"/>
            <w:vAlign w:val="bottom"/>
            <w:gridSpan w:val="7"/>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925"/>
        </w:trPr>
        <w:tc>
          <w:tcPr>
            <w:tcW w:w="2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80" w:type="dxa"/>
            <w:vAlign w:val="bottom"/>
            <w:gridSpan w:val="7"/>
          </w:tcPr>
          <w:p>
            <w:pPr>
              <w:jc w:val="right"/>
              <w:ind w:right="1640"/>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1" w:lineRule="exact"/>
        <w:rPr>
          <w:sz w:val="20"/>
          <w:szCs w:val="20"/>
          <w:color w:val="auto"/>
        </w:rPr>
      </w:pPr>
    </w:p>
    <w:p>
      <w:pPr>
        <w:ind w:right="120" w:firstLine="243"/>
        <w:spacing w:after="0" w:line="273" w:lineRule="auto"/>
        <w:rPr>
          <w:sz w:val="20"/>
          <w:szCs w:val="20"/>
          <w:color w:val="auto"/>
        </w:rPr>
      </w:pPr>
      <w:r>
        <w:rPr>
          <w:rFonts w:ascii="Times New Roman" w:cs="Times New Roman" w:eastAsia="Times New Roman" w:hAnsi="Times New Roman"/>
          <w:sz w:val="18"/>
          <w:szCs w:val="18"/>
          <w:color w:val="auto"/>
        </w:rPr>
        <w:t>The interim financial information required by this item is set forth in the unaudited Condensed Consolidated Financial Statements and Notes thereto in this Quarterly Report on Form 10-Q, as follows:</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72"/>
        </w:trPr>
        <w:tc>
          <w:tcPr>
            <w:tcW w:w="3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1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80" w:type="dxa"/>
            <w:vAlign w:val="bottom"/>
          </w:tcPr>
          <w:p>
            <w:pPr>
              <w:spacing w:after="0"/>
              <w:rPr>
                <w:sz w:val="24"/>
                <w:szCs w:val="24"/>
                <w:color w:val="auto"/>
              </w:rPr>
            </w:pPr>
          </w:p>
        </w:tc>
      </w:tr>
      <w:tr>
        <w:trPr>
          <w:trHeight w:val="209"/>
        </w:trPr>
        <w:tc>
          <w:tcPr>
            <w:tcW w:w="6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(unaudited)</w:t>
            </w:r>
          </w:p>
        </w:tc>
        <w:tc>
          <w:tcPr>
            <w:tcW w:w="3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80" w:type="dxa"/>
            <w:vAlign w:val="bottom"/>
          </w:tcPr>
          <w:p>
            <w:pPr>
              <w:spacing w:after="0"/>
              <w:rPr>
                <w:sz w:val="18"/>
                <w:szCs w:val="18"/>
                <w:color w:val="auto"/>
              </w:rPr>
            </w:pPr>
          </w:p>
        </w:tc>
      </w:tr>
      <w:tr>
        <w:trPr>
          <w:trHeight w:val="209"/>
        </w:trPr>
        <w:tc>
          <w:tcPr>
            <w:tcW w:w="4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32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80" w:type="dxa"/>
            <w:vAlign w:val="bottom"/>
          </w:tcPr>
          <w:p>
            <w:pPr>
              <w:spacing w:after="0"/>
              <w:rPr>
                <w:sz w:val="18"/>
                <w:szCs w:val="18"/>
                <w:color w:val="auto"/>
              </w:rPr>
            </w:pPr>
          </w:p>
        </w:tc>
      </w:tr>
      <w:tr>
        <w:trPr>
          <w:trHeight w:val="209"/>
        </w:trPr>
        <w:tc>
          <w:tcPr>
            <w:tcW w:w="5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46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80" w:type="dxa"/>
            <w:vAlign w:val="bottom"/>
          </w:tcPr>
          <w:p>
            <w:pPr>
              <w:spacing w:after="0"/>
              <w:rPr>
                <w:sz w:val="18"/>
                <w:szCs w:val="18"/>
                <w:color w:val="auto"/>
              </w:rPr>
            </w:pPr>
          </w:p>
        </w:tc>
      </w:tr>
      <w:tr>
        <w:trPr>
          <w:trHeight w:val="209"/>
        </w:trPr>
        <w:tc>
          <w:tcPr>
            <w:tcW w:w="4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0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60" w:type="dxa"/>
            <w:vAlign w:val="bottom"/>
            <w:vMerge w:val="restart"/>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4"/>
                <w:szCs w:val="14"/>
                <w:color w:val="auto"/>
              </w:rPr>
            </w:pPr>
          </w:p>
        </w:tc>
        <w:tc>
          <w:tcPr>
            <w:tcW w:w="12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4"/>
                <w:szCs w:val="14"/>
                <w:color w:val="auto"/>
              </w:rPr>
            </w:pPr>
          </w:p>
        </w:tc>
        <w:tc>
          <w:tcPr>
            <w:tcW w:w="12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$63.4 and $55.0 in 2025 and 2024,</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8,351.4</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buildings and equipment, net of accumulated depreciation of $602.1 and $554.1 in 2025 and 2024,</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29"/>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3,280.1</w:t>
            </w:r>
          </w:p>
        </w:tc>
        <w:tc>
          <w:tcPr>
            <w:tcW w:w="0" w:type="dxa"/>
            <w:vAlign w:val="bottom"/>
          </w:tcPr>
          <w:p>
            <w:pPr>
              <w:spacing w:after="0"/>
              <w:rPr>
                <w:sz w:val="1"/>
                <w:szCs w:val="1"/>
                <w:color w:val="auto"/>
              </w:rPr>
            </w:pPr>
          </w:p>
        </w:tc>
      </w:tr>
      <w:tr>
        <w:trPr>
          <w:trHeight w:val="229"/>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15,061.4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debt discount and debt issuance costs of $54.5 and $47.2 in 2025 and 2024,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0" w:type="dxa"/>
            <w:vAlign w:val="bottom"/>
          </w:tcPr>
          <w:p>
            <w:pPr>
              <w:spacing w:after="0"/>
              <w:rPr>
                <w:sz w:val="1"/>
                <w:szCs w:val="1"/>
                <w:color w:val="auto"/>
              </w:rPr>
            </w:pP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20,000,000 shares authorized, no shares issued or outstanding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Series A, $.01 par value; 25,000 shares authorized, no shares issued or outstanding in 2025,</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21,612 shares issued and outstanding in 2024</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$.01 par value; 210,000,000 shares authorized, 69,803,944 and 69,627,398 shares issued, and</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48,660,000 and 48,790,595 shares outstanding in 2025 and 2024,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6"/>
        </w:trPr>
        <w:tc>
          <w:tcPr>
            <w:tcW w:w="8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nonvoting convertible common stock, $.01 par value; 20,000,000 shares authorized, 4,339,431 issued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no shares outstanding in 2025 and 2024, respectively</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25,483,375 and 25,176,234 shares in 2025 and 2024, 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WESCO International, Inc. 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w:t>
            </w:r>
          </w:p>
        </w:tc>
        <w:tc>
          <w:tcPr>
            <w:tcW w:w="0" w:type="dxa"/>
            <w:vAlign w:val="bottom"/>
          </w:tcPr>
          <w:p>
            <w:pPr>
              <w:spacing w:after="0"/>
              <w:rPr>
                <w:sz w:val="1"/>
                <w:szCs w:val="1"/>
                <w:color w:val="auto"/>
              </w:rPr>
            </w:pPr>
          </w:p>
        </w:tc>
      </w:tr>
      <w:tr>
        <w:trPr>
          <w:trHeight w:val="22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15,061.4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180" w:type="dxa"/>
            <w:vAlign w:val="bottom"/>
            <w:gridSpan w:val="4"/>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11"/>
        </w:trPr>
        <w:tc>
          <w:tcPr>
            <w:tcW w:w="6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10,829.7</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8,493.8</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WESCO International, Inc.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Gain on redemption of Series A Preferred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70"/>
        </w:trPr>
        <w:tc>
          <w:tcPr>
            <w:tcW w:w="6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70"/>
        </w:trPr>
        <w:tc>
          <w:tcPr>
            <w:tcW w:w="6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and 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benefit plan adjustments,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3"/>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Gain on redemption of Series A Preferred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divestiture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abandonment of assets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payments, net of cash acquired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divestiture, net of cash transferred</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short-term debt,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taxes related to net-share settlement of equity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common stock dividends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20"/>
          </w:cols>
          <w:pgMar w:left="320" w:top="117" w:right="35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3"/>
                <w:szCs w:val="13"/>
                <w:color w:val="auto"/>
              </w:rPr>
            </w:pPr>
          </w:p>
        </w:tc>
        <w:tc>
          <w:tcPr>
            <w:tcW w:w="11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1"/>
                <w:szCs w:val="11"/>
                <w:color w:val="auto"/>
              </w:rPr>
            </w:pPr>
          </w:p>
        </w:tc>
        <w:tc>
          <w:tcPr>
            <w:tcW w:w="12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1"/>
        </w:trPr>
        <w:tc>
          <w:tcPr>
            <w:tcW w:w="122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2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69,627,398</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4,339,431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4,960.7</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(1,495.1)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(25,176,234)</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$ 4,965.5</w:t>
            </w:r>
          </w:p>
        </w:tc>
        <w:tc>
          <w:tcPr>
            <w:tcW w:w="0" w:type="dxa"/>
            <w:vAlign w:val="bottom"/>
          </w:tcPr>
          <w:p>
            <w:pPr>
              <w:spacing w:after="0"/>
              <w:rPr>
                <w:sz w:val="1"/>
                <w:szCs w:val="1"/>
                <w:color w:val="auto"/>
              </w:rPr>
            </w:pPr>
          </w:p>
        </w:tc>
      </w:tr>
      <w:tr>
        <w:trPr>
          <w:trHeight w:val="194"/>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Pr>
          <w:p>
            <w:pPr>
              <w:spacing w:after="0"/>
              <w:rPr>
                <w:sz w:val="11"/>
                <w:szCs w:val="11"/>
                <w:color w:val="auto"/>
              </w:rPr>
            </w:pP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257,230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excise taxes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02"/>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left="44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March</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69,795,165</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4,339,431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2,049.5</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5,037.8</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(1,521.3)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(25,334,515)</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$ 5,030.1</w:t>
            </w:r>
          </w:p>
        </w:tc>
        <w:tc>
          <w:tcPr>
            <w:tcW w:w="0" w:type="dxa"/>
            <w:vAlign w:val="bottom"/>
          </w:tcPr>
          <w:p>
            <w:pPr>
              <w:spacing w:after="0"/>
              <w:rPr>
                <w:sz w:val="1"/>
                <w:szCs w:val="1"/>
                <w:color w:val="auto"/>
              </w:rPr>
            </w:pPr>
          </w:p>
        </w:tc>
      </w:tr>
      <w:tr>
        <w:trPr>
          <w:trHeight w:val="20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Exercise of stock-</w:t>
            </w:r>
          </w:p>
        </w:tc>
        <w:tc>
          <w:tcPr>
            <w:tcW w:w="140" w:type="dxa"/>
            <w:vAlign w:val="bottom"/>
          </w:tcPr>
          <w:p>
            <w:pPr>
              <w:spacing w:after="0"/>
              <w:rPr>
                <w:sz w:val="10"/>
                <w:szCs w:val="10"/>
                <w:color w:val="auto"/>
              </w:rPr>
            </w:pP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including</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excise taxes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Redemption of</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tcPr>
          <w:p>
            <w:pPr>
              <w:spacing w:after="0"/>
              <w:rPr>
                <w:sz w:val="12"/>
                <w:szCs w:val="12"/>
                <w:color w:val="auto"/>
              </w:rPr>
            </w:pPr>
          </w:p>
        </w:tc>
        <w:tc>
          <w:tcPr>
            <w:tcW w:w="4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174.5</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95"/>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Gain on</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redemption of</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88"/>
        </w:trPr>
        <w:tc>
          <w:tcPr>
            <w:tcW w:w="1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 to</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June 30,</w:t>
            </w: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69,803,944</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4,339,431</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1,484.8</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5,205.0</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(1,546.8)</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(25,483,375)</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center"/>
              <w:ind w:left="42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$ 4,755.0</w:t>
            </w:r>
          </w:p>
        </w:tc>
        <w:tc>
          <w:tcPr>
            <w:tcW w:w="0" w:type="dxa"/>
            <w:vAlign w:val="bottom"/>
          </w:tcPr>
          <w:p>
            <w:pPr>
              <w:spacing w:after="0"/>
              <w:rPr>
                <w:sz w:val="1"/>
                <w:szCs w:val="1"/>
                <w:color w:val="auto"/>
              </w:rPr>
            </w:pPr>
          </w:p>
        </w:tc>
      </w:tr>
      <w:tr>
        <w:trPr>
          <w:trHeight w:val="20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condensed consolidated financial statements.</w:t>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3"/>
                <w:szCs w:val="13"/>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2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8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1"/>
        </w:trPr>
        <w:tc>
          <w:tcPr>
            <w:tcW w:w="126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69,278,677</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4,391.7</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(1,060.4)</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(22,720,986)</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$ 5,031.9</w:t>
            </w:r>
          </w:p>
        </w:tc>
        <w:tc>
          <w:tcPr>
            <w:tcW w:w="0" w:type="dxa"/>
            <w:vAlign w:val="bottom"/>
          </w:tcPr>
          <w:p>
            <w:pPr>
              <w:spacing w:after="0"/>
              <w:rPr>
                <w:sz w:val="1"/>
                <w:szCs w:val="1"/>
                <w:color w:val="auto"/>
              </w:rPr>
            </w:pPr>
          </w:p>
        </w:tc>
      </w:tr>
      <w:tr>
        <w:trPr>
          <w:trHeight w:val="194"/>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stock-</w:t>
            </w:r>
          </w:p>
        </w:tc>
        <w:tc>
          <w:tcPr>
            <w:tcW w:w="140" w:type="dxa"/>
            <w:vAlign w:val="bottom"/>
          </w:tcPr>
          <w:p>
            <w:pPr>
              <w:spacing w:after="0"/>
              <w:rPr>
                <w:sz w:val="11"/>
                <w:szCs w:val="11"/>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429,611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(50.5)</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(343,147)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8"/>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88"/>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6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March</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69,551,438</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2,032.9</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4,462.6</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(1,111.8)</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(23,069,535)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$ 4,977.8</w:t>
            </w:r>
          </w:p>
        </w:tc>
        <w:tc>
          <w:tcPr>
            <w:tcW w:w="0" w:type="dxa"/>
            <w:vAlign w:val="bottom"/>
          </w:tcPr>
          <w:p>
            <w:pPr>
              <w:spacing w:after="0"/>
              <w:rPr>
                <w:sz w:val="1"/>
                <w:szCs w:val="1"/>
                <w:color w:val="auto"/>
              </w:rPr>
            </w:pPr>
          </w:p>
        </w:tc>
      </w:tr>
      <w:tr>
        <w:trPr>
          <w:trHeight w:val="208"/>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Exercise of stock-</w:t>
            </w:r>
          </w:p>
        </w:tc>
        <w:tc>
          <w:tcPr>
            <w:tcW w:w="140" w:type="dxa"/>
            <w:vAlign w:val="bottom"/>
          </w:tcPr>
          <w:p>
            <w:pPr>
              <w:spacing w:after="0"/>
              <w:rPr>
                <w:sz w:val="10"/>
                <w:szCs w:val="10"/>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16,570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based awards</w:t>
            </w: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Repurchases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including excise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(1,679,176)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0" w:type="dxa"/>
            <w:vAlign w:val="bottom"/>
          </w:tcPr>
          <w:p>
            <w:pPr>
              <w:spacing w:after="0"/>
              <w:rPr>
                <w:sz w:val="1"/>
                <w:szCs w:val="1"/>
                <w:color w:val="auto"/>
              </w:rPr>
            </w:pPr>
          </w:p>
        </w:tc>
      </w:tr>
      <w:tr>
        <w:trPr>
          <w:trHeight w:val="188"/>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related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units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retirement of</w:t>
            </w: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attributable to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WESCO</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International,</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5"/>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 to</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8"/>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Translation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adjustments and</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12"/>
        </w:trPr>
        <w:tc>
          <w:tcPr>
            <w:tcW w:w="1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2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Balance, June 30,</w:t>
            </w: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69,566,509</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4,339,431</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21,612</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2,035.5</w:t>
            </w:r>
          </w:p>
        </w:tc>
        <w:tc>
          <w:tcPr>
            <w:tcW w:w="8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4,660.1</w:t>
            </w:r>
          </w:p>
        </w:tc>
        <w:tc>
          <w:tcPr>
            <w:tcW w:w="8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(1,415.4)</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(24,752,019)</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0"/>
                <w:szCs w:val="10"/>
                <w:color w:val="auto"/>
              </w:rPr>
            </w:pPr>
          </w:p>
        </w:tc>
        <w:tc>
          <w:tcPr>
            <w:tcW w:w="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(423.6)</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$ 4,851.3</w:t>
            </w:r>
          </w:p>
        </w:tc>
        <w:tc>
          <w:tcPr>
            <w:tcW w:w="0" w:type="dxa"/>
            <w:vAlign w:val="bottom"/>
          </w:tcPr>
          <w:p>
            <w:pPr>
              <w:spacing w:after="0"/>
              <w:rPr>
                <w:sz w:val="1"/>
                <w:szCs w:val="1"/>
                <w:color w:val="auto"/>
              </w:rPr>
            </w:pPr>
          </w:p>
        </w:tc>
      </w:tr>
      <w:tr>
        <w:trPr>
          <w:trHeight w:val="201"/>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11240"/>
          </w:cols>
          <w:pgMar w:left="320" w:top="117" w:right="339" w:bottom="956"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956"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operating segments comprising three strategic business units consisting of Electrical &amp; Electronic Solutions (“EES”), Communications &amp; Security Solutions (“CSS”) and Utility &amp; Broadband Solutions (“UBS”).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Wesco have been prepared in accordance with Rule 10-01 of Regulation S-X of the Securities and Exchange Commission (the “SEC”). The unaudited condensed consolidated financial information should be read in conjunction with the audited Consolidated Financial Statements and Notes thereto included in WESCO International, Inc.’s Annual Report on Form 10-K for the year ended December 31, 2024, as filed with the SEC on February 14, 2025. The Condensed Consolidated Balance Sheet at December 31, 2024 was derived from the audited Consolidated Financial Statements as of that date, but does not include all the disclosures required by accounting principles generally accepted in the United States of America.</w:t>
      </w:r>
    </w:p>
    <w:p>
      <w:pPr>
        <w:spacing w:after="0" w:line="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Balance Sheet as of June 30, 2025, the unaudited Condensed Consolidated Statements of Income and Comprehensive Income, the unaudited Condensed Consolidated Statements of Stockholders’ Equity for the three and six months ended June 30, 2025 and 2024, and the unaudited Condensed Consolidated Statements of Cash Flows for the six months ended June 30, 2025 and 2024, respectively, in the opinion of management, have been prepared on the same basis as the audited Consolidated Financial Statements and include all adjustments necessary for the fair statement of the results of the interim periods presented herein. All adjustments reflected in the unaudited condensed consolidated financial information are of a normal recurring nature unless indicated. The results for the interim periods presented herein are not necessarily indicative of the results to be expected for the full year.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Statement of Cash Flows for the six months ended June 30, 2024, includes certain reclassifications to previously reported amounts to conform to the current period's presentation. Such reclassifications had no impact on the totals of operating, investing and financing cash flow activities.</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quarter of 2025, a portion of the EES reportable segment was moved to the CSS reportable segment as a result of operational realignment. The reportable segment financial information for the three and six months ended June 30, 2024 has been recast to conform to the current year presentation. The recast does not impact previously reported condensed consolidated results. Refer to Note 14, “Business Segments” for the recasted segment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and Recently Issued Accounting Standards and Disclosure Rules</w:t>
      </w:r>
    </w:p>
    <w:p>
      <w:pPr>
        <w:spacing w:after="0" w:line="11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(the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which enhances prior reportable segment disclosure requirements in part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entities to disclose significant expenses related to their reportable segments. The amendments in this ASU were effective on a retrospective basis for annual periods beginning after December 15, 2023 and interim periods within fiscal years beginning after December 15, 2024. The Company adopted the annual disclosure requirements of this ASU in the fourth quarter of 2024 and the interim disclosure requirements in the first quarter of 2025. The adoption of this ASU resulted in additional required disclosures, including the disclosure of certain expenses at the reportable segment level, described further in Note 14, “Business Segments”.</w:t>
      </w:r>
    </w:p>
    <w:p>
      <w:pPr>
        <w:spacing w:after="0" w:line="7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however, retrospective application is permitted. Management is currently evaluating the impact that this accounting standard will have on its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is intended to enhance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may be applied prospectively or retrospectively. Management is currently evaluating the impact that this accounting standard will have on its consolidated financial statements and notes thereto.</w:t>
      </w:r>
    </w:p>
    <w:p>
      <w:pPr>
        <w:spacing w:after="0" w:line="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groups with future effective dates are either not applicable or are not expected to be material to Wesco’s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7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Wesco distributes products and provides services to customers globally in various end markets within its business segments. The segments operate in the United States, Canada and various other countries.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disaggregates Wesco’s net sales by geography for the periods presented:</w:t>
      </w:r>
    </w:p>
    <w:p>
      <w:pPr>
        <w:spacing w:after="0" w:line="160" w:lineRule="exact"/>
        <w:rPr>
          <w:sz w:val="20"/>
          <w:szCs w:val="20"/>
          <w:color w:val="auto"/>
        </w:rPr>
      </w:pPr>
    </w:p>
    <w:tbl>
      <w:tblPr>
        <w:tblLayout w:type="fixed"/>
        <w:tblInd w:w="90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36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2"/>
        </w:trPr>
        <w:tc>
          <w:tcPr>
            <w:tcW w:w="4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11"/>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8,048.1</w:t>
            </w:r>
          </w:p>
        </w:tc>
      </w:tr>
      <w:tr>
        <w:trPr>
          <w:trHeight w:val="22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r>
      <w:tr>
        <w:trPr>
          <w:trHeight w:val="230"/>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International</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r>
      <w:tr>
        <w:trPr>
          <w:trHeight w:val="223"/>
        </w:trPr>
        <w:tc>
          <w:tcPr>
            <w:tcW w:w="430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Total by geography</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10,829.7</w:t>
            </w:r>
          </w:p>
        </w:tc>
      </w:tr>
      <w:tr>
        <w:trPr>
          <w:trHeight w:val="21"/>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 individual country's net sales are greater than 10% of total net sales.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Wesco attributes revenues from external customers to individual countries on the basis of point of sale.</w:t>
      </w:r>
    </w:p>
    <w:p>
      <w:pPr>
        <w:spacing w:after="0" w:line="8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Deferred revenue is generally recognized within a year or less from the date of the advance billing or payment receipt. At June 30, 2025 and December 31, 2024, $108.7 million and $141.8 million, respectively, of deferred revenue was recorded as a component of other current liabilities in the Condensed Consolidated Balance Sheets. The Company recognized $13.0 million and $70.4 million of revenue during the three and six months ended June 30, 2025, respectively, that was included in the deferred revenue balance as of December 31, 2024, and recognized $14.3 million and $57.1 million of revenue during the three and six months ended June 30, 2024, respectively, that was included in the deferred revenue balance as of December 31, 2023.</w:t>
      </w:r>
    </w:p>
    <w:p>
      <w:pPr>
        <w:spacing w:after="0" w:line="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by approximately $109.4 million and $110.0 million, for the three months ended June 30, 2025 and 2024, respectively, and by approximately $222.4 million and $220.8 million for the six months ended June 30, 2025 and 2024, respectively. As of June 30, 2025 and December 31, 2024, the Company's estimated product return obligation was $41.9 million and $41.0 million, respectively.</w:t>
      </w:r>
    </w:p>
    <w:p>
      <w:pPr>
        <w:spacing w:after="0" w:line="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Billings to customers for shipping and handling are recognized in net sales. Wesco has elected to recognize shipping and handling costs as a fulfillment cost. Shipping and handling costs recorded as a component of selling, general and administrative expenses totaled $83.9 million and $75.7 million for the three months ended June 30, 2025 and 2024, respectively, and $160.4 million and $145.3 million for the six months ended June 30, 2025 and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Software Solutions</w:t>
      </w:r>
    </w:p>
    <w:p>
      <w:pPr>
        <w:spacing w:after="0" w:line="1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January 2, 2025, the Company acquired 100% of the equity securities of Industrial Software Solutions I, Inc. and Industrial Software Solutions ULC (collectively, “ISS”), an industrial automation consulting company, software distributor, and AVEVA Select Partner, for total cash consideration of $36.3 million, net of cash acquired. The assets acquired primarily included a distribution agreement intangible asset and a customer relationships intangible asset, with fair values of $10.6 million and $5.0 million, respectively, based on income valuation methods, with the excess of $20.1 million primarily allocated to goodwill in the Company’s EES reportable segment.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Ascent, LLC</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December 5, 2024, through its wholly-owned subsidiary Anixter Inc., the Company acquired 100% of the equity securities of Ascent, LLC (“Ascent”). Headquartered in St. Louis, Missouri, Ascent is a provider of data center facility management services with more than 300 employees in the U.S. and Canada. Ascent’s expertise in engineering and design-build consultation services, in addition to daily site operations and critical facility intelligence software, extends the Company’s suite of capabilities and solutions that serve the entire lifecycle of the data center. The Company funded the purchase price paid at closing with cash on hand as well as borrowings under its revolving credit facility. The total fair value of consideration transferred for the acquisition of Ascent consisted of $179.2 million, net of cash acquired.</w:t>
      </w:r>
    </w:p>
    <w:p>
      <w:pPr>
        <w:spacing w:after="0" w:line="7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preliminary purchase consideration was allocated to the identified assets acquired and liabilities assumed based on their respective acquisition date fair value, with the excess allocated to goodwill. The Company identified a customer relationship intangible asset and estimated its fair value using an income valuation method. The excess purchase consideration recorded as goodwill is not deductible for income tax purposes, and has been assigned to the Company’s CSS reportable segment. The resulting goodwill is primarily attributable to Ascent’s workforce and expertise in engineering and design-build consultation services.</w:t>
      </w:r>
    </w:p>
    <w:p>
      <w:pPr>
        <w:spacing w:after="0" w:line="7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based on preliminary calculations and valuations using estimates and assumptions at the time of acquisition. As the Company obtains additional information during the measurement period (not to exceed one year from the acquisition date), estimates and assumptions for the preliminary purchase consideration allocations may change materially. Since the initial measurement of the identified assets acquired and liabilities assumed, the Company has not recorded any material fair value adjustments.</w:t>
      </w:r>
    </w:p>
    <w:p>
      <w:pPr>
        <w:spacing w:after="0" w:line="7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allocation of the purchase consideration to the respective fair values of assets acquired and liabilities assumed for the acquisition of Ascent:</w:t>
      </w:r>
    </w:p>
    <w:p>
      <w:pPr>
        <w:spacing w:after="0" w:line="90"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3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Intangible asset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3"/>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50"/>
        </w:trPr>
        <w:tc>
          <w:tcPr>
            <w:tcW w:w="6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50"/>
        </w:trPr>
        <w:tc>
          <w:tcPr>
            <w:tcW w:w="65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net assets acquired, including goodwill and intangible asset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Consists of a customer relationship intangible asset with an estimated useful life of 15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Electric Supply Inc.</w:t>
      </w:r>
    </w:p>
    <w:p>
      <w:pPr>
        <w:spacing w:after="0" w:line="1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 acquired 100% of the equity securities of Independent Electric Supply Inc. (“IES”), a full-line electrical distributor headquartered in Ontario, Canada for $13.2 million, net of cash acquired.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entroCIM</w:t>
      </w:r>
    </w:p>
    <w:p>
      <w:pPr>
        <w:spacing w:after="0" w:line="1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June 3, 2024, the Company acquired the assets and liabilities held by Warez, LLC and Hepta Systems, LLC, which owned and operated the entroCIM business (collectively, “entroCIM”). entroCIM is an innovator in data center and building intelligence software. The total fair value of consideration for the acquisition of entroCIM of $36.5 million includes total cash consideration of $30.1 million, net of cash acquired, and contingent consideration not to exceed $8.0 million. The purchase consideration was allocated to a developed software intangible asset with an estimated fair value of $8.0 million based on an income valuation method, with the excess of $29.0 million allocated to goodwill in the Company’s CSS reportable segment.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Wesco Integrated Supply (“WIS”) Divestiture</w:t>
      </w:r>
    </w:p>
    <w:p>
      <w:pPr>
        <w:spacing w:after="0" w:line="1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April 1, 2024, Wesco Distribution, Inc. (“Wesco Distribution”) completed the sale of its WIS business for total consideration of $354.9 million, which was adjusted for net working capital, closing cash, and closing indebtedness. The WIS business, located primarily in the U.S. and Canada, was part of the UBS reportable segment and provided products and services to large industrial and commercial end-users to support their maintenance, repair, and operating spend. The Company recognized a gain from the sale of $122.2 million, which was recorded as a component of other income, net in the Consolidated Statement of Income and Comprehensive Income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value of goodwill by reportable segment for the period presented:</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EES</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CSS</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UBS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0"/>
        </w:trPr>
        <w:tc>
          <w:tcPr>
            <w:tcW w:w="4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 2025</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3,280.1</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goodwill for acquisitions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June 30, 2025</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3,351.7</w:t>
            </w:r>
          </w:p>
        </w:tc>
      </w:tr>
      <w:tr>
        <w:trPr>
          <w:trHeight w:val="20"/>
        </w:trPr>
        <w:tc>
          <w:tcPr>
            <w:tcW w:w="4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intangible assets are as follows:</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2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120" w:type="dxa"/>
            <w:vAlign w:val="bottom"/>
            <w:gridSpan w:val="2"/>
          </w:tcPr>
          <w:p>
            <w:pPr>
              <w:jc w:val="right"/>
              <w:ind w:right="13"/>
              <w:spacing w:after="0" w:line="15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jc w:val="right"/>
              <w:ind w:right="35"/>
              <w:spacing w:after="0" w:line="15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15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Life (in years)</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8"/>
                <w:szCs w:val="18"/>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9 - 20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agreements</w:t>
            </w:r>
          </w:p>
        </w:tc>
        <w:tc>
          <w:tcPr>
            <w:tcW w:w="13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9"/>
              </w:rPr>
              <w:t>8 - 19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50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5 and 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34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r>
              <w:rPr>
                <w:rFonts w:ascii="Times New Roman" w:cs="Times New Roman" w:eastAsia="Times New Roman" w:hAnsi="Times New Roman"/>
                <w:sz w:val="18"/>
                <w:szCs w:val="18"/>
                <w:u w:val="single" w:color="auto"/>
                <w:color w:val="auto"/>
              </w:rPr>
              <w:t>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original cost and related accumulated amortization of fully-amortized intangible assets.</w:t>
      </w:r>
    </w:p>
    <w:p>
      <w:pPr>
        <w:spacing w:after="0" w:line="9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totaled $22.3 million and $21.9 million for the three months ended June 30, 2025 and 2024, respectively, and $44.5 million and $43.8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table sets forth the remaining estimated amortization expense for intangible assets for the next five years and thereafter:</w:t>
      </w:r>
    </w:p>
    <w:p>
      <w:pPr>
        <w:sectPr>
          <w:pgSz w:w="11900" w:h="16838" w:orient="portrait"/>
          <w:cols w:equalWidth="0" w:num="1">
            <w:col w:w="11240"/>
          </w:cols>
          <w:pgMar w:left="320" w:top="225" w:right="339" w:bottom="1440" w:gutter="0" w:footer="0" w:header="0"/>
        </w:sectPr>
      </w:pPr>
    </w:p>
    <w:p>
      <w:pPr>
        <w:spacing w:after="0" w:line="17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p>
      <w:pPr>
        <w:spacing w:after="0" w:line="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Remaining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-127635</wp:posOffset>
            </wp:positionV>
            <wp:extent cx="37115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11575" cy="145415"/>
                    </a:xfrm>
                    <a:prstGeom prst="rect">
                      <a:avLst/>
                    </a:prstGeom>
                    <a:noFill/>
                  </pic:spPr>
                </pic:pic>
              </a:graphicData>
            </a:graphic>
          </wp:anchor>
        </w:drawing>
      </w:r>
    </w:p>
    <w:p>
      <w:pPr>
        <w:spacing w:after="0" w:line="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7115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11575" cy="145415"/>
                    </a:xfrm>
                    <a:prstGeom prst="rect">
                      <a:avLst/>
                    </a:prstGeom>
                    <a:noFill/>
                  </pic:spPr>
                </pic:pic>
              </a:graphicData>
            </a:graphic>
          </wp:anchor>
        </w:drawing>
      </w:r>
    </w:p>
    <w:p>
      <w:pPr>
        <w:spacing w:after="0" w:line="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7115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11575" cy="146050"/>
                    </a:xfrm>
                    <a:prstGeom prst="rect">
                      <a:avLst/>
                    </a:prstGeom>
                    <a:noFill/>
                  </pic:spPr>
                </pic:pic>
              </a:graphicData>
            </a:graphic>
          </wp:anchor>
        </w:drawing>
      </w:r>
    </w:p>
    <w:p>
      <w:pPr>
        <w:spacing w:after="0" w:line="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2029</w:t>
      </w:r>
    </w:p>
    <w:p>
      <w:pPr>
        <w:spacing w:after="0" w:line="2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7115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11575" cy="171450"/>
                    </a:xfrm>
                    <a:prstGeom prst="rect">
                      <a:avLst/>
                    </a:prstGeom>
                    <a:noFill/>
                  </pic:spPr>
                </pic:pic>
              </a:graphicData>
            </a:graphic>
          </wp:anchor>
        </w:drawing>
      </w:r>
    </w:p>
    <w:p>
      <w:pPr>
        <w:spacing w:after="0" w:line="3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186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8"/>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9"/>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4"/>
        </w:trPr>
        <w:tc>
          <w:tcPr>
            <w:tcW w:w="4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225"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Wesco’s stock-based compensation awards consist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spacing w:after="0" w:line="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Stock options and stock-settled stock appreciation rights vest ratably over a three-year period and terminate on the tenth anniversary of the grant date unless terminated sooner under certain conditions. Restricted stock units awarded under the WESCO International, Inc. 2021 Omnibus Incentive Plan, which was adopted on May 27, 2021,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spacing w:after="0" w:line="7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Prior to the 2025 awards, performance-based awards were typically based on two equally-weighted performance measures: the three-year average growth rate of Wesco’s net income attributable to common stockholders and the three-year cumulative return on net assets. The 2025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the March 1, 2025 grant date was measured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Wesco granted the following stock options, restricted stock units, and performance-based awards at the following weighted-average fair values:</w:t>
      </w:r>
    </w:p>
    <w:p>
      <w:pPr>
        <w:spacing w:after="0" w:line="43"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960" w:type="dxa"/>
            <w:vAlign w:val="bottom"/>
            <w:gridSpan w:val="4"/>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9"/>
        </w:trPr>
        <w:tc>
          <w:tcPr>
            <w:tcW w:w="4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3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32"/>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4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85,425</w:t>
            </w: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57"/>
        </w:trPr>
        <w:tc>
          <w:tcPr>
            <w:tcW w:w="4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238,291</w:t>
            </w: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r>
      <w:tr>
        <w:trPr>
          <w:trHeight w:val="256"/>
        </w:trPr>
        <w:tc>
          <w:tcPr>
            <w:tcW w:w="4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Performance-based awards granted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193,565</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r>
    </w:tbl>
    <w:p>
      <w:pPr>
        <w:spacing w:after="0" w:line="1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stock options, as disclosed in the table above, were estimated using the following weighted-average assumptions in the respective periods:</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294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40" w:type="dxa"/>
            <w:vAlign w:val="bottom"/>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3540" w:type="dxa"/>
            <w:vAlign w:val="bottom"/>
          </w:tcPr>
          <w:p>
            <w:pPr>
              <w:spacing w:after="0"/>
              <w:rPr>
                <w:sz w:val="13"/>
                <w:szCs w:val="13"/>
                <w:color w:val="auto"/>
              </w:rPr>
            </w:pPr>
          </w:p>
        </w:tc>
        <w:tc>
          <w:tcPr>
            <w:tcW w:w="1540" w:type="dxa"/>
            <w:vAlign w:val="bottom"/>
            <w:tcBorders>
              <w:top w:val="single" w:sz="8" w:color="auto"/>
            </w:tcBorders>
            <w:gridSpan w:val="2"/>
          </w:tcPr>
          <w:p>
            <w:pPr>
              <w:ind w:left="42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300" w:type="dxa"/>
            <w:vAlign w:val="bottom"/>
            <w:tcBorders>
              <w:top w:val="single" w:sz="8" w:color="auto"/>
            </w:tcBorders>
          </w:tcPr>
          <w:p>
            <w:pPr>
              <w:ind w:left="3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1580" w:type="dxa"/>
            <w:vAlign w:val="bottom"/>
            <w:tcBorders>
              <w:top w:val="single" w:sz="8" w:color="auto"/>
            </w:tcBorders>
            <w:gridSpan w:val="2"/>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6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22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date of grant using the current fiscal year projected dividend distribution rate.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stock options and related information for the six months ended June 30, 2025:</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June 30, 2025</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153,368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141.94</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six months ended June 30, 2025, the aggregate intrinsic value of stock options exercised during such period was not 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stock-settled stock appreciation rights and related information for the six months ended June 30, 2025:</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 (In</w:t>
            </w:r>
          </w:p>
        </w:tc>
        <w:tc>
          <w:tcPr>
            <w:tcW w:w="200" w:type="dxa"/>
            <w:vAlign w:val="bottom"/>
          </w:tcPr>
          <w:p>
            <w:pPr>
              <w:spacing w:after="0"/>
              <w:rPr>
                <w:sz w:val="14"/>
                <w:szCs w:val="14"/>
                <w:color w:val="auto"/>
              </w:rPr>
            </w:pPr>
          </w:p>
        </w:tc>
        <w:tc>
          <w:tcPr>
            <w:tcW w:w="122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June 30, 2025</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671,263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aggregate intrinsic value of stock-settled stock appreciation rights exercised during such period was $3.6 million.</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units and related information for the six months ended June 30, 2025:</w:t>
      </w:r>
    </w:p>
    <w:p>
      <w:pPr>
        <w:spacing w:after="0" w:line="194"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220" w:type="dxa"/>
            <w:vAlign w:val="bottom"/>
          </w:tcPr>
          <w:p>
            <w:pPr>
              <w:jc w:val="center"/>
              <w:ind w:right="154"/>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 summary of performance-based awards and related information for the six months ended June 30, 2025:</w:t>
      </w:r>
    </w:p>
    <w:p>
      <w:pPr>
        <w:spacing w:after="0" w:line="194" w:lineRule="exact"/>
        <w:rPr>
          <w:sz w:val="20"/>
          <w:szCs w:val="20"/>
          <w:color w:val="auto"/>
        </w:rPr>
      </w:pPr>
    </w:p>
    <w:tbl>
      <w:tblPr>
        <w:tblLayout w:type="fixed"/>
        <w:tblInd w:w="19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4"/>
                <w:szCs w:val="14"/>
                <w:color w:val="auto"/>
              </w:rPr>
            </w:pPr>
          </w:p>
        </w:tc>
        <w:tc>
          <w:tcPr>
            <w:tcW w:w="1240" w:type="dxa"/>
            <w:vAlign w:val="bottom"/>
          </w:tcPr>
          <w:p>
            <w:pPr>
              <w:jc w:val="center"/>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Wesco recognized $8.4 million and $2.7 million of non-cash stock-based compensation expense for the three months ended June 30, 2025 and 2024, respectively, and $18.6 million and $12.8 million of non-cash stock-based compensation expense for the six months ended June 30, 2025 and 2024, respectively, which is included in selling, general and administrative expenses for such periods. As of June 30, 2025, there was $82.4 million of total unrecognized compensation expense related to unvested stock-based compensation arrangements for all awards previously made, which is expected to be recognized as follows:</w:t>
      </w:r>
    </w:p>
    <w:p>
      <w:pPr>
        <w:spacing w:after="0" w:line="118" w:lineRule="exact"/>
        <w:rPr>
          <w:sz w:val="20"/>
          <w:szCs w:val="20"/>
          <w:color w:val="auto"/>
        </w:rPr>
      </w:pPr>
    </w:p>
    <w:tbl>
      <w:tblPr>
        <w:tblLayout w:type="fixed"/>
        <w:tblInd w:w="2820" w:type="dxa"/>
        <w:tblCellMar>
          <w:top w:w="0" w:type="dxa"/>
          <w:left w:w="0" w:type="dxa"/>
          <w:bottom w:w="0" w:type="dxa"/>
          <w:right w:w="0" w:type="dxa"/>
        </w:tblCellMar>
      </w:tblP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ending December 31,</w:t>
            </w:r>
          </w:p>
        </w:tc>
        <w:tc>
          <w:tcPr>
            <w:tcW w:w="1020" w:type="dxa"/>
            <w:vAlign w:val="bottom"/>
          </w:tcPr>
          <w:p>
            <w:pPr>
              <w:spacing w:after="0"/>
              <w:rPr>
                <w:sz w:val="18"/>
                <w:szCs w:val="18"/>
                <w:color w:val="auto"/>
              </w:rPr>
            </w:pPr>
          </w:p>
        </w:tc>
        <w:tc>
          <w:tcPr>
            <w:tcW w:w="18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31, 2022, the Company’s Board of Directors adopted a resolution authorizing the repurchase of up to $1 billion of the Company’s common stock and 10.625% Series A Fixed-Rate Reset Cumulative Perpetual Preferred Stock (the “Series A Preferred Stock”). The share repurchase authorization has no expiration date and may be modified, suspended, or terminated at any time without prior notice.</w:t>
      </w:r>
    </w:p>
    <w:p>
      <w:pPr>
        <w:spacing w:after="0" w:line="6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entered into spot repurchase transactions through a broker to purchase 147,300 and 300,528 shares, respectively, of its common stock in the open market for cash totaling $25.3 million and $50.6 million, respectively, including excise taxes. Wesco funded the repurchases with available cash and borrowings under its accounts receivable securitization and revolving credit facilities. During the three and six months ended June 30, 2024, the Company entered into spot repurchase transactions through a broker to purchase 1,679,176 and 2,022,323 shares, respectively, of its common stock in the open market for cash totaling $303.0 million and $353.5 million, respectively, including excise taxes. Wesco funded the repurchases with available cash and borrowings under its accounts receivable securitization and revolving credit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Redemption</w:t>
      </w:r>
    </w:p>
    <w:p>
      <w:pPr>
        <w:spacing w:after="0" w:line="17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February 13, 2025, the Company's Board of Directors adopted a resolution authorizing the redemption of all outstanding shares of the Company's Series A Preferred Stock. As this authorization was separate from the May 31, 2022 share purchase authorization noted above, the redemption of Series A Preferred Stock did not impact the approximate dollar value of shares that may be repurchased under the earlier 2022 authorization.</w:t>
      </w:r>
    </w:p>
    <w:p>
      <w:pPr>
        <w:spacing w:after="0" w:line="12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June 22, 2025, the Company redeemed all 21,612 outstanding shares of its Series A Preferred Stock, and the related depositary shares, each representing 1/1,000th of one share of Series A Preferred Stock, at a redemption price of $25,000 per share, for a total payment of $540.3 million. The Company accrued $5.4 million in excise tax and recognized a $27.6 million gain from the redemption as income attributable to common stockholders. As described in Note 9, “Debt”, Wesco funded the redemption with the net proceeds from the March 2025 issuance of the 6.375% senior notes due 2033.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Company’s dividends on common stock are declared at the discretion of the Board of Directors. The following table is a summary of cash dividends declared and paid on the Company’s common stock for the six months ended June 30, 2025:</w:t>
      </w:r>
    </w:p>
    <w:p>
      <w:pPr>
        <w:spacing w:after="0" w:line="144"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3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34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Dividend Payment</w:t>
            </w:r>
          </w:p>
        </w:tc>
      </w:tr>
      <w:tr>
        <w:trPr>
          <w:trHeight w:val="27"/>
        </w:trPr>
        <w:tc>
          <w:tcPr>
            <w:tcW w:w="1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0"/>
        </w:trPr>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c>
          <w:tcPr>
            <w:tcW w:w="1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31,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22.1 million</w:t>
            </w:r>
          </w:p>
        </w:tc>
      </w:tr>
      <w:tr>
        <w:trPr>
          <w:trHeight w:val="257"/>
        </w:trPr>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May 29, 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13, 2025</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June 30,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0.454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22.1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is a summary of cash dividends declared and paid on the Company’s common stock for the six months ended June 30, 2024:</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Date Declared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3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34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Dividend Payment</w:t>
            </w:r>
          </w:p>
        </w:tc>
      </w:tr>
      <w:tr>
        <w:trPr>
          <w:trHeight w:val="27"/>
        </w:trPr>
        <w:tc>
          <w:tcPr>
            <w:tcW w:w="1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0"/>
        </w:trPr>
        <w:tc>
          <w:tcPr>
            <w:tcW w:w="18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2024</w:t>
            </w:r>
          </w:p>
        </w:tc>
        <w:tc>
          <w:tcPr>
            <w:tcW w:w="1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March 29, 2024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20.9 million</w:t>
            </w:r>
          </w:p>
        </w:tc>
      </w:tr>
      <w:tr>
        <w:trPr>
          <w:trHeight w:val="257"/>
        </w:trPr>
        <w:tc>
          <w:tcPr>
            <w:tcW w:w="1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May 30, 2024</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14, 2024</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June 28,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20.3 million</w:t>
            </w:r>
          </w:p>
        </w:tc>
      </w:tr>
    </w:tbl>
    <w:p>
      <w:pPr>
        <w:spacing w:after="0" w:line="23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Company's Board of Directors also declared and the Company paid quarterly cash dividends totaling $12.9 million and $27.3 million, respectively, relating to its Series A Preferred Stock. For the three months ended June 30, 2025, the dividend rate per depositary share was prorated to $0.598, compared to the prior period dividend rates of $0.664, as a result of the redemption of the Series A Preferred Stock in June 2025. During the three and six months ended June 30, 2024, the Company's Board of Directors declared and the Company paid quarterly cash dividends of $0.664 per depositary share relating to its Series A Preferred Stock totaling $14.4 million and $28.7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38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33"/>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WESCO International,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Gain on redemption of Series A Preferred Stock</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common shares outstanding used in computing basic</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shares issuable upon exercise of dilutive equity awards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55"/>
        </w:trPr>
        <w:tc>
          <w:tcPr>
            <w:tcW w:w="57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and common share equivalents</w:t>
            </w: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used in computing diluted earnings per share</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4"/>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computation of diluted earnings per share attributable to common stockholders excludes stock-based awards that would have had an antidilutive effect on earnings per share. For the three and six months ended June 30, 2025, there were approximately 0.5 million antidilutive shares. For the three and six months ended June 30, 2024, there were approximately 0.2 million antidilutive shares.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Wesco's outstanding indebtedness:</w:t>
      </w:r>
    </w:p>
    <w:p>
      <w:pPr>
        <w:spacing w:after="0" w:line="214"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158"/>
        </w:trPr>
        <w:tc>
          <w:tcPr>
            <w:tcW w:w="6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3"/>
                <w:szCs w:val="13"/>
                <w:color w:val="auto"/>
              </w:rPr>
            </w:pPr>
          </w:p>
        </w:tc>
        <w:tc>
          <w:tcPr>
            <w:tcW w:w="1280" w:type="dxa"/>
            <w:vAlign w:val="bottom"/>
          </w:tcPr>
          <w:p>
            <w:pPr>
              <w:jc w:val="right"/>
              <w:ind w:right="171"/>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2"/>
        </w:trPr>
        <w:tc>
          <w:tcPr>
            <w:tcW w:w="6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6.000%</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Anixter Senior Notes due 2025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75"/>
        </w:trPr>
        <w:tc>
          <w:tcPr>
            <w:tcW w:w="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7.250%</w:t>
            </w:r>
          </w:p>
        </w:tc>
        <w:tc>
          <w:tcPr>
            <w:tcW w:w="5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Notes due 2028, less debt discount of $3.7 and $4.4 in 2025 and</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6.625%</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5,107.7</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Fair value adjustments to the Anixter Senior Notes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debt and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5,045.5</w:t>
            </w:r>
          </w:p>
        </w:tc>
      </w:tr>
      <w:tr>
        <w:trPr>
          <w:trHeight w:val="20"/>
        </w:trPr>
        <w:tc>
          <w:tcPr>
            <w:tcW w:w="6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Securitization Facility</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February 28, 2025, Wesco Distribution amended its accounts receivable securitization facility (the “Receivables Facility”) pursuant to the terms and conditions of a Ninth Amendment to Fifth Amended and Restated Receivables Purchase Agreement (the “Ninth Receivables Amendment”), by and among WESCO Receivables Corp., Wesco Distribution, the various purchasers and purchaser agents party thereto and PNC Bank, National Association, as administrator. The Ninth Receivables Amendment modified the receivables purchase agreement originally entered into on June 22, 2020. The Ninth Receivables Amendment, among other things, extended the scheduled termination date of the Receivables Facility to February 28, 2028, and removed the credit spread adjustment applicable to term SOFR investments. No other material terms were changed.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February 28, 2025, Wesco Distribution amended its revolving credit facility (the “Revolving Credit Facility”) pursuant to the terms and conditions of the Seventh Amendment to Fourth Amended and Restated Credit Agreement (the “Seventh Revolver Amendment”), by and among Wesco Distribution, the other U.S. borrowers party thereto, WESCO Distribution Canada LP, the other Canadian borrowers party thereto, Wesco, the lenders party thereto and Barclays Bank PLC, as administrative agent. The Seventh Revolver Amendment amended the revolving credit agreement originally entered into on June 22, 2020, to, among other things, (i) extend the maturity date of the Revolving Credit Facility to February 28, 2030, (ii) increase the capacity to request increases in the revolving commitments under the Revolving Credit Facility from $450 million to $500 million, (iii) increase certain negative covenant baskets, and (iv) remove the credit spread adjustment applicable to term SOFR and daily simple SOFR loans. No other material terms were changed.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6.375% Senior Notes due 2033</w:t>
      </w:r>
    </w:p>
    <w:p>
      <w:pPr>
        <w:spacing w:after="0" w:line="1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March 6, 2025, Wesco Distribution issued $800 million aggregate principal amount of 6.375% senior notes due 2033 (the “2033 Notes”). The 2033 Notes were issued at a price of 100% of the aggregate principal amount thereof. Wesco incurred costs related to the issuance of the 2033 Notes totaling $10.3 million, which were recorded as a reduction to the carrying value of the debt and are amortized over the life of the notes.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2033 Notes were issued pursuant to, and are governed by, an indenture (the “2033 Notes Indenture”), dated as of March 6, 2025, among Wesco Distribution, the Company, Anixter Inc., and U.S. Bank Trust Company, National Association, as trustee (the “Trustee”). The 2033 Notes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7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used the net proceeds from the issuance of the 2033 Notes to redeem all of the Company’s outstanding Series A Preferred Stock and all of the related depositary shares representing fractional interests in the Series A Preferred Stock in June 2025, and to repay a portion of the amounts outstanding under the Revolving Credit Facility. Prior to redeeming the Series A Preferred Stock, the Company used the net proceeds to temporarily repay all of the outstanding borrowings under its Revolving Credit Facility and to repay a portion of the amounts outstanding under its Receivables Facility. The Company subsequently redrew under the Receivables Facility and the Revolving Credit Facility in an aggregate amount sufficient to redeem the Series A Preferred Stock.</w:t>
      </w:r>
    </w:p>
    <w:p>
      <w:pPr>
        <w:spacing w:after="0" w:line="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2033 Notes are unsecured and unsubordinated obligations of Wesco Distribution and are guaranteed on an unsecured, unsubordinated basis by the Company and Anixter Inc. The 2033 Notes accrue interest at a rate of 6.375% per annum, payable semi-annually in arrears on March 15 and September 15 of each year. The 2033 Notes will mature on March 15, 2033.</w:t>
      </w:r>
    </w:p>
    <w:p>
      <w:pPr>
        <w:spacing w:after="0" w:line="6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Wesco Distribution may redeem all or a part of the 2033 Notes at any time prior to March 15, 2028 by paying a “make-whole” premium plus accrued and unpaid interest, if any, to but excluding the redemption date. In addition, any time prior to March 15, 2028, Wesco Distribution may redeem up to 35% of the original aggregate principal amount of the 2033 Notes with the net cash proceeds from certain equity offerings. At any time between March 15, 2028 and March 14, 2029, Wesco Distribution may redeem all or a part of the 2033 Notes at a redemption price equal to 103.188% of the principal amount. Between March 15, 2029 and March 14, 2030, Wesco Distribution may redeem all or a part of the 2033 Notes at a redemption price equal to 101.594% of the principal amount. On and after March 15, 2030, Wesco Distribution may redeem all or a part of the 2033 Notes at a redemption price equal to 100% of the principal amount.</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2033 Notes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2033 Notes receiving investment grade credit ratings.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2033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2033 Notes Indenture will allow either the Trustee or the holders of at least 25% in aggregate principal amount of the series of the then-outstanding 2033 Notes to accelerate or, in certain cases, will automatically cause the acceleration of the amounts due under the 2033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PLAN SETTLEMENT</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Anixter Inc. sponsored the Anixter Inc. Pension Plan, which was terminated in 2022 and settled in 2024. On February 12, 2024, the remaining benefit obligation of the Anixter Inc. Pension Plan was settled through the purchase of single premium annuity contracts for total cash of $138.8 million. The purchase was funded entirely by the assets of the plan.</w:t>
      </w:r>
    </w:p>
    <w:p>
      <w:pPr>
        <w:spacing w:after="0" w:line="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recognized settlement cost of $5.5 million to recognize unrealized losses previously reported as a component of other comprehensive income (loss) related to the benefit obligation of the Anixter Inc. Pension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primarily consist of cash and cash equivalents, accounts receivable, accounts payable, bank overdrafts, outstanding indebtedness, foreign currency forward contracts, and benefit plan assets. Except for benefit plan assets, outstanding indebtedness and foreign currency forward contracts, the carrying value of the Company’s other financial instruments approximates fair value.</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assets of the Company’s various defined benefit plans primarily comprise common/collective/pool funds (i.e., mutual funds). These funds are valued at the net asset value (“NAV”) of shares held in the underlying funds. Investments for which fair value is measured using the NAV per share practical expedient are not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carrying value of Wesco’s debt instruments with fixed interest rates was $3,875.5 million and $3,074.9 million as of June 30, 2025 and December 31, 2024, respectively. The estimated fair value of this debt was $3,984.9 million and $3,127.3 million as of June 30, 2025 and December 31, 2024, respectively. The reported carrying values of Wesco’s other debt instruments, including those with variable interest rates, approximated their fair values as of June 30, 2025 and December 31, 2024.</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as a risk mitigation effort to protect the value of its derivatives.</w:t>
      </w:r>
    </w:p>
    <w:p>
      <w:pPr>
        <w:spacing w:after="0" w:line="75"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June 30, 2025 and December 31, 2024, foreign currency forward contracts were revalued at then-current foreign exchange rates with the changes in valuation reflected directly in other non-operating expense (income) in the Condensed Consolidated Statements of Income and Comprehensive Income offsetting the transaction gain (loss) recorded on foreign currency-denominated accounts. The gross and net notional amounts of foreign currency forward contracts outstanding were approximately $414.8 million and $345.7 million, at June 30, 2025 and December 31, 2024, respectively. While all of the Company’s foreign currency forward contracts are subject to master netting arrangements with its counterparties, assets and liabilities related to these contracts are presented on a gross basis within the Condensed Consolidated Balance Sheets. The gross fair value of assets and liabilities related to foreign currency forward contracts were immaterial.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June 30, 2025 and 2024 was 26.1% and 27.4%, respectively. For the three months ended June 30, 2025 and 2024, the effective tax rate reflects discrete income tax benefits of $0.3 million and $0.7 million, respectively, resulting from the exercise and vesting of stock-based awards. These discrete income tax benefits reduced the effective tax rates in the respective periods by approximately 0.1 and 0.2 percentage points.</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2025 and 2024 was 25.0% and 25.4%, respectively. For the six months ended June 30, 2025 and 2024, the effective tax rates reflect discrete income tax benefits of $5.0 million and $8.5 million, respectively, resulting from the exercise and vesting of stock-based awards. These discrete income tax benefits reduced the effective tax rates in the respective periods by approximately 1.3 and 1.8 percentage points.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2025, the Company purchased $54.4 million of transferable clean energy tax credits. The Company used $53.3 million of these tax credits to reduce its 2024 U.S. federal income tax liability and $1.1 million to reduce its 2025 U.S. federal income tax liability. The Company has taken appropriate measures to mitigate the transferee liability associated with these tax credits, including but not limited to conducting due diligence to confirm the eligibility of the underlying projects or production, as applicable, for the tax credits and the eligibility of the tax credits for transfer, obtaining appropriate contractual protections from the sellers, and obtaining tax credit insurance.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effective tax rate, excluding discrete income tax benefits, differs from the federal statutory income tax rate due primarily to state income taxes, nondeductible expenses, and the tax impact of international operations.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adjustments to the Company's assessment of uncertain tax positions since December 31, 2024.</w:t>
      </w:r>
    </w:p>
    <w:p>
      <w:pPr>
        <w:spacing w:after="0" w:line="11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July 4, 2025, the U.S. enacted H.R. 1, commonly referred to as the One Big Beautiful Bill Act (“OBBBA”) into law. The OBBBA makes permanent certain expiring provisions of the 2017 Tax Cuts and Jobs Act (“TCJA”) and modifies other provisions of the TCJA and the Inflation Reduction Act. The OBBBA contains various effective dates with certain provisions effective in 2025 and others effective in 2026 and beyond.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the impact of changes in tax laws (or rates) to be recognized in the financial statements as of the date of enactment, which is when all legislative steps necessary for the bill to become law are complete. Consequently, there is no impact from the OBBBA reflected in our financial statements for the current period. We are currently evaluating the impact of the OBBBA tax law changes and will reflect the impact in future financial statements, which include the date of enactment. At this time, we do not expect the provisions of the OBBBA to materially impact the 2025 effective tax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SEGMENTS</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operating segments comprising three strategic business units: EES, CSS and UBS. These operating segments are equivalent to the Company’s reportable segments. The President and Chief Executive Officer serves as the Company’s Chief Operating Decision Maker (“CODM”). The CODM evaluates the performance of the Company’s reportable segments based on adjusted earnings before interest, taxes, depreciation and amortization (“adjusted EBITDA”), which is the Company’s measure of segment profit or loss.</w:t>
      </w:r>
    </w:p>
    <w:p>
      <w:pPr>
        <w:spacing w:after="0" w:line="7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incurs corporate costs primarily related to treasury, tax, information technology, legal and other centralized functions. The Company also has various corporate assets.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spacing w:after="0" w:line="7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previously described in Note 2, “Accounting Policies,” the reportable segment information for the three and six months ended June 30, 2024 for the EES and CSS reportable segments has been recast to conform to the current year presentation.</w:t>
      </w:r>
    </w:p>
    <w:p>
      <w:pPr>
        <w:spacing w:after="0" w:line="10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reportable segments and reconcile adjusted EBITDA by segment to income before income taxes on a consolidated basis for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200" w:type="dxa"/>
            <w:vAlign w:val="bottom"/>
          </w:tcPr>
          <w:p>
            <w:pPr>
              <w:spacing w:after="0"/>
              <w:rPr>
                <w:sz w:val="13"/>
                <w:szCs w:val="13"/>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3"/>
                <w:szCs w:val="13"/>
                <w:color w:val="auto"/>
              </w:rPr>
            </w:pPr>
          </w:p>
        </w:tc>
        <w:tc>
          <w:tcPr>
            <w:tcW w:w="12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2,265.2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1,376.6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5,899.6</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4,656.9</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bl>
    <w:p>
      <w:pPr>
        <w:ind w:left="440" w:hanging="158"/>
        <w:spacing w:after="0" w:line="233" w:lineRule="auto"/>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Selling, general and administrative payroll expenses includes salaries, benefits, commissions, incentives, temporary labor, and other payroll expenses.</w:t>
      </w:r>
    </w:p>
    <w:p>
      <w:pPr>
        <w:spacing w:after="0" w:line="50" w:lineRule="exact"/>
        <w:rPr>
          <w:rFonts w:ascii="Times New Roman" w:cs="Times New Roman" w:eastAsia="Times New Roman" w:hAnsi="Times New Roman"/>
          <w:sz w:val="20"/>
          <w:szCs w:val="20"/>
          <w:color w:val="auto"/>
          <w:vertAlign w:val="superscript"/>
        </w:rPr>
      </w:pPr>
    </w:p>
    <w:p>
      <w:pPr>
        <w:ind w:left="520" w:right="20" w:hanging="238"/>
        <w:spacing w:after="0" w:line="238" w:lineRule="auto"/>
        <w:tabs>
          <w:tab w:leader="none" w:pos="439"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ind w:left="440" w:hanging="158"/>
        <w:spacing w:after="0"/>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selling, general and administrative payroll expenses, as this is an adjustment to calculate adjusted EBITDA.</w:t>
      </w:r>
    </w:p>
    <w:p>
      <w:pPr>
        <w:spacing w:after="0" w:line="50"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-817880</wp:posOffset>
            </wp:positionV>
            <wp:extent cx="8826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EES</w:t>
            </w:r>
          </w:p>
        </w:tc>
        <w:tc>
          <w:tcPr>
            <w:tcW w:w="200" w:type="dxa"/>
            <w:vAlign w:val="bottom"/>
          </w:tcPr>
          <w:p>
            <w:pPr>
              <w:spacing w:after="0"/>
              <w:rPr>
                <w:sz w:val="13"/>
                <w:szCs w:val="13"/>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CSS</w:t>
            </w:r>
          </w:p>
        </w:tc>
        <w:tc>
          <w:tcPr>
            <w:tcW w:w="3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3"/>
                <w:szCs w:val="13"/>
                <w:color w:val="auto"/>
              </w:rPr>
            </w:pPr>
          </w:p>
        </w:tc>
        <w:tc>
          <w:tcPr>
            <w:tcW w:w="12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25"/>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1,904.3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5,479.7</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4,281.7</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payroll expenses</w:t>
            </w:r>
            <w:r>
              <w:rPr>
                <w:rFonts w:ascii="Times New Roman" w:cs="Times New Roman" w:eastAsia="Times New Roman" w:hAnsi="Times New Roman"/>
                <w:sz w:val="23"/>
                <w:szCs w:val="23"/>
                <w:color w:val="auto"/>
                <w:vertAlign w:val="superscript"/>
              </w:rPr>
              <w:t>(1)(3)</w:t>
            </w: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bl>
    <w:p>
      <w:pPr>
        <w:ind w:left="440" w:hanging="158"/>
        <w:spacing w:after="0" w:line="233" w:lineRule="auto"/>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Selling, general and administrative payroll expenses includes salaries, benefits, commissions, incentives, temporary labor, and other payroll expenses.</w:t>
      </w:r>
    </w:p>
    <w:p>
      <w:pPr>
        <w:spacing w:after="0" w:line="50" w:lineRule="exact"/>
        <w:rPr>
          <w:rFonts w:ascii="Times New Roman" w:cs="Times New Roman" w:eastAsia="Times New Roman" w:hAnsi="Times New Roman"/>
          <w:sz w:val="20"/>
          <w:szCs w:val="20"/>
          <w:color w:val="auto"/>
          <w:vertAlign w:val="superscript"/>
        </w:rPr>
      </w:pPr>
    </w:p>
    <w:p>
      <w:pPr>
        <w:ind w:left="520" w:right="20" w:hanging="238"/>
        <w:spacing w:after="0" w:line="238" w:lineRule="auto"/>
        <w:tabs>
          <w:tab w:leader="none" w:pos="43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ind w:left="440" w:hanging="158"/>
        <w:spacing w:after="0"/>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selling, general and administrative payroll expenses, as this is an adjustment to calculate adjusted EBITDA.</w:t>
      </w:r>
    </w:p>
    <w:p>
      <w:pPr>
        <w:spacing w:after="0" w:line="50"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-817880</wp:posOffset>
            </wp:positionV>
            <wp:extent cx="8826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EES</w:t>
            </w:r>
          </w:p>
        </w:tc>
        <w:tc>
          <w:tcPr>
            <w:tcW w:w="240" w:type="dxa"/>
            <w:vAlign w:val="bottom"/>
          </w:tcPr>
          <w:p>
            <w:pPr>
              <w:spacing w:after="0"/>
              <w:rPr>
                <w:sz w:val="13"/>
                <w:szCs w:val="13"/>
                <w:color w:val="auto"/>
              </w:rPr>
            </w:pP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CSS</w:t>
            </w:r>
          </w:p>
        </w:tc>
        <w:tc>
          <w:tcPr>
            <w:tcW w:w="34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3"/>
                <w:szCs w:val="13"/>
                <w:color w:val="auto"/>
              </w:rPr>
            </w:pPr>
          </w:p>
        </w:tc>
        <w:tc>
          <w:tcPr>
            <w:tcW w:w="12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25"/>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4,323.1</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4,265.5</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2,654.7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11,243.3</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3,333.4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3,372.0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2,169.6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8,875.0</w:t>
            </w:r>
          </w:p>
        </w:tc>
        <w:tc>
          <w:tcPr>
            <w:tcW w:w="0" w:type="dxa"/>
            <w:vAlign w:val="bottom"/>
          </w:tcPr>
          <w:p>
            <w:pPr>
              <w:spacing w:after="0"/>
              <w:rPr>
                <w:sz w:val="1"/>
                <w:szCs w:val="1"/>
                <w:color w:val="auto"/>
              </w:rPr>
            </w:pPr>
          </w:p>
        </w:tc>
      </w:tr>
      <w:tr>
        <w:trPr>
          <w:trHeight w:val="229"/>
        </w:trPr>
        <w:tc>
          <w:tcPr>
            <w:tcW w:w="48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payroll expenses</w:t>
            </w:r>
            <w:r>
              <w:rPr>
                <w:rFonts w:ascii="Times New Roman" w:cs="Times New Roman" w:eastAsia="Times New Roman" w:hAnsi="Times New Roman"/>
                <w:sz w:val="23"/>
                <w:szCs w:val="23"/>
                <w:color w:val="auto"/>
                <w:vertAlign w:val="superscript"/>
              </w:rPr>
              <w:t>(1)(3)</w:t>
            </w:r>
          </w:p>
        </w:tc>
        <w:tc>
          <w:tcPr>
            <w:tcW w:w="3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207.0</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325.5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357.4</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282.0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964.9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29"/>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bl>
    <w:p>
      <w:pPr>
        <w:ind w:left="440" w:hanging="158"/>
        <w:spacing w:after="0" w:line="233" w:lineRule="auto"/>
        <w:tabs>
          <w:tab w:leader="none" w:pos="4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Selling, general and administrative payroll expenses includes salaries, benefits, commissions, incentives, temporary labor, and other payroll expenses.</w:t>
      </w:r>
    </w:p>
    <w:p>
      <w:pPr>
        <w:spacing w:after="0" w:line="50" w:lineRule="exact"/>
        <w:rPr>
          <w:rFonts w:ascii="Times New Roman" w:cs="Times New Roman" w:eastAsia="Times New Roman" w:hAnsi="Times New Roman"/>
          <w:sz w:val="20"/>
          <w:szCs w:val="20"/>
          <w:color w:val="auto"/>
          <w:vertAlign w:val="superscript"/>
        </w:rPr>
      </w:pPr>
    </w:p>
    <w:p>
      <w:pPr>
        <w:ind w:left="520" w:right="20" w:hanging="238"/>
        <w:spacing w:after="0" w:line="238" w:lineRule="auto"/>
        <w:tabs>
          <w:tab w:leader="none" w:pos="439"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ind w:left="440" w:hanging="158"/>
        <w:spacing w:after="0"/>
        <w:tabs>
          <w:tab w:leader="none" w:pos="4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selling, general and administrative payroll expenses, as this is an adjustment to calculate adjusted EBITDA.</w:t>
      </w:r>
    </w:p>
    <w:p>
      <w:pPr>
        <w:spacing w:after="0" w:line="50"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-817880</wp:posOffset>
            </wp:positionV>
            <wp:extent cx="8826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EES</w:t>
            </w:r>
          </w:p>
        </w:tc>
        <w:tc>
          <w:tcPr>
            <w:tcW w:w="240" w:type="dxa"/>
            <w:vAlign w:val="bottom"/>
          </w:tcPr>
          <w:p>
            <w:pPr>
              <w:spacing w:after="0"/>
              <w:rPr>
                <w:sz w:val="13"/>
                <w:szCs w:val="13"/>
                <w:color w:val="auto"/>
              </w:rPr>
            </w:pP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CSS</w:t>
            </w:r>
          </w:p>
        </w:tc>
        <w:tc>
          <w:tcPr>
            <w:tcW w:w="34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UBS</w:t>
            </w:r>
          </w:p>
        </w:tc>
        <w:tc>
          <w:tcPr>
            <w:tcW w:w="140" w:type="dxa"/>
            <w:vAlign w:val="bottom"/>
          </w:tcPr>
          <w:p>
            <w:pPr>
              <w:spacing w:after="0"/>
              <w:rPr>
                <w:sz w:val="13"/>
                <w:szCs w:val="13"/>
                <w:color w:val="auto"/>
              </w:rPr>
            </w:pPr>
          </w:p>
        </w:tc>
        <w:tc>
          <w:tcPr>
            <w:tcW w:w="1240" w:type="dxa"/>
            <w:vAlign w:val="bottom"/>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Segments Total</w:t>
            </w:r>
          </w:p>
        </w:tc>
        <w:tc>
          <w:tcPr>
            <w:tcW w:w="0" w:type="dxa"/>
            <w:vAlign w:val="bottom"/>
          </w:tcPr>
          <w:p>
            <w:pPr>
              <w:spacing w:after="0"/>
              <w:rPr>
                <w:sz w:val="1"/>
                <w:szCs w:val="1"/>
                <w:color w:val="auto"/>
              </w:rPr>
            </w:pPr>
          </w:p>
        </w:tc>
      </w:tr>
      <w:tr>
        <w:trPr>
          <w:trHeight w:val="225"/>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4,198.8</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3,609.1</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3,021.8</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10,829.7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3,204.0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2,825.6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2,464.2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8,493.8</w:t>
            </w:r>
          </w:p>
        </w:tc>
        <w:tc>
          <w:tcPr>
            <w:tcW w:w="0" w:type="dxa"/>
            <w:vAlign w:val="bottom"/>
          </w:tcPr>
          <w:p>
            <w:pPr>
              <w:spacing w:after="0"/>
              <w:rPr>
                <w:sz w:val="1"/>
                <w:szCs w:val="1"/>
                <w:color w:val="auto"/>
              </w:rPr>
            </w:pPr>
          </w:p>
        </w:tc>
      </w:tr>
      <w:tr>
        <w:trPr>
          <w:trHeight w:val="229"/>
        </w:trPr>
        <w:tc>
          <w:tcPr>
            <w:tcW w:w="48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payroll expenses</w:t>
            </w:r>
            <w:r>
              <w:rPr>
                <w:rFonts w:ascii="Times New Roman" w:cs="Times New Roman" w:eastAsia="Times New Roman" w:hAnsi="Times New Roman"/>
                <w:sz w:val="23"/>
                <w:szCs w:val="23"/>
                <w:color w:val="auto"/>
                <w:vertAlign w:val="superscript"/>
              </w:rPr>
              <w:t>(1)(3)</w:t>
            </w:r>
          </w:p>
        </w:tc>
        <w:tc>
          <w:tcPr>
            <w:tcW w:w="3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425.3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858.1</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286.8</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342.9</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margin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adjusted EBITDA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amounts (Corporate):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29"/>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bl>
    <w:p>
      <w:pPr>
        <w:ind w:left="440" w:hanging="158"/>
        <w:spacing w:after="0" w:line="233" w:lineRule="auto"/>
        <w:tabs>
          <w:tab w:leader="none" w:pos="4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Selling, general and administrative payroll expenses includes salaries, benefits, commissions, incentives, temporary labor, and other payroll expenses.</w:t>
      </w:r>
    </w:p>
    <w:p>
      <w:pPr>
        <w:spacing w:after="0" w:line="50" w:lineRule="exact"/>
        <w:rPr>
          <w:rFonts w:ascii="Times New Roman" w:cs="Times New Roman" w:eastAsia="Times New Roman" w:hAnsi="Times New Roman"/>
          <w:sz w:val="20"/>
          <w:szCs w:val="20"/>
          <w:color w:val="auto"/>
          <w:vertAlign w:val="superscript"/>
        </w:rPr>
      </w:pPr>
    </w:p>
    <w:p>
      <w:pPr>
        <w:ind w:left="520" w:right="40" w:hanging="238"/>
        <w:spacing w:after="0" w:line="238" w:lineRule="auto"/>
        <w:tabs>
          <w:tab w:leader="none" w:pos="439"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p>
      <w:pPr>
        <w:ind w:left="440" w:hanging="158"/>
        <w:spacing w:after="0"/>
        <w:tabs>
          <w:tab w:leader="none" w:pos="4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Stock-based compensation expense is excluded from selling, general and administrative payroll expenses, as this is an adjustment to calculate adjusted EBITDA.</w:t>
      </w:r>
    </w:p>
    <w:p>
      <w:pPr>
        <w:spacing w:after="0" w:line="50" w:lineRule="exact"/>
        <w:rPr>
          <w:rFonts w:ascii="Times New Roman" w:cs="Times New Roman" w:eastAsia="Times New Roman" w:hAnsi="Times New Roman"/>
          <w:sz w:val="20"/>
          <w:szCs w:val="20"/>
          <w:color w:val="auto"/>
          <w:vertAlign w:val="superscript"/>
        </w:rPr>
      </w:pPr>
    </w:p>
    <w:p>
      <w:pPr>
        <w:ind w:left="440" w:hanging="158"/>
        <w:spacing w:after="0" w:line="200" w:lineRule="auto"/>
        <w:tabs>
          <w:tab w:leader="none" w:pos="4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reportable segments do not incur interest expense as these costs are centrally controlled through the Corporate treasury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-817880</wp:posOffset>
            </wp:positionV>
            <wp:extent cx="8826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following table sets forth depreciation and amortization by reportable segment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33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80" w:type="dxa"/>
            <w:vAlign w:val="bottom"/>
          </w:tcPr>
          <w:p>
            <w:pPr>
              <w:spacing w:after="0"/>
              <w:rPr>
                <w:sz w:val="18"/>
                <w:szCs w:val="18"/>
                <w:color w:val="auto"/>
              </w:rPr>
            </w:pPr>
          </w:p>
        </w:tc>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r>
      <w:tr>
        <w:trPr>
          <w:trHeight w:val="225"/>
        </w:trPr>
        <w:tc>
          <w:tcPr>
            <w:tcW w:w="58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91.6</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88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other expense (income), net by reportable segment for the periods presented, which primarily consists of net foreign currency exchange (gains) losses and the gain on the divestiture of the WIS business: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0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(102.4)</w:t>
            </w:r>
          </w:p>
        </w:tc>
      </w:tr>
      <w:tr>
        <w:trPr>
          <w:trHeight w:val="223"/>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(74.3)</w:t>
            </w: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capital expenditures by reportable segment for the periods presented:</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20" w:type="dxa"/>
            <w:vAlign w:val="bottom"/>
          </w:tcPr>
          <w:p>
            <w:pPr>
              <w:spacing w:after="0"/>
              <w:rPr>
                <w:sz w:val="18"/>
                <w:szCs w:val="18"/>
                <w:color w:val="auto"/>
              </w:rPr>
            </w:pPr>
          </w:p>
        </w:tc>
        <w:tc>
          <w:tcPr>
            <w:tcW w:w="1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320" w:type="dxa"/>
            <w:vAlign w:val="bottom"/>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2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320" w:type="dxa"/>
            <w:vAlign w:val="bottom"/>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19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20" w:type="dxa"/>
            <w:vAlign w:val="bottom"/>
          </w:tcPr>
          <w:p>
            <w:pPr>
              <w:spacing w:after="0"/>
              <w:rPr>
                <w:sz w:val="19"/>
                <w:szCs w:val="19"/>
                <w:color w:val="auto"/>
              </w:rPr>
            </w:pPr>
          </w:p>
        </w:tc>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320" w:type="dxa"/>
            <w:vAlign w:val="bottom"/>
          </w:tcPr>
          <w:p>
            <w:pPr>
              <w:spacing w:after="0"/>
              <w:rPr>
                <w:sz w:val="19"/>
                <w:szCs w:val="19"/>
                <w:color w:val="auto"/>
              </w:rPr>
            </w:pP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Borders>
              <w:right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320" w:type="dxa"/>
            <w:vAlign w:val="bottom"/>
          </w:tcPr>
          <w:p>
            <w:pPr>
              <w:spacing w:after="0"/>
              <w:rPr>
                <w:sz w:val="19"/>
                <w:szCs w:val="19"/>
                <w:color w:val="auto"/>
              </w:rPr>
            </w:pP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41.2</w:t>
            </w:r>
          </w:p>
        </w:tc>
      </w:tr>
      <w:tr>
        <w:trPr>
          <w:trHeight w:val="21"/>
        </w:trPr>
        <w:tc>
          <w:tcPr>
            <w:tcW w:w="3980" w:type="dxa"/>
            <w:vAlign w:val="bottom"/>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2"/>
        </w:trPr>
        <w:tc>
          <w:tcPr>
            <w:tcW w:w="7240" w:type="dxa"/>
            <w:vAlign w:val="bottom"/>
            <w:gridSpan w:val="10"/>
          </w:tcPr>
          <w:p>
            <w:pPr>
              <w:jc w:val="right"/>
              <w:ind w:right="760"/>
              <w:spacing w:after="0"/>
              <w:rPr>
                <w:sz w:val="20"/>
                <w:szCs w:val="20"/>
                <w:color w:val="auto"/>
              </w:rPr>
            </w:pPr>
            <w:r>
              <w:rPr>
                <w:rFonts w:ascii="Times New Roman" w:cs="Times New Roman" w:eastAsia="Times New Roman" w:hAnsi="Times New Roman"/>
                <w:sz w:val="18"/>
                <w:szCs w:val="18"/>
                <w:color w:val="auto"/>
                <w:w w:val="99"/>
              </w:rPr>
              <w:t>The following table sets forth total assets by reportable segment for the periods presented: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2"/>
        </w:trPr>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left="95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58"/>
        </w:trPr>
        <w:tc>
          <w:tcPr>
            <w:tcW w:w="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7"/>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4,876.7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4,431.8</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6,034.7</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UBS</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3,497.5</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Reportable segments total</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15,100.3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13,964.0</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1,097.4</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8"/>
        </w:trPr>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15,061.4</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43" w:lineRule="exact"/>
        <w:rPr>
          <w:sz w:val="20"/>
          <w:szCs w:val="20"/>
          <w:color w:val="auto"/>
        </w:rPr>
      </w:pPr>
    </w:p>
    <w:p>
      <w:pPr>
        <w:ind w:left="260" w:right="580" w:hanging="252"/>
        <w:spacing w:after="0" w:line="225" w:lineRule="auto"/>
        <w:tabs>
          <w:tab w:leader="none" w:pos="24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assets for Corporate primarily consist of cash and cash equivalents, deferred income taxes, property, buildings and equipment, capitalized cloud computing arrangement costs, operating lease assets, and pension assets.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should be read in conjunction with the unaudited condensed consolidated financial statements and notes thereto included in Item 1 of this Quarterly Report on Form 10-Q and WESCO International, Inc.’s audited Consolidated Financial Statements and Management’s Discussion and Analysis of Financial Condition and Results of Operations included in its Annual Report on Form 10-K for the fiscal year ended December 31, 2024. The matters discussed herein may contain forward-looking statements that are subject to certain risks and uncertainties that could cause actual results to differ materially from expectations. Certain of these risks are set forth in Item 1A of WESCO International, Inc.’s Annual Report on Form 10-K for the fiscal year ended December 31, 2024, as well as WESCO International, Inc.’s other reports filed with the Securities and Exchange Commission. In this 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Wesco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WESCO International, Inc., and its subsidiaries and its predecessors unless the context otherwise requires.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Wesco and its subsidiaries.</w:t>
      </w:r>
    </w:p>
    <w:p>
      <w:pPr>
        <w:spacing w:after="0" w:line="7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expense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Wesco, headquartered in Pittsburgh, Pennsylvania, is a leading provider of business-to-business distribution, logistics services and supply chain solutions.</w:t>
      </w:r>
    </w:p>
    <w:p>
      <w:pPr>
        <w:spacing w:after="0" w:line="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employ approximately 20,000 people, maintain relationships with more than 35,000 suppliers, and serve nearly 140,000 customers worldwide. With millions of products, end-to-end supply chain services, and leading digital capabilities, Wesco provides innovative solutions to meet customer needs across commercial and industrial businesses, contractors, educational institutions, government agencies,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have operating segments comprising three strategic business units: Electrical &amp; Electronic Solutions (“EES”), Communications &amp; Security Solutions (“CSS”) and Utility &amp; Broadband Solutions (“UBS”). These operating segments are equivalent to our reportable segments. The following is a description of each of our reportable segments and their business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EES segment, serving customers in over 50 countries, is a North American leader,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1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CSS segment, serving customers in over 50 countries, is a global leader in data center, enterprise network infrastructure and security solutions.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06"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The UBS segment is a leader in North America, serving customers primarily in the U.S. and Canada, and provides products and services to investor-owned utilities, public power companies, including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copper cable, connectivity products, pole line hardware, racks, cabinets, safety and MRO products, and point-to-point wireless devices. UBS also offers a complete set of service solutions to improve customer supply chain efficiencies.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08" w:lineRule="exact"/>
        <w:rPr>
          <w:sz w:val="20"/>
          <w:szCs w:val="20"/>
          <w:color w:val="auto"/>
        </w:rPr>
      </w:pPr>
    </w:p>
    <w:p>
      <w:pPr>
        <w:jc w:val="both"/>
        <w:ind w:firstLine="243"/>
        <w:spacing w:after="0" w:line="237" w:lineRule="auto"/>
        <w:rPr>
          <w:sz w:val="20"/>
          <w:szCs w:val="20"/>
          <w:color w:val="auto"/>
        </w:rPr>
      </w:pPr>
      <w:r>
        <w:rPr>
          <w:rFonts w:ascii="Times New Roman" w:cs="Times New Roman" w:eastAsia="Times New Roman" w:hAnsi="Times New Roman"/>
          <w:sz w:val="18"/>
          <w:szCs w:val="18"/>
          <w:color w:val="auto"/>
        </w:rPr>
        <w:t>Despite uncertainty and volatility persisting in the market, our financial results reflect continued sales momentum in the second quarter of 2025. Our financial results for the first six months of 2025 compared to the first six months of 2024 reflect an increase in reported sales of 3.8%, and as adjusted for mergers &amp; acquisitions activity, fluctuations in foreign exchange rates and number of workdays, an increase in organic sales of 6.4%. Our data center business is primarily driving this growth in sales, but also contributing to lower gross margins as compared to prior year, as there have been several large project wins at lower margins. We saw weakness in the utility business within UBS, as expected, due to ongoing customer destocking and cautious spending related to tariff and market uncertainties. However, utility has begun to show signs of improvement as sales to investor-owned utilities returned to growth in the second quarter of 2025.</w:t>
      </w:r>
    </w:p>
    <w:p>
      <w:pPr>
        <w:spacing w:after="0" w:line="81"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As of June 22, 2025, we redeemed all outstanding shares of our Series A Preferred Stock for $540.3 million. As a result of the transaction, the Company recorded a $27.6 million gain recognized as income attributable to common stockholders. The redemption was funded with the net proceeds from our 6.375% senior notes due 2033, which we issued in the first quarter of 2025. This redemption reduced our total financing costs and creates ongoing net income, EPS, and cash flow benefits. Following this redemption, we have no significant debt maturities until 2028 and have strong liquidity to execute our capital allocation priorities of debt reduction, stock buybacks and acquisitions.</w:t>
      </w:r>
    </w:p>
    <w:p>
      <w:pPr>
        <w:spacing w:after="0" w:line="77"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We continued our approach to addressing supplier price increases in response to global tariffs enacted by the United States under the International Emergency Economic Powers Act of 1977, including but not limited to, passing through price increases, leveraging scale to provide locally sourced products, reducing imports from high tariff countries, optimizing supply chain logistics, and re-engineering our global supply chain.</w:t>
      </w:r>
    </w:p>
    <w:p>
      <w:pPr>
        <w:spacing w:after="0" w:line="55"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During the second quarter of 2025, 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w:t>
      </w:r>
    </w:p>
    <w:p>
      <w:pPr>
        <w:spacing w:after="0" w:line="6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Taking the above highlights into consideration, we believe we are well positioned to benefit from enduring secular growth trends of AI-driven data centers, increased power generation, electrification, automation, and reshoring.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2025 versus Second Quarter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net sales and organic sales growth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Reported Sales</w:t>
            </w:r>
          </w:p>
        </w:tc>
        <w:tc>
          <w:tcPr>
            <w:tcW w:w="1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46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second quarter of 2025 compared to the second quarter of 2024.</w:t>
      </w:r>
    </w:p>
    <w:p>
      <w:pPr>
        <w:spacing w:after="0" w:line="141" w:lineRule="exact"/>
        <w:rPr>
          <w:sz w:val="20"/>
          <w:szCs w:val="20"/>
          <w:color w:val="auto"/>
        </w:rPr>
      </w:pPr>
    </w:p>
    <w:p>
      <w:pPr>
        <w:jc w:val="both"/>
        <w:ind w:firstLine="243"/>
        <w:spacing w:after="0" w:line="250" w:lineRule="auto"/>
        <w:rPr>
          <w:sz w:val="20"/>
          <w:szCs w:val="20"/>
          <w:color w:val="auto"/>
        </w:rPr>
      </w:pPr>
      <w:r>
        <w:rPr>
          <w:rFonts w:ascii="Times New Roman" w:cs="Times New Roman" w:eastAsia="Times New Roman" w:hAnsi="Times New Roman"/>
          <w:sz w:val="18"/>
          <w:szCs w:val="18"/>
          <w:color w:val="auto"/>
        </w:rPr>
        <w:t>Net sales were $5.9 billion for the second quarter of 2025 compared to $5.5 billion for the second quarter of 2024, an increase of 7.7%. Adjusting for the increase from the acquisition of Ascent, organic sales for the second quarter of 2025 grew by 7.2%. This growth is reflective of an approximate 6% increase in volume, driven by volume increases in the CSS and EES segments, partially offset by a decline in the UBS segment, and by the impact of changes in price, which favorably impacted consolidated organic sales by approximately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Cost of goods sold for the second quarter of 2025 was $4.7 billion compared to $4.3 billion for the second quarter of 2024, an increase of 8.8%. Cost of goods sold as a percentage of net sales was 78.9% and 78.1% for the second quarter of 2025 and 2024, respectively. The unfavorable increase of 80 basis points reflects a decrease in gross margin in all three segments, which is inclusive of higher inventory adjustments, partially offset by higher supplier volume rebates.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second quarter of 2025 totaled $872.2 million versus $828.4 million for the second quarter of 2024, an increase of $43.8 million, or 5.3%.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SG&amp;A expenses to adjusted SG&amp;A expenses, which is a non-GAAP financial measure, for the periods presented:</w:t>
      </w:r>
    </w:p>
    <w:p>
      <w:pPr>
        <w:spacing w:after="0" w:line="208"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 of net</w:t>
            </w:r>
          </w:p>
        </w:tc>
        <w:tc>
          <w:tcPr>
            <w:tcW w:w="160" w:type="dxa"/>
            <w:vAlign w:val="bottom"/>
          </w:tcPr>
          <w:p>
            <w:pPr>
              <w:spacing w:after="0"/>
              <w:rPr>
                <w:sz w:val="11"/>
                <w:szCs w:val="11"/>
                <w:color w:val="auto"/>
              </w:rPr>
            </w:pP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 of net</w:t>
            </w:r>
          </w:p>
        </w:tc>
        <w:tc>
          <w:tcPr>
            <w:tcW w:w="0" w:type="dxa"/>
            <w:vAlign w:val="bottom"/>
          </w:tcPr>
          <w:p>
            <w:pPr>
              <w:spacing w:after="0"/>
              <w:rPr>
                <w:sz w:val="1"/>
                <w:szCs w:val="1"/>
                <w:color w:val="auto"/>
              </w:rPr>
            </w:pPr>
          </w:p>
        </w:tc>
      </w:tr>
      <w:tr>
        <w:trPr>
          <w:trHeight w:val="198"/>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3"/>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8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Loss on abandonment of assets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selling,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8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4"/>
                <w:szCs w:val="14"/>
                <w:color w:val="auto"/>
              </w:rPr>
              <w:t>14.6%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803.6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60" w:hanging="252"/>
        <w:spacing w:after="0" w:line="222" w:lineRule="auto"/>
        <w:tabs>
          <w:tab w:leader="none" w:pos="299"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SG&amp;A payroll and payroll-related expenses for the second quarter of 2025 of $541.5 million increased by $34.9 million compared to the same period in 2024 primarily as a result of an increase of $28.3 million in salaries and $9.6 million in benefits, partially offset by a decrease of $3.0 million in commissions and incentives.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expenses not related to payroll and payroll-related costs for the second quarter of 2025 were $330.7 million, an increase of $8.9 million compared to the same period in 2024, which primarily reflects higher costs to operate our facilities of $9.2 million, higher transportation costs of $8.2 million, higher IT costs of $5.4 million, and higher employee expenses of $2.9 million. These increases were partially offset by a $17.1 million decrease in other income and deductions, primarily attributable to the loss on abandonment of assets in the second quarter of 2024 as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Income from operations was $322.2 million for the second quarter of 2025 compared to $323.5 million for the second quarter of 2024, a decrease of $1.3 million, or 0.4%.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interest expense totaled $92.9 million for the second quarter of 2025 compared to $98.8 million for the second quarter of 2024. The decrease of $5.9 million, or 6.0%, was primarily driven by lower interest rates on the Receivables Facility as well as lower borrowings and lower interest rates on the Revolving Credit Facility, partially offset by higher borrowings on the Receivables Facility throughout the second quarter of 2025 compared to the second quarter of 2024 due to the impact of the WIS divestiture on outstanding borrowings and increased working capital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Other non-operating income totaled $7.3 million for the second quarter of 2025 compared to $95.9 million for the second quarter of 2024. We recognized a net foreign currency exchange gain of $3.0 million for the second quarter of 2025 compared to a net foreign currency exchange loss of $3.4 million for the second quarter of 2024. We recognized $2.3 million of income in the second quarter of 2025 from an adjustment to the fair value of the contingent consideration liability related to the entroCIM acquisition. We recognized net benefits of $0.8 million and $0.4 million associated with the non-service cost components of net periodic pension (benefit) cost for the three months ended June 30, 2025 and 2024, respectively.</w:t>
      </w:r>
    </w:p>
    <w:p>
      <w:pPr>
        <w:spacing w:after="0" w:line="7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reconciles other non-operating income to adjusted other non-operating (income) expense, which is a non-GAAP financial measure, for the periods presented:</w:t>
      </w:r>
    </w:p>
    <w:p>
      <w:pPr>
        <w:spacing w:after="0" w:line="90"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Other (Income) Expense, net: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Gain on divestiture</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other (income) expense,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on divestiture represents the gain recognized as a result of the divestiture of the Wesco Integrated Supply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WIS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business on April 1, 2024.</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termination of business arrangement represents the loss recognized as a result of management's decision to terminate a business arrangement with a third party.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$61.8 million for the second quarter of 2025 compared to $87.8 million for the corresponding quarter of the prior year, resulting in effective tax rates of 26.1% and 27.4%, respectively. The lower effective tax rate for the second quarter of 2025 is due to a higher provision for income taxes related to uncertain tax positions in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income and earnings per diluted share attributable to common stockholders were $189.2 million and $3.83, respectively, for the second quarter of 2025 compared to $217.7 million and $4.28, respectively, for the second quarter of 2024. Adjusted for the non-GAAP adjustments above and the related income tax effects, and the $27.6 million gain recognized as a result of the Company's redemption of its outstanding Series A Preferred Stock, net income and earnings per diluted share attributable to common stockholders were $167.5 million and $3.39, respectively, for the three months ended June 30, 2025 and $163.5 million and $3.21, respectively,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increase in adjusted earnings per diluted share primarily reflects the increase in net sales and the decrease in interest expense, as discussed above, partially offset by the increase in cost of goods sold as a percentage of net sales, an increase in SG&amp;A expenses, and the decrease in other income. Additionally, there was a positive impact from the reduction in outstanding shares during the second quarter of 2025 as compared to the second quarter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Adjusted EBITDA, a non-GAAP financial measure, was $394.2 million for the second quarter of 2025, compared to $400.1 million for the second quarter of 2024, a decrease of $5.9 million, or 1.5% year-over-year. The decrease primarily reflects a $375.2 million increase in cost of goods sold related to increased large project sales with lower margins, and a $43.8 million increase in SG&amp;A expenses, as described above, partially offset by an increase in net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financial results of our operating segments comprising three strategic business units consisting of EES, CSS and UBS for the three months ended June 30, 2025. As further described below and in Note 14, “Business Segments” of our Notes to the unaudited Condensed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 As previously described in Note 2, “Accounting Policies,” the reportable segment information for the three months ended June 30, 2024 for the EES and CSS reportable segments has been recast to conform to the current year presentation.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Growth/(Decline)</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2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4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2,257.8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2,134.5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 %</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182.9</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EES reported net sales of $2.3 billion for the second quarter of 2025 compared to $2.1 billion for the second quarter of 2024, an increase of $123.3 million, or 5.8%. EES organic sales for the second quarter of 2025 grew by 6.0%, driven primarily by volume growth of approximately 5%, as well as the impact of changes in price, which favorably impacted organic sales by approximately 1%.</w:t>
      </w:r>
    </w:p>
    <w:p>
      <w:pPr>
        <w:spacing w:after="0" w:line="6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EES adjusted EBITDA decreased $7.3 million, or 3.8% year-over-year. The decrease primarily reflects lower margin project activity and product mix, partially offset by an increase in volume. Additionally, SG&amp;A expenses increased $14.1 million as compared to the prior year, which was primarily attributed to an increase in salaries of $7.1 million and an increase in transportation costs of $3.6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Growth/(Decline)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2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4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2,265.2</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1,904.3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198.9</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CSS reported net sales of $2.3 billion for the second quarter of 2025 compared to $1.9 billion for the second quarter of 2024, an increase of $360.9 million, or 19.0%, which is inclusive of a favorable impact from the acquisition of Ascent of 1.5%. CSS organic sales for the second quarter of 2025 grew by 17.3%, primarily reflecting volume growth of approximately 15%, driven primarily by growth in the data center solutions business, as well as the impact of changes in price, which favorably impacted organic sales by approximately 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CSS adjusted EBITDA increased $43.4 million, or 27.9% year-over-year. The increase primarily reflects an increase in volume, specifically within the data center solutions business, as described above, partially offset by an increase in SG&amp;A expenses of $18.2 million. The increase in SG&amp;A expenses is primarily attributed to a $5.8 million increase in transportation costs consistent with higher sales, increased salaries of $5.7 million, increased commissions and incentives of $3.0 million, higher benefits of $2.7 million, and increased operations expenses of $2.3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Growth/(Decline)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2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4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1,376.6</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1,440.9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5"/>
              </w:rPr>
              <w:t>— %</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143.7</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UBS reported net sales of $1,376.6 million for the second quarter of 2025 compared to $1,440.9 million for the second quarter of 2024, a decrease of $64.3 million, or 4.5%. UBS organic sales for the second quarter of 2025 declined by 4.4%, reflecting volume declines, primarily as a result of ongoing customer destocking and cautious spending related to tariff and market uncertainties. Changes in price did not have a material impact on the year-over-year decline in UBS organic sales.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UBS adjusted EBITDA decreased $29.8 million, or 17.2% year-over-year. The decrease primarily reflects a decline in volume, as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increased $5.5 million as compared to the prior year, primarily due to higher costs to operate our facilities of $5.0 million.</w:t>
      </w:r>
    </w:p>
    <w:p>
      <w:pPr>
        <w:spacing w:after="0" w:line="9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CSS</w:t>
            </w: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redemption of Series A Preferred Stock</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0" w:hanging="147"/>
        <w:spacing w:after="0"/>
        <w:tabs>
          <w:tab w:leader="none" w:pos="2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reportable segments do not incur income taxes and interest expense as these costs are centrally controlled through the Corporate tax and treasury functions.</w:t>
      </w:r>
    </w:p>
    <w:p>
      <w:pPr>
        <w:spacing w:after="0" w:line="27" w:lineRule="exact"/>
        <w:rPr>
          <w:rFonts w:ascii="Times New Roman" w:cs="Times New Roman" w:eastAsia="Times New Roman" w:hAnsi="Times New Roman"/>
          <w:sz w:val="18"/>
          <w:szCs w:val="18"/>
          <w:color w:val="auto"/>
          <w:vertAlign w:val="superscript"/>
        </w:rPr>
      </w:pPr>
    </w:p>
    <w:p>
      <w:pPr>
        <w:ind w:left="220" w:hanging="167"/>
        <w:spacing w:after="0" w:line="191" w:lineRule="auto"/>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23"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1"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30" w:lineRule="exact"/>
        <w:rPr>
          <w:rFonts w:ascii="Times New Roman" w:cs="Times New Roman" w:eastAsia="Times New Roman" w:hAnsi="Times New Roman"/>
          <w:sz w:val="21"/>
          <w:szCs w:val="21"/>
          <w:color w:val="auto"/>
          <w:vertAlign w:val="superscript"/>
        </w:rPr>
      </w:pPr>
    </w:p>
    <w:p>
      <w:pPr>
        <w:ind w:left="220" w:hanging="167"/>
        <w:spacing w:after="0"/>
        <w:tabs>
          <w:tab w:leader="none" w:pos="2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gridSpan w:val="8"/>
          </w:tcPr>
          <w:p>
            <w:pPr>
              <w:ind w:left="3400"/>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9"/>
                <w:szCs w:val="19"/>
                <w:color w:val="auto"/>
              </w:rPr>
            </w:pPr>
          </w:p>
        </w:tc>
        <w:tc>
          <w:tcPr>
            <w:tcW w:w="110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EES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CSS</w:t>
            </w:r>
            <w:r>
              <w:rPr>
                <w:rFonts w:ascii="Times New Roman" w:cs="Times New Roman" w:eastAsia="Times New Roman" w:hAnsi="Times New Roman"/>
                <w:sz w:val="23"/>
                <w:szCs w:val="23"/>
                <w:b w:val="1"/>
                <w:bCs w:val="1"/>
                <w:color w:val="auto"/>
                <w:vertAlign w:val="superscript"/>
              </w:rPr>
              <w:t>(1)</w:t>
            </w:r>
          </w:p>
        </w:tc>
        <w:tc>
          <w:tcPr>
            <w:tcW w:w="42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268.5</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Loss on abandonment of assets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00" w:right="20" w:hanging="247"/>
        <w:spacing w:after="0" w:line="210" w:lineRule="auto"/>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previously described in Note 2, “Accounting Policies,” the reportable segment information for the three months ended June 30, 2024 for the EES and CSS reportable segments has been recast to conform to the current year presentation.</w:t>
      </w:r>
    </w:p>
    <w:p>
      <w:pPr>
        <w:spacing w:after="0" w:line="28" w:lineRule="exact"/>
        <w:rPr>
          <w:rFonts w:ascii="Times New Roman" w:cs="Times New Roman" w:eastAsia="Times New Roman" w:hAnsi="Times New Roman"/>
          <w:sz w:val="21"/>
          <w:szCs w:val="21"/>
          <w:color w:val="auto"/>
          <w:vertAlign w:val="superscript"/>
        </w:rPr>
      </w:pPr>
    </w:p>
    <w:p>
      <w:pPr>
        <w:ind w:left="220" w:hanging="167"/>
        <w:spacing w:after="0"/>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reportable segments do not incur income taxes and interest expense as these costs are centrally controlled through the Corporate tax and treasury functions.</w:t>
      </w:r>
    </w:p>
    <w:p>
      <w:pPr>
        <w:spacing w:after="0" w:line="23"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33"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1" w:lineRule="exact"/>
        <w:rPr>
          <w:rFonts w:ascii="Times New Roman" w:cs="Times New Roman" w:eastAsia="Times New Roman" w:hAnsi="Times New Roman"/>
          <w:sz w:val="21"/>
          <w:szCs w:val="21"/>
          <w:color w:val="auto"/>
          <w:vertAlign w:val="superscript"/>
        </w:rPr>
      </w:pPr>
    </w:p>
    <w:p>
      <w:pPr>
        <w:ind w:left="220" w:hanging="167"/>
        <w:spacing w:after="0" w:line="214" w:lineRule="auto"/>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24"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1"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1" w:lineRule="exact"/>
        <w:rPr>
          <w:rFonts w:ascii="Times New Roman" w:cs="Times New Roman" w:eastAsia="Times New Roman" w:hAnsi="Times New Roman"/>
          <w:sz w:val="21"/>
          <w:szCs w:val="21"/>
          <w:color w:val="auto"/>
          <w:vertAlign w:val="superscript"/>
        </w:rPr>
      </w:pPr>
    </w:p>
    <w:p>
      <w:pPr>
        <w:ind w:left="220" w:hanging="167"/>
        <w:spacing w:after="0" w:line="214" w:lineRule="auto"/>
        <w:tabs>
          <w:tab w:leader="none" w:pos="2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26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tables reconcile selling, general and administrative expenses, income from operations, other non-operating (income) expense, provision for income taxes, net income attributable to common stockholders and earnings per diluted share to adjusted selling, general and administrative expenses, adjusted income from operations, adjusted other non-operating (income) expense, adjusted provision for income taxes, adjusted net income attributable to common stockholders, and adjusted earnings per diluted share, which are non-GAAP financial measures, for the periods presented:</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SG&amp;A Expenses:</w:t>
            </w:r>
          </w:p>
        </w:tc>
        <w:tc>
          <w:tcPr>
            <w:tcW w:w="20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828.4</w:t>
            </w:r>
          </w:p>
        </w:tc>
        <w:tc>
          <w:tcPr>
            <w:tcW w:w="0" w:type="dxa"/>
            <w:vAlign w:val="bottom"/>
          </w:tcPr>
          <w:p>
            <w:pPr>
              <w:spacing w:after="0"/>
              <w:rPr>
                <w:sz w:val="1"/>
                <w:szCs w:val="1"/>
                <w:color w:val="auto"/>
              </w:rPr>
            </w:pPr>
          </w:p>
        </w:tc>
      </w:tr>
      <w:tr>
        <w:trPr>
          <w:trHeight w:val="202"/>
        </w:trPr>
        <w:tc>
          <w:tcPr>
            <w:tcW w:w="49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Digital transformation costs</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49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Loss on abandonment of assets</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selling, general and administrative expenses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864.1</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803.6</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Income from Operations: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322.2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323.5</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transformation costs</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49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Loss on abandonment of assets</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income from operations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348.3</w:t>
            </w:r>
          </w:p>
        </w:tc>
        <w:tc>
          <w:tcPr>
            <w:tcW w:w="0" w:type="dxa"/>
            <w:vAlign w:val="bottom"/>
          </w:tcPr>
          <w:p>
            <w:pPr>
              <w:spacing w:after="0"/>
              <w:rPr>
                <w:sz w:val="1"/>
                <w:szCs w:val="1"/>
                <w:color w:val="auto"/>
              </w:rPr>
            </w:pPr>
          </w:p>
        </w:tc>
      </w:tr>
      <w:tr>
        <w:trPr>
          <w:trHeight w:val="94"/>
        </w:trPr>
        <w:tc>
          <w:tcPr>
            <w:tcW w:w="4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Other (Income) Expense, net:</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95"/>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w:t>
            </w:r>
          </w:p>
        </w:tc>
        <w:tc>
          <w:tcPr>
            <w:tcW w:w="20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termination of business arrangement</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other (income) expense, net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95"/>
        </w:trPr>
        <w:tc>
          <w:tcPr>
            <w:tcW w:w="4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Provision for Income Taxes: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36"/>
        </w:trPr>
        <w:tc>
          <w:tcPr>
            <w:tcW w:w="498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Income tax effect of adjustments to income from operations and other (income)</w:t>
            </w:r>
          </w:p>
        </w:tc>
        <w:tc>
          <w:tcPr>
            <w:tcW w:w="200" w:type="dxa"/>
            <w:vAlign w:val="bottom"/>
          </w:tcPr>
          <w:p>
            <w:pPr>
              <w:spacing w:after="0"/>
              <w:rPr>
                <w:sz w:val="11"/>
                <w:szCs w:val="11"/>
                <w:color w:val="auto"/>
              </w:rPr>
            </w:pPr>
          </w:p>
        </w:tc>
        <w:tc>
          <w:tcPr>
            <w:tcW w:w="1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1"/>
        </w:trPr>
        <w:tc>
          <w:tcPr>
            <w:tcW w:w="4980" w:type="dxa"/>
            <w:vAlign w:val="bottom"/>
            <w:tcBorders>
              <w:bottom w:val="single" w:sz="8" w:color="CCEEFF"/>
            </w:tcBorders>
          </w:tcPr>
          <w:p>
            <w:pPr>
              <w:ind w:left="260"/>
              <w:spacing w:after="0" w:line="201" w:lineRule="exact"/>
              <w:rPr>
                <w:sz w:val="20"/>
                <w:szCs w:val="20"/>
                <w:color w:val="auto"/>
              </w:rPr>
            </w:pPr>
            <w:r>
              <w:rPr>
                <w:rFonts w:ascii="Times New Roman" w:cs="Times New Roman" w:eastAsia="Times New Roman" w:hAnsi="Times New Roman"/>
                <w:sz w:val="14"/>
                <w:szCs w:val="14"/>
                <w:color w:val="auto"/>
              </w:rPr>
              <w:t>expense, net</w:t>
            </w:r>
            <w:r>
              <w:rPr>
                <w:rFonts w:ascii="Times New Roman" w:cs="Times New Roman" w:eastAsia="Times New Roman" w:hAnsi="Times New Roman"/>
                <w:sz w:val="18"/>
                <w:szCs w:val="18"/>
                <w:color w:val="auto"/>
                <w:vertAlign w:val="superscript"/>
              </w:rPr>
              <w:t>(5)</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provision for income taxes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95"/>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 Attributable to Common Stockholders: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189.2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217.7</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transformation costs</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49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Loss on abandonment of assets</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5"/>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w:t>
            </w:r>
          </w:p>
        </w:tc>
        <w:tc>
          <w:tcPr>
            <w:tcW w:w="20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termination of business arrangement</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36"/>
        </w:trPr>
        <w:tc>
          <w:tcPr>
            <w:tcW w:w="4980" w:type="dxa"/>
            <w:vAlign w:val="bottom"/>
          </w:tcPr>
          <w:p>
            <w:pPr>
              <w:ind w:left="180"/>
              <w:spacing w:after="0" w:line="136" w:lineRule="exact"/>
              <w:rPr>
                <w:sz w:val="20"/>
                <w:szCs w:val="20"/>
                <w:color w:val="auto"/>
              </w:rPr>
            </w:pPr>
            <w:r>
              <w:rPr>
                <w:rFonts w:ascii="Times New Roman" w:cs="Times New Roman" w:eastAsia="Times New Roman" w:hAnsi="Times New Roman"/>
                <w:sz w:val="14"/>
                <w:szCs w:val="14"/>
                <w:color w:val="auto"/>
              </w:rPr>
              <w:t>Income tax effect of adjustments to income from operations and other (income)</w:t>
            </w:r>
          </w:p>
        </w:tc>
        <w:tc>
          <w:tcPr>
            <w:tcW w:w="200" w:type="dxa"/>
            <w:vAlign w:val="bottom"/>
          </w:tcPr>
          <w:p>
            <w:pPr>
              <w:spacing w:after="0"/>
              <w:rPr>
                <w:sz w:val="11"/>
                <w:szCs w:val="11"/>
                <w:color w:val="auto"/>
              </w:rPr>
            </w:pPr>
          </w:p>
        </w:tc>
        <w:tc>
          <w:tcPr>
            <w:tcW w:w="12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1"/>
        </w:trPr>
        <w:tc>
          <w:tcPr>
            <w:tcW w:w="4980" w:type="dxa"/>
            <w:vAlign w:val="bottom"/>
          </w:tcPr>
          <w:p>
            <w:pPr>
              <w:ind w:left="260"/>
              <w:spacing w:after="0" w:line="201" w:lineRule="exact"/>
              <w:rPr>
                <w:sz w:val="20"/>
                <w:szCs w:val="20"/>
                <w:color w:val="auto"/>
              </w:rPr>
            </w:pPr>
            <w:r>
              <w:rPr>
                <w:rFonts w:ascii="Times New Roman" w:cs="Times New Roman" w:eastAsia="Times New Roman" w:hAnsi="Times New Roman"/>
                <w:sz w:val="14"/>
                <w:szCs w:val="14"/>
                <w:color w:val="auto"/>
              </w:rPr>
              <w:t>expense, net</w:t>
            </w:r>
            <w:r>
              <w:rPr>
                <w:rFonts w:ascii="Times New Roman" w:cs="Times New Roman" w:eastAsia="Times New Roman" w:hAnsi="Times New Roman"/>
                <w:sz w:val="18"/>
                <w:szCs w:val="18"/>
                <w:color w:val="auto"/>
                <w:vertAlign w:val="superscript"/>
              </w:rPr>
              <w:t>(5)</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redemption of Series A Preferred Stock</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attributable to common stockholders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60" w:hanging="252"/>
        <w:spacing w:after="0" w:line="222" w:lineRule="auto"/>
        <w:tabs>
          <w:tab w:leader="none" w:pos="299"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2" w:lineRule="exact"/>
        <w:rPr>
          <w:rFonts w:ascii="Times New Roman" w:cs="Times New Roman" w:eastAsia="Times New Roman" w:hAnsi="Times New Roman"/>
          <w:sz w:val="21"/>
          <w:szCs w:val="21"/>
          <w:color w:val="auto"/>
          <w:vertAlign w:val="superscript"/>
        </w:rPr>
      </w:pPr>
    </w:p>
    <w:p>
      <w:pPr>
        <w:ind w:left="240" w:hanging="232"/>
        <w:spacing w:after="0"/>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termination of business arrangement represents the loss recognized as a result of management's decision to terminate a business arrangement with a third party.</w:t>
      </w:r>
    </w:p>
    <w:p>
      <w:pPr>
        <w:spacing w:after="0" w:line="61" w:lineRule="exact"/>
        <w:rPr>
          <w:rFonts w:ascii="Times New Roman" w:cs="Times New Roman" w:eastAsia="Times New Roman" w:hAnsi="Times New Roman"/>
          <w:sz w:val="21"/>
          <w:szCs w:val="21"/>
          <w:color w:val="auto"/>
          <w:vertAlign w:val="superscript"/>
        </w:rPr>
      </w:pPr>
    </w:p>
    <w:p>
      <w:pPr>
        <w:ind w:left="260" w:hanging="252"/>
        <w:spacing w:after="0" w:line="231" w:lineRule="auto"/>
        <w:tabs>
          <w:tab w:leader="none" w:pos="272"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adjustments to income from operations and other (income) expense, net have been tax effected at rates of </w:t>
      </w:r>
      <w:r>
        <w:rPr>
          <w:rFonts w:ascii="Times New Roman" w:cs="Times New Roman" w:eastAsia="Times New Roman" w:hAnsi="Times New Roman"/>
          <w:sz w:val="17"/>
          <w:szCs w:val="17"/>
          <w:color w:val="auto"/>
        </w:rPr>
        <w:t>26.3%</w:t>
      </w:r>
      <w:r>
        <w:rPr>
          <w:rFonts w:ascii="Times New Roman" w:cs="Times New Roman" w:eastAsia="Times New Roman" w:hAnsi="Times New Roman"/>
          <w:sz w:val="16"/>
          <w:szCs w:val="16"/>
          <w:color w:val="auto"/>
        </w:rPr>
        <w:t xml:space="preserve"> and 27.1% for the three months ended June 30, 2025 and 2024, respectively.</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WESCO International, Inc.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Note: For the three months ended June 30, 2025, SG&amp;A expenses, income from operations, the provision for income taxes, net income attributable to common stockholders, and earnings per diluted share have been adjusted to exclude digital transformation costs, restructuring costs, and the related income tax effects, and the gain on redemption of the Company's Series A Preferred Stock. For the three months ended June 30, 2024, SG&amp;A expenses, income from operations, other non-operating (income) expense, the provision for income taxes, net income attributable to common stockholders, and earnings per diluted share have been adjusted to exclude the loss on abandonment of assets, digital transformation costs, restructuring costs, the gain recognized on the divestiture of the WIS business, the loss on termination of business arrangement,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versus Six Months Ended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net sales and organic sales growth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ind w:left="164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20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Reported Sales</w:t>
            </w:r>
          </w:p>
        </w:tc>
        <w:tc>
          <w:tcPr>
            <w:tcW w:w="2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Acquisition/Divestiture</w:t>
            </w:r>
          </w:p>
        </w:tc>
        <w:tc>
          <w:tcPr>
            <w:tcW w:w="14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3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 first six months of 2025 had one less workday compared to the first six months of 2024.</w:t>
      </w:r>
    </w:p>
    <w:p>
      <w:pPr>
        <w:spacing w:after="0" w:line="14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sales were $11.2 billion for the first six months of 2025 compared to $10.8 billion for the first six months of 2024, an increase of 3.8%. Adjusting in part for the 1.2% net decrease from the divestiture of the WIS business and the acquisition of Ascent, organic sales for the first six months of 2025 grew by 6.4%. This growth is reflective of an approximate 5% increase in volume, driven by growth in the CSS and EES segments, partially offset by a decline in the UBS segment, and the impact of changes in price, which favorably impacted consolidated organic sales by approximately 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goods sold for the first six months of 2025 was $8.9 billion compared to $8.5 billion for the first six months of 2024, an increase of 4.5%. Cost of goods sold as a percentage of net sales was 78.9% and 78.4% for the first six months of 2025 and 2024, respectively. The unfavorable increase of 50 basis points primarily reflects a decrease in gross margin in all three segments, which is inclusive of higher inventory adjustments, partially offset by higher supplier volume rebates.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SG&amp;A expenses for the first six months of 2025 totaled $1,708.5 million versus $1,657.8 million for the first six months of 2024, an increase of $50.7 million, or 3.1%.</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SG&amp;A expenses to adjusted SG&amp;A expenses, which is a non-GAAP financial measure, for the periods presented:</w:t>
      </w:r>
    </w:p>
    <w:p>
      <w:pPr>
        <w:spacing w:after="0" w:line="154"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 of net</w:t>
            </w:r>
          </w:p>
        </w:tc>
        <w:tc>
          <w:tcPr>
            <w:tcW w:w="160" w:type="dxa"/>
            <w:vAlign w:val="bottom"/>
          </w:tcPr>
          <w:p>
            <w:pPr>
              <w:spacing w:after="0"/>
              <w:rPr>
                <w:sz w:val="11"/>
                <w:szCs w:val="11"/>
                <w:color w:val="auto"/>
              </w:rPr>
            </w:pP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 of net</w:t>
            </w:r>
          </w:p>
        </w:tc>
        <w:tc>
          <w:tcPr>
            <w:tcW w:w="0" w:type="dxa"/>
            <w:vAlign w:val="bottom"/>
          </w:tcPr>
          <w:p>
            <w:pPr>
              <w:spacing w:after="0"/>
              <w:rPr>
                <w:sz w:val="1"/>
                <w:szCs w:val="1"/>
                <w:color w:val="auto"/>
              </w:rPr>
            </w:pPr>
          </w:p>
        </w:tc>
      </w:tr>
      <w:tr>
        <w:trPr>
          <w:trHeight w:val="198"/>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SG&amp;A Expenses: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20" w:type="dxa"/>
            <w:vAlign w:val="bottom"/>
            <w:gridSpan w:val="3"/>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1,708.5</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1,657.8</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Loss on abandonment of assets</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Excise taxes on excise pension plan assets</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Adjusted selling, general and administrative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1,693.1</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1,614.1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60" w:hanging="252"/>
        <w:spacing w:after="0" w:line="222" w:lineRule="auto"/>
        <w:tabs>
          <w:tab w:leader="none" w:pos="299"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33" w:lineRule="exact"/>
        <w:rPr>
          <w:rFonts w:ascii="Times New Roman" w:cs="Times New Roman" w:eastAsia="Times New Roman" w:hAnsi="Times New Roman"/>
          <w:sz w:val="21"/>
          <w:szCs w:val="21"/>
          <w:color w:val="auto"/>
          <w:vertAlign w:val="superscript"/>
        </w:rPr>
      </w:pPr>
    </w:p>
    <w:p>
      <w:pPr>
        <w:ind w:left="260" w:hanging="252"/>
        <w:spacing w:after="0" w:line="225" w:lineRule="auto"/>
        <w:tabs>
          <w:tab w:leader="none" w:pos="27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Excise taxes on excess pension plan assets represent the excise taxes applicable to the excess pension plan assets following the final settlement of the Company's U.S. pension plan.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SG&amp;A payroll and payroll-related expenses for the first six months of 2025 of $1,060.9 million increased by $30.1 million compared to the same period in 2024 primarily as a result of higher salaries of $28.4 million due to wage inflation, partially offset by the impact of the divestiture of the WIS business, and higher benefits expense of $8.5 million, partially offset by lower commissions and incentive compensation expenses of $6.2 million.</w:t>
      </w:r>
    </w:p>
    <w:p>
      <w:pPr>
        <w:spacing w:after="0" w:line="6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SG&amp;A expenses not related to payroll and payroll-related costs for the first six months of 2025 were $647.6 million, an increase of $20.5 million compared to the same period in 2024, which primarily reflects higher costs to operate our facilities of $16.1 million, higher transportation costs of $15.0 million, and higher IT costs of $6.5 million, partially offset by a decrease of $15.5 million in other income and deductions, primarily attributable to the loss on abandonment of assets in the second quarter of 2024 as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Income from operations was $563.1 million for the first six months of 2025 compared to $586.5 million for the first six months of 2024. The decrease of $23.4 million, or 4.0%, reflects an increase in sales exceeded by higher cost of goods sold as a percentage of net sales due to a decrease in gross margin in all three segments, as well as an increase in SG&amp;A expenses, as described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interest expense totaled $179.2 million for the first six months of 2025 compared to $193.2 million for the first six months of 2024. The decrease of $14.0 million, or 7.2%, primarily reflects lower borrowings on the Receivables Facility and the Revolving Credit Facility, partly driven by repayment from refinancing activity related to the issuance of the 2029, 2032, and 2033 Notes, as well as lower interest rates on both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Other non-operating income totaled $7.1 million for the first six months of 2025 compared to $74.3 million for the first six months of 2024. We recognized $2.4 million of income in the first six months of 2025 from an adjustment to the fair value of the contingent consideration liability related to the entroCIM acquisition. Due to fluctuations in the U.S. dollar against certain foreign currencies, we recognized a net foreign currency exchange gain of $1.9 million for the first six months of 2025 compared to a net loss of $20.7 million for the first six months of 2024. We recognized net benefits of $1.6 million and net costs of $5.5 million associated with the non-service cost components of net periodic pension cost (benefit) for the six months ended June 30, 2025 and 2024, respectively. The year-over-year decrease in net periodic pension costs was due to pension settlement cost to recognize unrealized losses previously reported as a component of other comprehensive income (loss) related to the benefit obligation of the Anixter Inc. Pension Plan as a result of the final settlement of the plan in the first quarter of 2024.</w:t>
      </w:r>
    </w:p>
    <w:p>
      <w:pPr>
        <w:spacing w:after="0" w:line="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reconciles other non-operating income to adjusted other non-operating (income) expense, which is a non-GAAP financial measure, for the periods presented:</w:t>
      </w:r>
    </w:p>
    <w:p>
      <w:pPr>
        <w:spacing w:after="0" w:line="90"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Other (Income) Expense,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Loss on termination of business arrangement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Pension settlement cost</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Gain on divestiture</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expense,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termination of business arrangement represents the loss recognized as a result of management's decision to terminate a business arrangement with a third party.</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Pension settlement cost represents expense related to the final settlement of the Company's U.S. pension plan.</w:t>
      </w:r>
    </w:p>
    <w:p>
      <w:pPr>
        <w:spacing w:after="0" w:line="37"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 on divestiture represents the gain recognized as a result of the divestiture of the Wesco Integrated Supply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WIS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business on April 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$97.9 million for the first six months of 2025 compared to $118.7 million in last year's comparable period, resulting in effective tax rates of 25.0% and 25.4%,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Earnings per Share</w:t>
      </w:r>
    </w:p>
    <w:p>
      <w:pPr>
        <w:spacing w:after="0" w:line="1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income and earnings per diluted share attributable to common stockholders were $293.2 million and $5.92, respectively, for the first six months of 2025 compared to $319.2 million and $6.22, respectively, for the first six months of 2024. Adjusted for the non-GAAP adjustments above and the related income tax effects, and the $27.6 million gain recognized as a result of the Company's redemption of its outstanding Series A Preferred Stock, net income and earnings per diluted share attributable to common stockholders were $277.2 million and $5.60, respectively, for the first six months of 2025 and $282.9 million and $5.51, respectively, for the first six months of 2024.</w:t>
      </w:r>
    </w:p>
    <w:p>
      <w:pPr>
        <w:spacing w:after="0" w:line="7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increase in adjusted earnings per diluted share primarily reflects the increase in net sales as well as the decrease in interest expense, as discussed above, partially offset by the increase in cost of goods sold as a percentage of net sales, the decrease in other income, and the increase in SG&amp;A expenses. Additionally, there was a positive impact from the reduction in outstanding shares during the first six months of 2025 as compared to the first six months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Adjusted EBITDA, a non-GAAP financial measure, was $704.9 million for the first six months of 2025 compared to $740.5 million for the first six months of 2024, a decrease of $35.6 million, or 4.8% year-over-year. The decrease primarily reflects a $381.2 million increase in cost of goods sold, and a $50.7 million increase in SG&amp;A expenses, as described above, partially offset by a $413.6 million increase in net sales. Included in the increase in SG&amp;A expenses was a $17.8 million increase from the absence of asset abandonment loss in first six months of 2025 compared to the first six months of 2024, and a $4.8 million increase from the absence of excise taxes on excess pension plan assets in first six months of 2025 compared to the first six months of 2024. Additionally, there was a year-over-year decrease in restructuring costs of $7.4 million. All three items are adjustments to calculate adjusted EBITDA.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Electrical &amp; Electronic Solutions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Growth/(Decline)</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2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5"/>
                <w:szCs w:val="15"/>
                <w:color w:val="auto"/>
              </w:rPr>
            </w:pPr>
          </w:p>
        </w:tc>
        <w:tc>
          <w:tcPr>
            <w:tcW w:w="12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00" w:type="dxa"/>
            <w:vAlign w:val="bottom"/>
          </w:tcPr>
          <w:p>
            <w:pPr>
              <w:spacing w:after="0"/>
              <w:rPr>
                <w:sz w:val="15"/>
                <w:szCs w:val="15"/>
                <w:color w:val="auto"/>
              </w:rPr>
            </w:pPr>
          </w:p>
        </w:tc>
        <w:tc>
          <w:tcPr>
            <w:tcW w:w="136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4,323.1</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325.5</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Adjusted EBITDA Margin %</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EES reported net sales of $4.3 billion for the first six months of 2025 compared to $4.2 billion for the first six months of 2024, an increase of $124.3 million, or 3.0%. EES organic sales for the first six months of 2025 grew by 4.7%, driven primarily by volume growth of approximately 3%, primarily as a result of growth in the original equipment manufacturers business, and by the impact of changes in price, which favorably impacted organic sales by approximately 2%.</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EES adjusted EBITDA decreased $26.4 million, or 7.5% year-over-year. The decrease primarily reflects an unfavorable change in product mix, partially offset by an increase in volume and price, as described above. Additionally, SG&amp;A expenses increased $21.1 million as compared to the prior year, which was primarily attributed to an increase in salaries of $8.2 million, an increase in transportation costs of $6.0 million, an increase in operations expenses of $4.0 million, and an increase in bad debt expense of $3.0 million, partially offset by lower commissions and incentives of $3.5 million.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Communications &amp; Security Solutions</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Growth/(Decline)</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2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2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4,265.5</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3,609.1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357.4</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Adjusted EBITDA Margin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CSS reported net sales of $4.3 billion for the first six months of 2025 compared to $3.6 billion for the first six months of 2024, an increase of $656.4 million, or 18.2%, which is inclusive of a favorable impact from the acquisition of Ascent of 1.9%. CSS organic sales for the first six months of 2025 grew by 17.7%, driven primarily by volume growth of approximately 17% as a result of growth in the data center solutions business and less significant growth in the security solutions business, partially offset by volume decline in the enterprise network infrastructure business, and by the impact of changes in price, which favorably impacted organic sales by approximately 1%.</w:t>
      </w:r>
    </w:p>
    <w:p>
      <w:pPr>
        <w:spacing w:after="0" w:line="7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CSS adjusted EBITDA increased $70.6 million, or 24.6% year-over-year. The increase reflects an increase in volume, specifically within the data center solutions business and the security solutions business, as described above. Further, there was an increase in SG&amp;A expenses of $38.9 million. The increase in SG&amp;A expenses is primarily attributed to higher transportation costs of $12.7 million consistent with higher sales, higher salaries of $9.8 million, higher commissions and incentives of $6.6 million, and higher benefits expense of $6.0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Utility &amp; Broadband Solutions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Growth/(Decline)</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2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4"/>
                <w:szCs w:val="14"/>
                <w:color w:val="auto"/>
              </w:rPr>
            </w:pPr>
          </w:p>
        </w:tc>
        <w:tc>
          <w:tcPr>
            <w:tcW w:w="128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Divestiture</w:t>
            </w:r>
          </w:p>
        </w:tc>
        <w:tc>
          <w:tcPr>
            <w:tcW w:w="100" w:type="dxa"/>
            <w:vAlign w:val="bottom"/>
          </w:tcPr>
          <w:p>
            <w:pPr>
              <w:spacing w:after="0"/>
              <w:rPr>
                <w:sz w:val="14"/>
                <w:szCs w:val="14"/>
                <w:color w:val="auto"/>
              </w:rPr>
            </w:pPr>
          </w:p>
        </w:tc>
        <w:tc>
          <w:tcPr>
            <w:tcW w:w="136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Workday</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Organic Sales</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4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2,654.7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3,021.8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282.0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UBS reported net sales of $2.7 billion for the first six months of 2025 compared to $3.0 billion for the first six months of 2024, a decrease of $367.1 million, or 12.1%, which is inclusive of an unfavorable impact from the divestiture of the WIS business of 6.3%. UBS organic sales for the first six months of 2025 declined by 4.7%, reflecting volume declines, primarily as a result of ongoing customer destocking and cautious spending related to tariff and market uncertainties. Changes in price did not have a material impact on the year-over-year decline in UBS organic sales.</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UBS adjusted EBITDA decreased $60.9 million, or 17.8% year-over-year. The decrease primarily reflects a decline in volume, as described above. The decrease in adjusted EBITDA was further offset by a decrease in SG&amp;A expenses of $12.3 million as compared to the prior year, which was primarily attributed to lower salaries of $4.8 million, lower commissions and incentives of $4.7 million, and lower benefits expense of $2.4 million, all of which were driven by the impact of the WIS divestiture.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EES</w:t>
            </w:r>
          </w:p>
        </w:tc>
        <w:tc>
          <w:tcPr>
            <w:tcW w:w="30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CSS</w:t>
            </w: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UBS</w:t>
            </w:r>
          </w:p>
        </w:tc>
        <w:tc>
          <w:tcPr>
            <w:tcW w:w="14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4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redemption of Series A Preferred Stock</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282.0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704.9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0" w:hanging="147"/>
        <w:spacing w:after="0"/>
        <w:tabs>
          <w:tab w:leader="none" w:pos="2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reportable segments do not incur income taxes and interest expense as these costs are centrally controlled through the Corporate tax and treasury functions.</w:t>
      </w:r>
    </w:p>
    <w:p>
      <w:pPr>
        <w:spacing w:after="0" w:line="27" w:lineRule="exact"/>
        <w:rPr>
          <w:rFonts w:ascii="Times New Roman" w:cs="Times New Roman" w:eastAsia="Times New Roman" w:hAnsi="Times New Roman"/>
          <w:sz w:val="18"/>
          <w:szCs w:val="18"/>
          <w:color w:val="auto"/>
          <w:vertAlign w:val="superscript"/>
        </w:rPr>
      </w:pPr>
    </w:p>
    <w:p>
      <w:pPr>
        <w:ind w:left="220" w:hanging="167"/>
        <w:spacing w:after="0" w:line="191" w:lineRule="auto"/>
        <w:tabs>
          <w:tab w:leader="none" w:pos="2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23"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1"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30" w:lineRule="exact"/>
        <w:rPr>
          <w:rFonts w:ascii="Times New Roman" w:cs="Times New Roman" w:eastAsia="Times New Roman" w:hAnsi="Times New Roman"/>
          <w:sz w:val="21"/>
          <w:szCs w:val="21"/>
          <w:color w:val="auto"/>
          <w:vertAlign w:val="superscript"/>
        </w:rPr>
      </w:pPr>
    </w:p>
    <w:p>
      <w:pPr>
        <w:ind w:left="220" w:hanging="167"/>
        <w:spacing w:after="0"/>
        <w:tabs>
          <w:tab w:leader="none" w:pos="2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9"/>
                <w:szCs w:val="19"/>
                <w:color w:val="auto"/>
              </w:rPr>
            </w:pPr>
          </w:p>
        </w:tc>
        <w:tc>
          <w:tcPr>
            <w:tcW w:w="110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EES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114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b w:val="1"/>
                <w:bCs w:val="1"/>
                <w:color w:val="auto"/>
              </w:rPr>
              <w:t>CSS</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UBS</w:t>
            </w:r>
          </w:p>
        </w:tc>
        <w:tc>
          <w:tcPr>
            <w:tcW w:w="12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(640.3)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319.2</w:t>
            </w: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r>
      <w:tr>
        <w:trPr>
          <w:trHeight w:val="229"/>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193.2</w:t>
            </w: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Loss on abandonment of assets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Digital transformation costs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7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Cloud computing arrangement amortization</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74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Excise taxes on excess pension plan assets</w:t>
            </w:r>
            <w:r>
              <w:rPr>
                <w:rFonts w:ascii="Times New Roman" w:cs="Times New Roman" w:eastAsia="Times New Roman" w:hAnsi="Times New Roman"/>
                <w:sz w:val="23"/>
                <w:szCs w:val="23"/>
                <w:color w:val="auto"/>
                <w:vertAlign w:val="superscript"/>
              </w:rPr>
              <w:t>(7)</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286.8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342.9</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(241.1)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740.5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EBITDA margin %</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ind w:left="300" w:right="20" w:hanging="247"/>
        <w:spacing w:after="0" w:line="209" w:lineRule="auto"/>
        <w:tabs>
          <w:tab w:leader="none" w:pos="22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previously described in Note 2, “Accounting Policies,” the reportable segment information for the six months ended June 30, 2024 for the EES and CSS reportable segments has been recast to conform to the current year presentation.</w:t>
      </w:r>
    </w:p>
    <w:p>
      <w:pPr>
        <w:spacing w:after="0" w:line="1" w:lineRule="exact"/>
        <w:rPr>
          <w:rFonts w:ascii="Times New Roman" w:cs="Times New Roman" w:eastAsia="Times New Roman" w:hAnsi="Times New Roman"/>
          <w:sz w:val="21"/>
          <w:szCs w:val="21"/>
          <w:color w:val="auto"/>
          <w:vertAlign w:val="superscript"/>
        </w:rPr>
      </w:pPr>
    </w:p>
    <w:p>
      <w:pPr>
        <w:ind w:left="220" w:hanging="167"/>
        <w:spacing w:after="0" w:line="214"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reportable segments do not incur income taxes and interest expense as these costs are centrally controlled through the Corporate tax and treasury functions.</w:t>
      </w:r>
    </w:p>
    <w:p>
      <w:pPr>
        <w:spacing w:after="0" w:line="71" w:lineRule="exact"/>
        <w:rPr>
          <w:rFonts w:ascii="Times New Roman" w:cs="Times New Roman" w:eastAsia="Times New Roman" w:hAnsi="Times New Roman"/>
          <w:sz w:val="21"/>
          <w:szCs w:val="21"/>
          <w:color w:val="auto"/>
          <w:vertAlign w:val="superscript"/>
        </w:rPr>
      </w:pPr>
    </w:p>
    <w:p>
      <w:pPr>
        <w:ind w:left="300" w:right="20" w:hanging="247"/>
        <w:spacing w:after="0" w:line="203" w:lineRule="auto"/>
        <w:tabs>
          <w:tab w:leader="none" w:pos="219"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1" w:lineRule="exact"/>
        <w:rPr>
          <w:rFonts w:ascii="Times New Roman" w:cs="Times New Roman" w:eastAsia="Times New Roman" w:hAnsi="Times New Roman"/>
          <w:sz w:val="21"/>
          <w:szCs w:val="21"/>
          <w:color w:val="auto"/>
          <w:vertAlign w:val="superscript"/>
        </w:rPr>
      </w:pPr>
    </w:p>
    <w:p>
      <w:pPr>
        <w:ind w:left="220" w:hanging="167"/>
        <w:spacing w:after="0" w:line="214"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24" w:lineRule="exact"/>
        <w:rPr>
          <w:rFonts w:ascii="Times New Roman" w:cs="Times New Roman" w:eastAsia="Times New Roman" w:hAnsi="Times New Roman"/>
          <w:sz w:val="21"/>
          <w:szCs w:val="21"/>
          <w:color w:val="auto"/>
          <w:vertAlign w:val="superscript"/>
        </w:rPr>
      </w:pPr>
    </w:p>
    <w:p>
      <w:pPr>
        <w:ind w:left="220" w:hanging="167"/>
        <w:spacing w:after="0" w:line="191" w:lineRule="auto"/>
        <w:tabs>
          <w:tab w:leader="none" w:pos="2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23" w:lineRule="exact"/>
        <w:rPr>
          <w:rFonts w:ascii="Times New Roman" w:cs="Times New Roman" w:eastAsia="Times New Roman" w:hAnsi="Times New Roman"/>
          <w:sz w:val="21"/>
          <w:szCs w:val="21"/>
          <w:color w:val="auto"/>
          <w:vertAlign w:val="superscript"/>
        </w:rPr>
      </w:pPr>
    </w:p>
    <w:p>
      <w:pPr>
        <w:ind w:left="300" w:right="20" w:hanging="247"/>
        <w:spacing w:after="0" w:line="199" w:lineRule="auto"/>
        <w:tabs>
          <w:tab w:leader="none" w:pos="221"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61" w:lineRule="exact"/>
        <w:rPr>
          <w:rFonts w:ascii="Times New Roman" w:cs="Times New Roman" w:eastAsia="Times New Roman" w:hAnsi="Times New Roman"/>
          <w:sz w:val="21"/>
          <w:szCs w:val="21"/>
          <w:color w:val="auto"/>
          <w:vertAlign w:val="superscript"/>
        </w:rPr>
      </w:pPr>
    </w:p>
    <w:p>
      <w:pPr>
        <w:ind w:left="300" w:right="20" w:hanging="247"/>
        <w:spacing w:after="0"/>
        <w:tabs>
          <w:tab w:leader="none" w:pos="206"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Excise taxes on excise pension plan assets represent the excise taxes applicable to the excess pension plan assets following the final settlement of the Company's U.S. pension plan.</w:t>
      </w:r>
    </w:p>
    <w:p>
      <w:pPr>
        <w:spacing w:after="0" w:line="200" w:lineRule="exact"/>
        <w:rPr>
          <w:sz w:val="20"/>
          <w:szCs w:val="20"/>
          <w:color w:val="auto"/>
        </w:rPr>
      </w:pPr>
    </w:p>
    <w:p>
      <w:pPr>
        <w:spacing w:after="0" w:line="21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following tables reconcile selling, general and administrative expenses, income from operations, other non-operating (income) expense, provision for income taxes, net income attributable to common stockholders, and earnings per diluted share to adjusted selling, general and administrative expenses, adjusted income from operations, adjusted other non-operating (income) expense, adjusted provision for income taxes, adjusted net income attributable to common stockholders, and adjusted earnings per diluted share, which are non-GAAP financial measures, for the periods presented:</w:t>
      </w:r>
    </w:p>
    <w:p>
      <w:pPr>
        <w:spacing w:after="0" w:line="106"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SG&amp;A Expenses:</w:t>
            </w:r>
          </w:p>
        </w:tc>
        <w:tc>
          <w:tcPr>
            <w:tcW w:w="2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1,657.8</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Digital transformation costs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Loss on abandonment of assets</w:t>
            </w:r>
            <w:r>
              <w:rPr>
                <w:rFonts w:ascii="Times New Roman" w:cs="Times New Roman" w:eastAsia="Times New Roman" w:hAnsi="Times New Roman"/>
                <w:sz w:val="18"/>
                <w:szCs w:val="18"/>
                <w:color w:val="auto"/>
                <w:vertAlign w:val="superscript"/>
              </w:rPr>
              <w:t>(3)</w:t>
            </w:r>
          </w:p>
        </w:tc>
        <w:tc>
          <w:tcPr>
            <w:tcW w:w="2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Excise taxes on excess pension plan assets</w:t>
            </w:r>
            <w:r>
              <w:rPr>
                <w:rFonts w:ascii="Times New Roman" w:cs="Times New Roman" w:eastAsia="Times New Roman" w:hAnsi="Times New Roman"/>
                <w:sz w:val="18"/>
                <w:szCs w:val="18"/>
                <w:color w:val="auto"/>
                <w:vertAlign w:val="superscript"/>
              </w:rPr>
              <w:t>(4)</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Adjusted selling, general and administrative expenses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1,693.1</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1,614.1</w:t>
            </w:r>
          </w:p>
        </w:tc>
        <w:tc>
          <w:tcPr>
            <w:tcW w:w="0" w:type="dxa"/>
            <w:vAlign w:val="bottom"/>
          </w:tcPr>
          <w:p>
            <w:pPr>
              <w:spacing w:after="0"/>
              <w:rPr>
                <w:sz w:val="1"/>
                <w:szCs w:val="1"/>
                <w:color w:val="auto"/>
              </w:rPr>
            </w:pPr>
          </w:p>
        </w:tc>
      </w:tr>
      <w:tr>
        <w:trPr>
          <w:trHeight w:val="95"/>
        </w:trPr>
        <w:tc>
          <w:tcPr>
            <w:tcW w:w="49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Income from Operations: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586.5</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Digital transformation costs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Loss on abandonment of assets</w:t>
            </w:r>
            <w:r>
              <w:rPr>
                <w:rFonts w:ascii="Times New Roman" w:cs="Times New Roman" w:eastAsia="Times New Roman" w:hAnsi="Times New Roman"/>
                <w:sz w:val="18"/>
                <w:szCs w:val="18"/>
                <w:color w:val="auto"/>
                <w:vertAlign w:val="superscript"/>
              </w:rPr>
              <w:t>(3)</w:t>
            </w:r>
          </w:p>
        </w:tc>
        <w:tc>
          <w:tcPr>
            <w:tcW w:w="2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Excise taxes on excess pension plan assets</w:t>
            </w:r>
            <w:r>
              <w:rPr>
                <w:rFonts w:ascii="Times New Roman" w:cs="Times New Roman" w:eastAsia="Times New Roman" w:hAnsi="Times New Roman"/>
                <w:sz w:val="18"/>
                <w:szCs w:val="18"/>
                <w:color w:val="auto"/>
                <w:vertAlign w:val="superscript"/>
              </w:rPr>
              <w:t>(4)</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Adjusted income from operations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578.5</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630.2</w:t>
            </w:r>
          </w:p>
        </w:tc>
        <w:tc>
          <w:tcPr>
            <w:tcW w:w="0" w:type="dxa"/>
            <w:vAlign w:val="bottom"/>
          </w:tcPr>
          <w:p>
            <w:pPr>
              <w:spacing w:after="0"/>
              <w:rPr>
                <w:sz w:val="1"/>
                <w:szCs w:val="1"/>
                <w:color w:val="auto"/>
              </w:rPr>
            </w:pPr>
          </w:p>
        </w:tc>
      </w:tr>
      <w:tr>
        <w:trPr>
          <w:trHeight w:val="94"/>
        </w:trPr>
        <w:tc>
          <w:tcPr>
            <w:tcW w:w="49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Other (Income) Expense, net: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Loss on termination of business arrangement</w:t>
            </w:r>
            <w:r>
              <w:rPr>
                <w:rFonts w:ascii="Times New Roman" w:cs="Times New Roman" w:eastAsia="Times New Roman" w:hAnsi="Times New Roman"/>
                <w:sz w:val="18"/>
                <w:szCs w:val="18"/>
                <w:color w:val="auto"/>
                <w:vertAlign w:val="superscript"/>
              </w:rPr>
              <w:t>(5)</w:t>
            </w:r>
          </w:p>
        </w:tc>
        <w:tc>
          <w:tcPr>
            <w:tcW w:w="22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divestiture</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Pension settlement cost</w:t>
            </w:r>
            <w:r>
              <w:rPr>
                <w:rFonts w:ascii="Times New Roman" w:cs="Times New Roman" w:eastAsia="Times New Roman" w:hAnsi="Times New Roman"/>
                <w:sz w:val="18"/>
                <w:szCs w:val="18"/>
                <w:color w:val="auto"/>
                <w:vertAlign w:val="superscript"/>
              </w:rPr>
              <w:t>(6)</w:t>
            </w:r>
          </w:p>
        </w:tc>
        <w:tc>
          <w:tcPr>
            <w:tcW w:w="2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other (income) expense, net</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95"/>
        </w:trPr>
        <w:tc>
          <w:tcPr>
            <w:tcW w:w="4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Provision for Income Taxes: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143"/>
        </w:trPr>
        <w:tc>
          <w:tcPr>
            <w:tcW w:w="498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Income tax effect of adjustments to income from operations and other (income)</w:t>
            </w:r>
          </w:p>
        </w:tc>
        <w:tc>
          <w:tcPr>
            <w:tcW w:w="22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1"/>
        </w:trPr>
        <w:tc>
          <w:tcPr>
            <w:tcW w:w="4980" w:type="dxa"/>
            <w:vAlign w:val="bottom"/>
            <w:shd w:val="clear" w:color="auto" w:fill="CCEEFF"/>
          </w:tcPr>
          <w:p>
            <w:pPr>
              <w:ind w:left="240"/>
              <w:spacing w:after="0" w:line="201" w:lineRule="exact"/>
              <w:rPr>
                <w:sz w:val="20"/>
                <w:szCs w:val="20"/>
                <w:color w:val="auto"/>
              </w:rPr>
            </w:pPr>
            <w:r>
              <w:rPr>
                <w:rFonts w:ascii="Times New Roman" w:cs="Times New Roman" w:eastAsia="Times New Roman" w:hAnsi="Times New Roman"/>
                <w:sz w:val="14"/>
                <w:szCs w:val="14"/>
                <w:color w:val="auto"/>
              </w:rPr>
              <w:t>expense, net</w:t>
            </w:r>
            <w:r>
              <w:rPr>
                <w:rFonts w:ascii="Times New Roman" w:cs="Times New Roman" w:eastAsia="Times New Roman" w:hAnsi="Times New Roman"/>
                <w:sz w:val="18"/>
                <w:szCs w:val="18"/>
                <w:color w:val="auto"/>
                <w:vertAlign w:val="superscript"/>
              </w:rPr>
              <w:t>(7)</w:t>
            </w: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Adjusted provision for income taxes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94"/>
        </w:trPr>
        <w:tc>
          <w:tcPr>
            <w:tcW w:w="49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Income Attributable to Common Stockholders: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319.2</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Digital transformation costs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Loss on abandonment of assets</w:t>
            </w:r>
            <w:r>
              <w:rPr>
                <w:rFonts w:ascii="Times New Roman" w:cs="Times New Roman" w:eastAsia="Times New Roman" w:hAnsi="Times New Roman"/>
                <w:sz w:val="18"/>
                <w:szCs w:val="18"/>
                <w:color w:val="auto"/>
                <w:vertAlign w:val="superscript"/>
              </w:rPr>
              <w:t>(3)</w:t>
            </w:r>
          </w:p>
        </w:tc>
        <w:tc>
          <w:tcPr>
            <w:tcW w:w="2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Excise taxes on excess pension plan assets</w:t>
            </w:r>
            <w:r>
              <w:rPr>
                <w:rFonts w:ascii="Times New Roman" w:cs="Times New Roman" w:eastAsia="Times New Roman" w:hAnsi="Times New Roman"/>
                <w:sz w:val="18"/>
                <w:szCs w:val="18"/>
                <w:color w:val="auto"/>
                <w:vertAlign w:val="superscript"/>
              </w:rPr>
              <w:t>(4)</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Loss on termination of business arrangement</w:t>
            </w:r>
            <w:r>
              <w:rPr>
                <w:rFonts w:ascii="Times New Roman" w:cs="Times New Roman" w:eastAsia="Times New Roman" w:hAnsi="Times New Roman"/>
                <w:sz w:val="18"/>
                <w:szCs w:val="18"/>
                <w:color w:val="auto"/>
                <w:vertAlign w:val="superscript"/>
              </w:rPr>
              <w:t>(5)</w:t>
            </w:r>
          </w:p>
        </w:tc>
        <w:tc>
          <w:tcPr>
            <w:tcW w:w="220" w:type="dxa"/>
            <w:vAlign w:val="bottom"/>
          </w:tcPr>
          <w:p>
            <w:pPr>
              <w:spacing w:after="0"/>
              <w:rPr>
                <w:sz w:val="17"/>
                <w:szCs w:val="17"/>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Gain on divestiture</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203"/>
        </w:trPr>
        <w:tc>
          <w:tcPr>
            <w:tcW w:w="4980" w:type="dxa"/>
            <w:vAlign w:val="bottom"/>
          </w:tcPr>
          <w:p>
            <w:pPr>
              <w:ind w:left="160"/>
              <w:spacing w:after="0" w:line="202" w:lineRule="exact"/>
              <w:rPr>
                <w:sz w:val="20"/>
                <w:szCs w:val="20"/>
                <w:color w:val="auto"/>
              </w:rPr>
            </w:pPr>
            <w:r>
              <w:rPr>
                <w:rFonts w:ascii="Times New Roman" w:cs="Times New Roman" w:eastAsia="Times New Roman" w:hAnsi="Times New Roman"/>
                <w:sz w:val="14"/>
                <w:szCs w:val="14"/>
                <w:color w:val="auto"/>
              </w:rPr>
              <w:t>Pension settlement cost</w:t>
            </w:r>
            <w:r>
              <w:rPr>
                <w:rFonts w:ascii="Times New Roman" w:cs="Times New Roman" w:eastAsia="Times New Roman" w:hAnsi="Times New Roman"/>
                <w:sz w:val="18"/>
                <w:szCs w:val="18"/>
                <w:color w:val="auto"/>
                <w:vertAlign w:val="superscript"/>
              </w:rPr>
              <w:t>(6)</w:t>
            </w:r>
          </w:p>
        </w:tc>
        <w:tc>
          <w:tcPr>
            <w:tcW w:w="2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36"/>
        </w:trPr>
        <w:tc>
          <w:tcPr>
            <w:tcW w:w="498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Income tax effect of adjustments to income from operations and other (income)</w:t>
            </w:r>
          </w:p>
        </w:tc>
        <w:tc>
          <w:tcPr>
            <w:tcW w:w="22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1"/>
        </w:trPr>
        <w:tc>
          <w:tcPr>
            <w:tcW w:w="4980" w:type="dxa"/>
            <w:vAlign w:val="bottom"/>
            <w:shd w:val="clear" w:color="auto" w:fill="CCEEFF"/>
          </w:tcPr>
          <w:p>
            <w:pPr>
              <w:ind w:left="240"/>
              <w:spacing w:after="0" w:line="201" w:lineRule="exact"/>
              <w:rPr>
                <w:sz w:val="20"/>
                <w:szCs w:val="20"/>
                <w:color w:val="auto"/>
              </w:rPr>
            </w:pPr>
            <w:r>
              <w:rPr>
                <w:rFonts w:ascii="Times New Roman" w:cs="Times New Roman" w:eastAsia="Times New Roman" w:hAnsi="Times New Roman"/>
                <w:sz w:val="14"/>
                <w:szCs w:val="14"/>
                <w:color w:val="auto"/>
              </w:rPr>
              <w:t>expense, net</w:t>
            </w:r>
            <w:r>
              <w:rPr>
                <w:rFonts w:ascii="Times New Roman" w:cs="Times New Roman" w:eastAsia="Times New Roman" w:hAnsi="Times New Roman"/>
                <w:sz w:val="18"/>
                <w:szCs w:val="18"/>
                <w:color w:val="auto"/>
                <w:vertAlign w:val="superscript"/>
              </w:rPr>
              <w:t>(7)</w:t>
            </w:r>
          </w:p>
        </w:tc>
        <w:tc>
          <w:tcPr>
            <w:tcW w:w="22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Gain on redemption of Series A Preferred Stock</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income attributable to common stockholders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282.9</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Digital transformation costs include costs associated with certain digital transformation initiatives.</w:t>
      </w:r>
    </w:p>
    <w:p>
      <w:pPr>
        <w:spacing w:after="0" w:line="43" w:lineRule="exact"/>
        <w:rPr>
          <w:rFonts w:ascii="Times New Roman" w:cs="Times New Roman" w:eastAsia="Times New Roman" w:hAnsi="Times New Roman"/>
          <w:sz w:val="19"/>
          <w:szCs w:val="19"/>
          <w:color w:val="auto"/>
          <w:vertAlign w:val="superscript"/>
        </w:rPr>
      </w:pPr>
    </w:p>
    <w:p>
      <w:pPr>
        <w:ind w:left="220" w:hanging="212"/>
        <w:spacing w:after="0"/>
        <w:tabs>
          <w:tab w:leader="none" w:pos="22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Restructuring costs include severance costs incurred pursuant to an ongoing restructuring plan.</w:t>
      </w:r>
    </w:p>
    <w:p>
      <w:pPr>
        <w:spacing w:after="0" w:line="52" w:lineRule="exact"/>
        <w:rPr>
          <w:rFonts w:ascii="Times New Roman" w:cs="Times New Roman" w:eastAsia="Times New Roman" w:hAnsi="Times New Roman"/>
          <w:sz w:val="9"/>
          <w:szCs w:val="9"/>
          <w:color w:val="auto"/>
        </w:rPr>
      </w:pPr>
    </w:p>
    <w:p>
      <w:pPr>
        <w:ind w:left="260" w:hanging="252"/>
        <w:spacing w:after="0" w:line="299" w:lineRule="auto"/>
        <w:tabs>
          <w:tab w:leader="none" w:pos="246"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ind w:left="220" w:hanging="212"/>
        <w:spacing w:after="0"/>
        <w:tabs>
          <w:tab w:leader="none" w:pos="22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Excise taxes on excess pension plan assets represent the excise taxes applicable to the excess pension plan assets following the final settlement of the Company's U.S. pension plan.</w:t>
      </w:r>
    </w:p>
    <w:p>
      <w:pPr>
        <w:spacing w:after="0" w:line="55" w:lineRule="exact"/>
        <w:rPr>
          <w:rFonts w:ascii="Times New Roman" w:cs="Times New Roman" w:eastAsia="Times New Roman" w:hAnsi="Times New Roman"/>
          <w:sz w:val="19"/>
          <w:szCs w:val="19"/>
          <w:color w:val="auto"/>
          <w:vertAlign w:val="superscript"/>
        </w:rPr>
      </w:pPr>
    </w:p>
    <w:p>
      <w:pPr>
        <w:ind w:left="220" w:hanging="212"/>
        <w:spacing w:after="0" w:line="191" w:lineRule="auto"/>
        <w:tabs>
          <w:tab w:leader="none" w:pos="22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Loss on termination of business arrangement represents the loss recognized as a result of management's decision to terminate a business arrangement with a third party.</w:t>
      </w:r>
    </w:p>
    <w:p>
      <w:pPr>
        <w:spacing w:after="0" w:line="44" w:lineRule="exact"/>
        <w:rPr>
          <w:rFonts w:ascii="Times New Roman" w:cs="Times New Roman" w:eastAsia="Times New Roman" w:hAnsi="Times New Roman"/>
          <w:sz w:val="19"/>
          <w:szCs w:val="19"/>
          <w:color w:val="auto"/>
          <w:vertAlign w:val="superscript"/>
        </w:rPr>
      </w:pPr>
    </w:p>
    <w:p>
      <w:pPr>
        <w:ind w:left="220" w:hanging="212"/>
        <w:spacing w:after="0" w:line="189" w:lineRule="auto"/>
        <w:tabs>
          <w:tab w:leader="none" w:pos="22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Pension settlement cost represents expense related to the settlement of the Company's U.S. pension plan.</w:t>
      </w:r>
    </w:p>
    <w:p>
      <w:pPr>
        <w:spacing w:after="0" w:line="68" w:lineRule="exact"/>
        <w:rPr>
          <w:rFonts w:ascii="Times New Roman" w:cs="Times New Roman" w:eastAsia="Times New Roman" w:hAnsi="Times New Roman"/>
          <w:sz w:val="19"/>
          <w:szCs w:val="19"/>
          <w:color w:val="auto"/>
          <w:vertAlign w:val="superscript"/>
        </w:rPr>
      </w:pPr>
    </w:p>
    <w:p>
      <w:pPr>
        <w:ind w:left="260" w:right="20" w:hanging="252"/>
        <w:spacing w:after="0" w:line="302" w:lineRule="auto"/>
        <w:tabs>
          <w:tab w:leader="none" w:pos="233"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adjustments to income from operations and other (income) expense, net have been tax effected at a rate of approximately 26.3% and 27.1% for the six months ended June 30, 2025 and 2024, respectively.</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Diluted Share:</w:t>
            </w: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WESCO International, Inc.</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diluted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Note: For the six months ended June 30, 2025, SG&amp;A expenses, income from operations, other non-operating (income) expense, the provision for income taxes, net income attributable to common stockholders, and earnings per diluted share have been adjusted to exclude digital transformation costs, restructuring costs, the loss on termination of business arrangement, and the related income tax effects, and the gain on redemption of the Company's Series A Preferred Stock. For the six months ended June 30, 2024, SG&amp;A expenses, income from operations, other non-operating (income) expense, the provision for income taxes, net income attributable to common stockholders, and earnings per diluted share have been adjusted to exclude the loss on abandonment of assets, digital transformation costs, restructuring costs, excise taxes on excess pension plan assets, the gain recognized on the divestiture of the WIS business, the loss on termination of business arrangement, pension settlement cost, and the related income tax effects. These non-GAAP financial measures provide a better understanding of our financial results on a comparable basis.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liquidity needs generally arise from fluctuations in our working capital requirements, information technology investments, capital expenditures, acquisitions, the payment of dividends, and debt service obligations. As of June 30, 2025, we had approximately $1.2 billion in available borrowing capacity under our Revolving Credit Facility, after giving effect to outstanding letters of credit and certain borrowings under our international lines of credit, and $250.0 million of available borrowing capacity under our Receivables Facility, which combined with available cash of $350.5 million, provided liquidity of approximately $1.8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described in Note 9, “Debt” of our Notes to the unaudited Condensed Consolidated Financial Statements, on March 6, 2025, Wesco Distribution issued $800 million aggregate principal amount of 6.375% senior notes due 2033 (the “2033 Notes”). We used the net proceeds from the issuance of the 2033 Notes to redeem all of the Company’s outstanding Series A Preferred Stock and all of the related depositary shares representing fractional interests in the Series A Preferred Stock in June 2025, and to repay a portion of the amounts outstanding under the Revolving Credit Facility. Prior to redeeming the Series A Preferred Stock, we used the net proceeds to temporarily repay all of the outstanding borrowings under our Revolving Credit Facility and to repay a portion of the amounts outstanding under our Receivables Facility. We subsequently redrew under the Receivables Facility and the Revolving Credit Facility in an aggregate amount sufficient to redeem the Series A Preferred Stock.</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in the first six months of 2025 after the Federal Reserve reduced its benchmark interest rate by a total of 100 basis points in the second half of 2024. Future interest rate changes would raise or lower the rates we pay on our variable rate debt and would contribute to fluctuations in interest expense versus prior periods.</w:t>
      </w:r>
    </w:p>
    <w:p>
      <w:pPr>
        <w:spacing w:after="0" w:line="7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June 30, 2025, approximately 68% of our debt portfolio consisted of fixed rate debt. We believe our capital structure has an appropriate mix of fixed versus variable rate debt and secured versus unsecured instruments.</w:t>
      </w:r>
    </w:p>
    <w:p>
      <w:pPr>
        <w:spacing w:after="0" w:line="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Over the next several quarters, we expect that our excess liquidity will be directed primarily at share repurchases, the payment of dividends, debt reduction,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the first six months of 2025, future market disruptions could occur which could potentially affect our liquidity. We believe cash provided by operations and financing activities will be adequate to cover our operational and business needs for at least the next twelve months.</w:t>
      </w:r>
    </w:p>
    <w:p>
      <w:pPr>
        <w:spacing w:after="0" w:line="7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communicate on a regular basis with our lenders regarding our financial and working capital performance, and liquidity position. We were in compliance with all financial covenants and restrictions contained in our debt agreements as of June 30, 2025.</w:t>
      </w:r>
    </w:p>
    <w:p>
      <w:pPr>
        <w:spacing w:after="0" w:line="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also measure our ability to meet our debt obligations based on our financial leverage ratio, which was 3.4x as of June 30, 2025 and 2.9x as of December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financial leverage ratio, which is a non-GAAP financial measure, for the periods presented:</w:t>
      </w:r>
    </w:p>
    <w:p>
      <w:pPr>
        <w:spacing w:after="0" w:line="106"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4040" w:type="dxa"/>
            <w:vAlign w:val="bottom"/>
            <w:tcBorders>
              <w:bottom w:val="single" w:sz="8" w:color="auto"/>
            </w:tcBorders>
            <w:gridSpan w:val="5"/>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6460" w:type="dxa"/>
            <w:vAlign w:val="bottom"/>
          </w:tcPr>
          <w:p>
            <w:pPr>
              <w:spacing w:after="0"/>
              <w:rPr>
                <w:sz w:val="13"/>
                <w:szCs w:val="13"/>
                <w:color w:val="auto"/>
              </w:rPr>
            </w:pPr>
          </w:p>
        </w:tc>
        <w:tc>
          <w:tcPr>
            <w:tcW w:w="13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61"/>
        </w:trPr>
        <w:tc>
          <w:tcPr>
            <w:tcW w:w="64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redemption of Series A Preferred Stock</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07"/>
        </w:trPr>
        <w:tc>
          <w:tcPr>
            <w:tcW w:w="64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1,413.6</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1,499.1</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income, net</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Digital transformation costs</w:t>
            </w:r>
            <w:r>
              <w:rPr>
                <w:rFonts w:ascii="Times New Roman" w:cs="Times New Roman" w:eastAsia="Times New Roman" w:hAnsi="Times New Roman"/>
                <w:sz w:val="21"/>
                <w:szCs w:val="21"/>
                <w:color w:val="auto"/>
                <w:vertAlign w:val="superscript"/>
              </w:rPr>
              <w:t>(1)</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6"/>
        </w:trPr>
        <w:tc>
          <w:tcPr>
            <w:tcW w:w="64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Restructuring costs</w:t>
            </w:r>
            <w:r>
              <w:rPr>
                <w:rFonts w:ascii="Times New Roman" w:cs="Times New Roman" w:eastAsia="Times New Roman" w:hAnsi="Times New Roman"/>
                <w:sz w:val="21"/>
                <w:szCs w:val="21"/>
                <w:color w:val="auto"/>
                <w:vertAlign w:val="superscript"/>
              </w:rPr>
              <w:t>(2)</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Cloud computing arrangement amortization</w:t>
            </w:r>
            <w:r>
              <w:rPr>
                <w:rFonts w:ascii="Times New Roman" w:cs="Times New Roman" w:eastAsia="Times New Roman" w:hAnsi="Times New Roman"/>
                <w:sz w:val="21"/>
                <w:szCs w:val="21"/>
                <w:color w:val="auto"/>
                <w:vertAlign w:val="superscript"/>
              </w:rPr>
              <w:t>(3)</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6"/>
        </w:trPr>
        <w:tc>
          <w:tcPr>
            <w:tcW w:w="64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Loss on abandonment of assets</w:t>
            </w:r>
            <w:r>
              <w:rPr>
                <w:rFonts w:ascii="Times New Roman" w:cs="Times New Roman" w:eastAsia="Times New Roman" w:hAnsi="Times New Roman"/>
                <w:sz w:val="21"/>
                <w:szCs w:val="21"/>
                <w:color w:val="auto"/>
                <w:vertAlign w:val="superscript"/>
              </w:rPr>
              <w:t>(4)</w:t>
            </w:r>
          </w:p>
        </w:tc>
        <w:tc>
          <w:tcPr>
            <w:tcW w:w="13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Excise taxes on excess pension plan assets</w:t>
            </w:r>
            <w:r>
              <w:rPr>
                <w:rFonts w:ascii="Times New Roman" w:cs="Times New Roman" w:eastAsia="Times New Roman" w:hAnsi="Times New Roman"/>
                <w:sz w:val="21"/>
                <w:szCs w:val="21"/>
                <w:color w:val="auto"/>
                <w:vertAlign w:val="superscript"/>
              </w:rPr>
              <w:t>(5)</w:t>
            </w:r>
          </w:p>
        </w:tc>
        <w:tc>
          <w:tcPr>
            <w:tcW w:w="1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0"/>
        </w:trPr>
        <w:tc>
          <w:tcPr>
            <w:tcW w:w="64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60" w:type="dxa"/>
            <w:vAlign w:val="bottom"/>
            <w:tcBorders>
              <w:bottom w:val="single" w:sz="8" w:color="auto"/>
            </w:tcBorders>
          </w:tcPr>
          <w:p>
            <w:pPr>
              <w:spacing w:after="0"/>
              <w:rPr>
                <w:sz w:val="18"/>
                <w:szCs w:val="18"/>
                <w:color w:val="auto"/>
              </w:rPr>
            </w:pPr>
          </w:p>
        </w:tc>
      </w:tr>
      <w:tr>
        <w:trPr>
          <w:trHeight w:val="158"/>
        </w:trPr>
        <w:tc>
          <w:tcPr>
            <w:tcW w:w="6460" w:type="dxa"/>
            <w:vAlign w:val="bottom"/>
          </w:tcPr>
          <w:p>
            <w:pPr>
              <w:spacing w:after="0"/>
              <w:rPr>
                <w:sz w:val="13"/>
                <w:szCs w:val="13"/>
                <w:color w:val="auto"/>
              </w:rPr>
            </w:pPr>
          </w:p>
        </w:tc>
        <w:tc>
          <w:tcPr>
            <w:tcW w:w="13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4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Short-term debt and current portion of long-term debt, net</w:t>
            </w: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3"/>
        </w:trPr>
        <w:tc>
          <w:tcPr>
            <w:tcW w:w="6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debt, net</w:t>
            </w: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5,045.5</w:t>
            </w:r>
          </w:p>
        </w:tc>
      </w:tr>
      <w:tr>
        <w:trPr>
          <w:trHeight w:val="219"/>
        </w:trPr>
        <w:tc>
          <w:tcPr>
            <w:tcW w:w="646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Debt issuance costs and debt discount</w:t>
            </w:r>
            <w:r>
              <w:rPr>
                <w:rFonts w:ascii="Times New Roman" w:cs="Times New Roman" w:eastAsia="Times New Roman" w:hAnsi="Times New Roman"/>
                <w:sz w:val="21"/>
                <w:szCs w:val="21"/>
                <w:color w:val="auto"/>
                <w:vertAlign w:val="superscript"/>
              </w:rPr>
              <w:t>(6)</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6"/>
        </w:trPr>
        <w:tc>
          <w:tcPr>
            <w:tcW w:w="64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Fair value adjustments to the Anixter Senior Notes</w:t>
            </w:r>
            <w:r>
              <w:rPr>
                <w:rFonts w:ascii="Times New Roman" w:cs="Times New Roman" w:eastAsia="Times New Roman" w:hAnsi="Times New Roman"/>
                <w:sz w:val="21"/>
                <w:szCs w:val="21"/>
                <w:color w:val="auto"/>
                <w:vertAlign w:val="superscript"/>
              </w:rPr>
              <w:t>(6)</w:t>
            </w:r>
          </w:p>
        </w:tc>
        <w:tc>
          <w:tcPr>
            <w:tcW w:w="13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9"/>
        </w:trPr>
        <w:tc>
          <w:tcPr>
            <w:tcW w:w="64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debt</w:t>
            </w:r>
          </w:p>
        </w:tc>
        <w:tc>
          <w:tcPr>
            <w:tcW w:w="1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5,112.1</w:t>
            </w:r>
          </w:p>
        </w:tc>
      </w:tr>
      <w:tr>
        <w:trPr>
          <w:trHeight w:val="230"/>
        </w:trPr>
        <w:tc>
          <w:tcPr>
            <w:tcW w:w="64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702.6</w:t>
            </w:r>
          </w:p>
        </w:tc>
      </w:tr>
      <w:tr>
        <w:trPr>
          <w:trHeight w:val="235"/>
        </w:trPr>
        <w:tc>
          <w:tcPr>
            <w:tcW w:w="6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debt, net of cash</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leverage ratio</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104"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Digital transformation costs include costs associated with certain digital transformation initiatives.</w:t>
      </w:r>
    </w:p>
    <w:p>
      <w:pPr>
        <w:spacing w:after="0" w:line="5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Restructuring costs include severance costs incurred pursuant to an ongoing restructuring plan.</w:t>
      </w:r>
    </w:p>
    <w:p>
      <w:pPr>
        <w:spacing w:after="0" w:line="50" w:lineRule="exact"/>
        <w:rPr>
          <w:rFonts w:ascii="Times New Roman" w:cs="Times New Roman" w:eastAsia="Times New Roman" w:hAnsi="Times New Roman"/>
          <w:sz w:val="21"/>
          <w:szCs w:val="21"/>
          <w:color w:val="auto"/>
          <w:vertAlign w:val="superscript"/>
        </w:rPr>
      </w:pPr>
    </w:p>
    <w:p>
      <w:pPr>
        <w:ind w:left="260" w:hanging="252"/>
        <w:spacing w:after="0" w:line="222" w:lineRule="auto"/>
        <w:tabs>
          <w:tab w:leader="none" w:pos="2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Cloud computing arrangement amortization consists of expense recognized in selling, general and administrative expenses for capitalized implementation costs for cloud computing arrangements to support our digital transformation initiatives.</w:t>
      </w:r>
    </w:p>
    <w:p>
      <w:pPr>
        <w:spacing w:after="0" w:line="33" w:lineRule="exact"/>
        <w:rPr>
          <w:rFonts w:ascii="Times New Roman" w:cs="Times New Roman" w:eastAsia="Times New Roman" w:hAnsi="Times New Roman"/>
          <w:sz w:val="21"/>
          <w:szCs w:val="21"/>
          <w:color w:val="auto"/>
          <w:vertAlign w:val="superscript"/>
        </w:rPr>
      </w:pPr>
    </w:p>
    <w:p>
      <w:pPr>
        <w:ind w:left="260" w:hanging="252"/>
        <w:spacing w:after="0" w:line="232" w:lineRule="auto"/>
        <w:tabs>
          <w:tab w:leader="none" w:pos="2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spacing w:after="0" w:line="34" w:lineRule="exact"/>
        <w:rPr>
          <w:rFonts w:ascii="Times New Roman" w:cs="Times New Roman" w:eastAsia="Times New Roman" w:hAnsi="Times New Roman"/>
          <w:sz w:val="21"/>
          <w:szCs w:val="21"/>
          <w:color w:val="auto"/>
          <w:vertAlign w:val="superscript"/>
        </w:rPr>
      </w:pPr>
    </w:p>
    <w:p>
      <w:pPr>
        <w:ind w:left="260" w:right="20" w:hanging="252"/>
        <w:spacing w:after="0" w:line="225" w:lineRule="auto"/>
        <w:tabs>
          <w:tab w:leader="none" w:pos="2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Excise taxes on excess pension plan assets represent the excise taxes applicable to the excess pension plan assets following the final settlement of the Company's U.S. pension plan.</w:t>
      </w:r>
    </w:p>
    <w:p>
      <w:pPr>
        <w:spacing w:after="0" w:line="46" w:lineRule="exact"/>
        <w:rPr>
          <w:rFonts w:ascii="Times New Roman" w:cs="Times New Roman" w:eastAsia="Times New Roman" w:hAnsi="Times New Roman"/>
          <w:sz w:val="21"/>
          <w:szCs w:val="21"/>
          <w:color w:val="auto"/>
          <w:vertAlign w:val="superscript"/>
        </w:rPr>
      </w:pPr>
    </w:p>
    <w:p>
      <w:pPr>
        <w:ind w:left="260" w:hanging="252"/>
        <w:spacing w:after="0" w:line="225" w:lineRule="auto"/>
        <w:tabs>
          <w:tab w:leader="none" w:pos="248"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 presented in the condensed consolidated balance sheets net of debt issuance and debt discount costs, and includes adjustments to record the long-term debt assumed in the merger with Anixter at its acquisition date fair value.</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Note: Financial leverage ratio is a non-GAAP measure of the use of debt. Financial leverage ratio is calculated by dividing total debt, excluding debt issuance costs, debt discount and fair value adjustments, net of cash, by adjusted EBITDA. EBITDA is defined as the trailing twelve months earnings before interest, taxes,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Most of the undistributed earnings of our foreign subsidiaries have been taxed in the U.S. under either the one-time tax imposed on the deemed repatriation of undistributed foreign earnings (the “transition tax”), or the global intangible low-taxed income tax regime imposed by the Tax Cuts and Jobs Act of 2017. However, the distribution of earnings by our foreign subsidiaries in the form of dividends, or otherwise, may be subject to additional taxation. We believe that we are able to maintain sufficient liquidity for our domestic operations and commitments without repatriating cash from our foreign subsidiaries. Therefore, we continue to assert that the remaining undistributed earnings of our foreign subsidiaries are indefinitely reinvested.</w:t>
      </w:r>
    </w:p>
    <w:p>
      <w:pPr>
        <w:spacing w:after="0" w:line="7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As of June 30, 2025, we had $475.0 million outstanding on the Revolving Credit Facility and $1,300.0 million outstanding under the Receivables Facility. The maximum borrowing limits of our international lines of credit vary by facility and range between $0.6 million and $9.5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As of June 30, 2025, we had $5.6 million outstanding under our international lines of credit.</w:t>
      </w:r>
    </w:p>
    <w:p>
      <w:pPr>
        <w:spacing w:after="0" w:line="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information regarding amendments to the Receivables Facility and Revolving Credit Facility as well as disclosure of our debt instruments, including our outstanding indebtedness as of June 30, 2025, see Note 9, “Debt” of our Notes to the unaudited Condensed Consolidated Financial Statements.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 analysis of cash flow for the first six months of 2025 and 2024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2025 totaled $135.8 million, compared to $522.5 million for the first six months of 2024. Net cash provided by operating activities for the first six months of 2025 included net income of $293.1 million and non-cash adjustments to net income totaling $130.0 million, which primarily comprised depreciation and amortization, stock-based compensation expense, and amortization of debt issuance costs and debt discount.</w:t>
      </w:r>
    </w:p>
    <w:p>
      <w:pPr>
        <w:spacing w:after="0" w:line="7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Other sources of cash in the first six months of 2025 primarily included an increase in accounts payable of $574.7 million primarily due to the increase in inventory, as well as the timing of purchases and payment to suppliers, and an increase in other current and noncurrent liabilities of $21.9 million, primarily due to increases in accrued interest payable and accrued legal expenses. Primary uses of cash in the first six months of 2025 included an increase in trade accounts receivable of $431.2 million due to significant growth in sales in the CSS segment, as well as the timing of receipts from customers, and an increase in inventories of $403.1 million, primarily due to an increase in volume related to ongoing projects and stock replenishment. Uses of cash in the first six months of 2025 also included a decrease in accrued payroll and benefit costs of $38.0 million primarily due to the payment of management incentive compensation earned in 2024 and a decrease in accrued incentives, and an increase in other current and noncurrent assets of $24.4 million primarily due to increases in capitalized costs associated with developing cloud computing arrangements.</w:t>
      </w:r>
    </w:p>
    <w:p>
      <w:pPr>
        <w:spacing w:after="0" w:line="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2024 included net income of $348.9 million and non-cash adjustments to net income totaling $32.1 million, which primarily comprised depreciation and amortization, a loss on abandonment of assets, stock-based compensation expense, amortization of debt discount and debt issuance costs, a loss recognized on the extinguishment of debt, and pension settlement costs, partially offset by a gain resulting from the divestiture of the WIS business, as described in Note 4, “Acquisitions and Divestitures”.</w:t>
      </w:r>
    </w:p>
    <w:p>
      <w:pPr>
        <w:spacing w:after="0" w:line="7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Other sources of cash in the first six months of 2024 included an increase in accounts payable of $341.9 million primarily due to the timing of inventory purchases and payment to suppliers, an increase in other current and noncurrent liabilities of $69.6 million, due to increases in accrued interest payable, deferred revenue, and federal income taxes payable, and a decrease in other accounts receivable of $60.7 million primarily due to the collection of supplier volume rebates earned in 2023 in excess of income accrued during the current period. Net operating cash flow was also positively impacted by $18.9 million from a decrease in inventories. Primary uses of cash in the first six months of 2024 included an increase in trade accounts receivable of $258.8 million due to the timing of receipts from customers, and an increase in other current and noncurrent assets of $90.0 million primarily due to an increase in supplier prepayments, capitalized costs associated with developing cloud computing arrangements, and an increase in federal income taxes receivable.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first six months of 2025 was $76.9 million compared to $269.1 million provided by investing activities in the first six months of 2024. Included in the first six months of 2025 were capital expenditures of $42.2 million, which primarily comprised leasehold improvements and equipment to support our global network of locations, and internal-use computer software and information technology hardware to support our digital transformation initiatives, as well as $36.3 million paid to acquire Industrial Software Solutions, net of cash acquired.</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Included in net cash provided by investing activities in the first six months of 2024 were $334.2 million in proceeds from the divestiture of the WIS business, net of cash transferred, partially offset by $30.1 million paid to acquire entroCIM, as well as capital expenditures of $41.2 million. Capital expenditures in the first six months of 2024 primarily comprised internal-use computer software and information technology hardware to support our digital transformation initiatives, as well as equipment and leasehold improvements to support our global network of locations.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first six months of 2025 was $108.3 million, compared to $581.4 million during the first six months of 2024. During the first six months of 2025, financing activities primarily comprised the proceeds of $800.0 million related to the issuance of the 2033 Notes, net repayments of $150.0 million related to our Receivables Facility, net repayments of $50.0 million related to our Revolving Credit Facility, and payment of total debt issuance costs of $14.0 million related to the issuance of the 2033 Notes and amendments to the Revolving Credit Facility and Receivables Facility. The first six months of 2025 also included $540.3 million paid to redeem our Series A Preferred Stock, $50.0 million of common stock repurchases, $44.2 million and $27.3 million of dividends paid to holders of our common stock and Series A Preferred Stock, respectively, and $18.4 million of payments for taxes related to the exercise and vesting of stock-based awards.</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During the first six months of 2024, financing activities primarily comprised the redemption of our $1,500.0 million aggregate principal amount of 2025 Notes, proceeds of $900.0 million and $850.0 million related to the issuance of the 2029 Notes and 2032 Notes, respectively, net repayments of $328.0 million related to our Revolving Credit Facility, net repayments of $40.0 million related to our Receivables Facility, and payment of total debt issuance costs of $26.6 million related to the issuance of the 2029 and 2032 Notes and amendments to the Revolving Credit Facility and Receivables Facility. The first six months of 2024 also included $350.0 million of common stock repurchases, $41.2 million and $28.7 million of dividends paid to holders of our common stock and Series A Preferred Stock, respectively, and $26.0 million of payments for taxes related to the exercise and vesting of stock-based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Cash Obligations and Other Commercial Commitments</w:t>
      </w:r>
    </w:p>
    <w:p>
      <w:pPr>
        <w:spacing w:after="0" w:line="11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contractual obligations and other commercial commitments that would require an update to the disclosure provided in our Annual Report on Form 10-K for the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estimates disclosed in Part II, Item 7. “Management’s Discussion and Analysis of Financial Condition and Results of Operations” of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2, “Accounting Policies” of our Notes to the unaudited Condensed Consolidated Financial Statements for a description of recently adopted and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spacing w:after="0" w:line="15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i w:val="1"/>
          <w:iCs w:val="1"/>
          <w:color w:val="auto"/>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sustainability and environmental protection; the inability to successfully develop, manage or implement new technology initiatives or business strategies, including with respect to the expansion of e-commerce capabilities and other digital solutions and digitalization initiatives; disruption of information technology systems or operations; natural disasters (including as a result of climate change), health epidemics, pandemics and other outbreaks; supply chain disruptions; geopolitical issues, including the impact of the evolving conflicts in the Middle East and Russia/Ukraine; the impact of sanctions imposed on, or other actions taken by the U.S. or other countries against, Russia or China;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121"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For a discussion of changes to the market risks that were previously disclosed in our Annual Report on Form 10-K for the fiscal year ended December 31, 2024, refer to Part I, Item 2, “Management’s Discussion and Analysis of Financial Condition and Results of Operations” and to Part II, Item 1A, “Risk Factors”.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spacing w:after="0" w:line="75"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quarterly period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3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quarterly period ended June 30, 2025, the Company reached certain milestones as it relates to the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set forth in Note 12, “Commitments and Contingencies” to the Notes to the unaudited Condensed Consolidated Financial Statements, 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Item 1A. to Part I of WESCO International, Inc.’s Annual Report on Form 10-K for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all issuer purchases of common stock during the three months ended June 30, 2025:</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8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820" w:type="dxa"/>
            <w:vAlign w:val="bottom"/>
          </w:tcPr>
          <w:p>
            <w:pPr>
              <w:jc w:val="right"/>
              <w:ind w:right="436"/>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20" w:type="dxa"/>
            <w:vAlign w:val="bottom"/>
          </w:tcPr>
          <w:p>
            <w:pPr>
              <w:jc w:val="center"/>
              <w:spacing w:after="0" w:line="191"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39"/>
              <w:spacing w:after="0" w:line="191"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 2025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2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149,262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260" w:right="20" w:hanging="252"/>
        <w:spacing w:after="0" w:line="231" w:lineRule="auto"/>
        <w:tabs>
          <w:tab w:leader="none" w:pos="245"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were 1,962 shares purchased during the quarterly period ended June 30, 2025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spacing w:after="0" w:line="101" w:lineRule="exact"/>
        <w:rPr>
          <w:rFonts w:ascii="Times New Roman" w:cs="Times New Roman" w:eastAsia="Times New Roman" w:hAnsi="Times New Roman"/>
          <w:sz w:val="21"/>
          <w:szCs w:val="21"/>
          <w:color w:val="auto"/>
          <w:vertAlign w:val="superscript"/>
        </w:rPr>
      </w:pPr>
    </w:p>
    <w:p>
      <w:pPr>
        <w:jc w:val="both"/>
        <w:ind w:left="260" w:right="20" w:hanging="252"/>
        <w:spacing w:after="0" w:line="239" w:lineRule="auto"/>
        <w:tabs>
          <w:tab w:leader="none" w:pos="272"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31, 2022, Wesco’s Board of Directors authorized the repurchase of up to $1 billion of the Company’s common stock and Series A Preferred Stock. The share repurchase authorization has no expiration date and may be modified, suspended, or terminated at any time without prior notice. During the three months ended June 30, 2025, the Company entered into spot repurchase transactions through brokers to purchase 147,300 shares of its common stock in the open market for cash totaling $25.0 million. Wesco funded the repurchases with available cash and borrowings under its accounts receivable securitization and revolving credit facilities.</w:t>
      </w:r>
    </w:p>
    <w:p>
      <w:pPr>
        <w:spacing w:after="0" w:line="82" w:lineRule="exact"/>
        <w:rPr>
          <w:rFonts w:ascii="Times New Roman" w:cs="Times New Roman" w:eastAsia="Times New Roman" w:hAnsi="Times New Roman"/>
          <w:sz w:val="21"/>
          <w:szCs w:val="21"/>
          <w:color w:val="auto"/>
          <w:vertAlign w:val="superscript"/>
        </w:rPr>
      </w:pPr>
    </w:p>
    <w:p>
      <w:pPr>
        <w:ind w:left="2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following table sets forth all issuer purchases of Series A Preferred Stock during the three months ended June 30,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Total Number of Shares</w:t>
      </w:r>
      <w:r>
        <w:rPr>
          <w:sz w:val="20"/>
          <w:szCs w:val="20"/>
          <w:color w:val="auto"/>
        </w:rPr>
        <w:tab/>
      </w:r>
      <w:r>
        <w:rPr>
          <w:rFonts w:ascii="Times New Roman" w:cs="Times New Roman" w:eastAsia="Times New Roman" w:hAnsi="Times New Roman"/>
          <w:sz w:val="14"/>
          <w:szCs w:val="14"/>
          <w:b w:val="1"/>
          <w:bCs w:val="1"/>
          <w:color w:val="auto"/>
        </w:rPr>
        <w:t>Average Price Paid Per</w:t>
      </w:r>
    </w:p>
    <w:p>
      <w:pPr>
        <w:spacing w:after="0" w:line="6" w:lineRule="exact"/>
        <w:rPr>
          <w:sz w:val="20"/>
          <w:szCs w:val="20"/>
          <w:color w:val="auto"/>
        </w:rPr>
      </w:pPr>
    </w:p>
    <w:p>
      <w:pPr>
        <w:ind w:left="4120"/>
        <w:spacing w:after="0"/>
        <w:tabs>
          <w:tab w:leader="none" w:pos="6180" w:val="left"/>
        </w:tabs>
        <w:rPr>
          <w:sz w:val="20"/>
          <w:szCs w:val="20"/>
          <w:color w:val="auto"/>
        </w:rPr>
      </w:pPr>
      <w:r>
        <w:rPr>
          <w:rFonts w:ascii="Times New Roman" w:cs="Times New Roman" w:eastAsia="Times New Roman" w:hAnsi="Times New Roman"/>
          <w:sz w:val="14"/>
          <w:szCs w:val="14"/>
          <w:b w:val="1"/>
          <w:bCs w:val="1"/>
          <w:color w:val="auto"/>
        </w:rPr>
        <w:t>Purchased</w:t>
      </w:r>
      <w:r>
        <w:rPr>
          <w:sz w:val="20"/>
          <w:szCs w:val="20"/>
          <w:color w:val="auto"/>
        </w:rPr>
        <w:tab/>
      </w:r>
      <w:r>
        <w:rPr>
          <w:rFonts w:ascii="Times New Roman" w:cs="Times New Roman" w:eastAsia="Times New Roman" w:hAnsi="Times New Roman"/>
          <w:sz w:val="14"/>
          <w:szCs w:val="14"/>
          <w:b w:val="1"/>
          <w:bCs w:val="1"/>
          <w:color w:val="auto"/>
        </w:rPr>
        <w:t>Share</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8"/>
        </w:trPr>
        <w:tc>
          <w:tcPr>
            <w:tcW w:w="1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46"/>
        </w:trPr>
        <w:tc>
          <w:tcPr>
            <w:tcW w:w="18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84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r>
      <w:tr>
        <w:trPr>
          <w:trHeight w:val="190"/>
        </w:trPr>
        <w:tc>
          <w:tcPr>
            <w:tcW w:w="18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r>
      <w:tr>
        <w:trPr>
          <w:trHeight w:val="191"/>
        </w:trPr>
        <w:tc>
          <w:tcPr>
            <w:tcW w:w="1860" w:type="dxa"/>
            <w:vAlign w:val="bottom"/>
          </w:tcPr>
          <w:p>
            <w:pPr>
              <w:spacing w:after="0"/>
              <w:rPr>
                <w:sz w:val="16"/>
                <w:szCs w:val="16"/>
                <w:color w:val="auto"/>
              </w:rPr>
            </w:pPr>
          </w:p>
        </w:tc>
        <w:tc>
          <w:tcPr>
            <w:tcW w:w="18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3" w:lineRule="exact"/>
        <w:rPr>
          <w:sz w:val="20"/>
          <w:szCs w:val="20"/>
          <w:color w:val="auto"/>
        </w:rPr>
      </w:pPr>
    </w:p>
    <w:p>
      <w:pPr>
        <w:sectPr>
          <w:pgSz w:w="11900" w:h="16838" w:orient="portrait"/>
          <w:cols w:equalWidth="0" w:num="2">
            <w:col w:w="7080" w:space="340"/>
            <w:col w:w="3820"/>
          </w:cols>
          <w:pgMar w:left="320" w:top="117" w:right="339" w:bottom="1440" w:gutter="0" w:footer="0" w:header="0"/>
          <w:type w:val="continuous"/>
        </w:sectPr>
      </w:pPr>
    </w:p>
    <w:tbl>
      <w:tblPr>
        <w:tblLayout w:type="fixed"/>
        <w:tblInd w:w="340" w:type="dxa"/>
        <w:tblCellMar>
          <w:top w:w="0" w:type="dxa"/>
          <w:left w:w="0" w:type="dxa"/>
          <w:bottom w:w="0" w:type="dxa"/>
          <w:right w:w="0" w:type="dxa"/>
        </w:tblCellMar>
      </w:tblPr>
      <w:tr>
        <w:trPr>
          <w:trHeight w:val="24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2025</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 2025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6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21,612</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left="260" w:hanging="252"/>
        <w:spacing w:after="0" w:line="245" w:lineRule="auto"/>
        <w:tabs>
          <w:tab w:leader="none" w:pos="25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June 22, 2025, after receiving prior authorization from Wesco's Board of Directors, separate from the May 31, 2022 share purchase authorization noted above, the Company redeemed all 21,612 outstanding shares of its Series A Preferred Stock, and the related depositary shares, each representing 1/1,000th of one share of Series A Preferred Stock, at a redemption price of $25,000 per share, totaling $540.3 million. This redemption did not impact the approximate dollar value of shares that may be repurchased under the May 31, 2022 program. Wesco funded the redemption with borrowings under its accounts receivable securitization and revolving credit facilities, which had been partially repaid with the net proceeds from the issuance of its 6.375% senior notes due 2033 in the first quarter of 2025 and subsequently redrawn for this redemption.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No.</w:t>
            </w:r>
          </w:p>
        </w:tc>
        <w:tc>
          <w:tcPr>
            <w:tcW w:w="68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Prior Filing or Sequential Page Number</w:t>
            </w:r>
          </w:p>
        </w:tc>
      </w:tr>
      <w:tr>
        <w:trPr>
          <w:trHeight w:val="23"/>
        </w:trPr>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183"/>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820" w:type="dxa"/>
            <w:vAlign w:val="bottom"/>
            <w:gridSpan w:val="12"/>
          </w:tcPr>
          <w:p>
            <w:pPr>
              <w:spacing w:after="0" w:line="18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Amendment of Restated Certificate of Incorporation of WESCO International,</w:t>
              </w:r>
            </w:hyperlink>
          </w:p>
        </w:tc>
        <w:tc>
          <w:tcPr>
            <w:tcW w:w="32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Incorporated by reference to</w:t>
            </w:r>
          </w:p>
        </w:tc>
      </w:tr>
      <w:tr>
        <w:trPr>
          <w:trHeight w:val="156"/>
        </w:trPr>
        <w:tc>
          <w:tcPr>
            <w:tcW w:w="1140" w:type="dxa"/>
            <w:vAlign w:val="bottom"/>
          </w:tcPr>
          <w:p>
            <w:pPr>
              <w:spacing w:after="0"/>
              <w:rPr>
                <w:sz w:val="13"/>
                <w:szCs w:val="13"/>
                <w:color w:val="auto"/>
              </w:rPr>
            </w:pPr>
          </w:p>
        </w:tc>
        <w:tc>
          <w:tcPr>
            <w:tcW w:w="66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Inc.</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ind w:left="80"/>
              <w:spacing w:after="0" w:line="156" w:lineRule="exact"/>
              <w:rPr>
                <w:sz w:val="20"/>
                <w:szCs w:val="20"/>
                <w:color w:val="auto"/>
              </w:rPr>
            </w:pPr>
            <w:r>
              <w:rPr>
                <w:rFonts w:ascii="Times New Roman" w:cs="Times New Roman" w:eastAsia="Times New Roman" w:hAnsi="Times New Roman"/>
                <w:sz w:val="18"/>
                <w:szCs w:val="18"/>
                <w:color w:val="auto"/>
              </w:rPr>
              <w:t>Exhibit 3.1 to Wesco's Current</w:t>
            </w:r>
          </w:p>
        </w:tc>
      </w:tr>
      <w:tr>
        <w:trPr>
          <w:trHeight w:val="214"/>
        </w:trPr>
        <w:tc>
          <w:tcPr>
            <w:tcW w:w="114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 on Form 8-K, dated July 16, 2025</w:t>
            </w:r>
          </w:p>
        </w:tc>
      </w:tr>
      <w:tr>
        <w:trPr>
          <w:trHeight w:val="23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6820" w:type="dxa"/>
            <w:vAlign w:val="bottom"/>
            <w:gridSpan w:val="12"/>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Restated Certificate of Incorporation of WESCO International, Inc.</w:t>
              </w:r>
            </w:hyperlink>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Incorporated by reference to</w:t>
            </w:r>
          </w:p>
        </w:tc>
      </w:tr>
      <w:tr>
        <w:trPr>
          <w:trHeight w:val="151"/>
        </w:trPr>
        <w:tc>
          <w:tcPr>
            <w:tcW w:w="11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780" w:type="dxa"/>
            <w:vAlign w:val="bottom"/>
            <w:tcBorders>
              <w:top w:val="single" w:sz="8" w:color="0000FF"/>
            </w:tcBorders>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ind w:left="80"/>
              <w:spacing w:after="0" w:line="150" w:lineRule="exact"/>
              <w:rPr>
                <w:sz w:val="20"/>
                <w:szCs w:val="20"/>
                <w:color w:val="auto"/>
              </w:rPr>
            </w:pPr>
            <w:r>
              <w:rPr>
                <w:rFonts w:ascii="Times New Roman" w:cs="Times New Roman" w:eastAsia="Times New Roman" w:hAnsi="Times New Roman"/>
                <w:sz w:val="17"/>
                <w:szCs w:val="17"/>
                <w:color w:val="auto"/>
              </w:rPr>
              <w:t>Exhibit 3.2 to Wesco's Current</w:t>
            </w:r>
          </w:p>
        </w:tc>
      </w:tr>
      <w:tr>
        <w:trPr>
          <w:trHeight w:val="234"/>
        </w:trPr>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 on Form 8-K, dated July 16, 2025</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6820" w:type="dxa"/>
            <w:vAlign w:val="bottom"/>
            <w:gridSpan w:val="12"/>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Amended and Restated By-Laws of WESCO International, Inc., effective July 16, 2025</w:t>
              </w:r>
            </w:hyperlink>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Incorporated by reference to</w:t>
            </w:r>
          </w:p>
        </w:tc>
      </w:tr>
      <w:tr>
        <w:trPr>
          <w:trHeight w:val="151"/>
        </w:trPr>
        <w:tc>
          <w:tcPr>
            <w:tcW w:w="114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78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ind w:left="80"/>
              <w:spacing w:after="0" w:line="150" w:lineRule="exact"/>
              <w:rPr>
                <w:sz w:val="20"/>
                <w:szCs w:val="20"/>
                <w:color w:val="auto"/>
              </w:rPr>
            </w:pPr>
            <w:r>
              <w:rPr>
                <w:rFonts w:ascii="Times New Roman" w:cs="Times New Roman" w:eastAsia="Times New Roman" w:hAnsi="Times New Roman"/>
                <w:sz w:val="17"/>
                <w:szCs w:val="17"/>
                <w:color w:val="auto"/>
              </w:rPr>
              <w:t>Exhibit 3.3 to Wesco's Current</w:t>
            </w:r>
          </w:p>
        </w:tc>
      </w:tr>
      <w:tr>
        <w:trPr>
          <w:trHeight w:val="234"/>
        </w:trPr>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 on Form 8-K, dated July 16, 2025</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promulgated under the</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1140" w:type="dxa"/>
            <w:vAlign w:val="bottom"/>
          </w:tcPr>
          <w:p>
            <w:pPr>
              <w:spacing w:after="0"/>
              <w:rPr>
                <w:sz w:val="13"/>
                <w:szCs w:val="13"/>
                <w:color w:val="auto"/>
              </w:rPr>
            </w:pPr>
          </w:p>
        </w:tc>
        <w:tc>
          <w:tcPr>
            <w:tcW w:w="66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Exchange Act.</w:t>
            </w: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promulgated under the</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1140" w:type="dxa"/>
            <w:vAlign w:val="bottom"/>
          </w:tcPr>
          <w:p>
            <w:pPr>
              <w:spacing w:after="0"/>
              <w:rPr>
                <w:sz w:val="13"/>
                <w:szCs w:val="13"/>
                <w:color w:val="auto"/>
              </w:rPr>
            </w:pPr>
          </w:p>
        </w:tc>
        <w:tc>
          <w:tcPr>
            <w:tcW w:w="65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Exchange Act.</w:t>
            </w: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6"/>
        </w:trPr>
        <w:tc>
          <w:tcPr>
            <w:tcW w:w="1140" w:type="dxa"/>
            <w:vAlign w:val="bottom"/>
          </w:tcPr>
          <w:p>
            <w:pPr>
              <w:spacing w:after="0"/>
              <w:rPr>
                <w:sz w:val="13"/>
                <w:szCs w:val="13"/>
                <w:color w:val="auto"/>
              </w:rPr>
            </w:pPr>
          </w:p>
        </w:tc>
        <w:tc>
          <w:tcPr>
            <w:tcW w:w="65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1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7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w:t>
            </w:r>
          </w:p>
        </w:tc>
        <w:tc>
          <w:tcPr>
            <w:tcW w:w="3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6"/>
        </w:trPr>
        <w:tc>
          <w:tcPr>
            <w:tcW w:w="114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2002.</w:t>
            </w: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78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49" w:lineRule="exact"/>
        <w:rPr>
          <w:sz w:val="20"/>
          <w:szCs w:val="20"/>
          <w:color w:val="auto"/>
        </w:rPr>
      </w:pPr>
    </w:p>
    <w:p>
      <w:pPr>
        <w:ind w:left="1140" w:hanging="111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WESCO INTERNATIONAL, INC.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WESCO International, Inc.</w:t>
            </w:r>
          </w:p>
        </w:tc>
        <w:tc>
          <w:tcPr>
            <w:tcW w:w="1100" w:type="dxa"/>
            <w:vAlign w:val="bottom"/>
          </w:tcPr>
          <w:p>
            <w:pPr>
              <w:spacing w:after="0"/>
              <w:rPr>
                <w:sz w:val="20"/>
                <w:szCs w:val="20"/>
                <w:color w:val="auto"/>
              </w:rPr>
            </w:pPr>
          </w:p>
        </w:tc>
      </w:tr>
      <w:tr>
        <w:trPr>
          <w:trHeight w:val="228"/>
        </w:trPr>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1100" w:type="dxa"/>
            <w:vAlign w:val="bottom"/>
          </w:tcPr>
          <w:p>
            <w:pPr>
              <w:spacing w:after="0"/>
              <w:rPr>
                <w:sz w:val="19"/>
                <w:szCs w:val="19"/>
                <w:color w:val="auto"/>
              </w:rPr>
            </w:pPr>
          </w:p>
        </w:tc>
      </w:tr>
      <w:tr>
        <w:trPr>
          <w:trHeight w:val="34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2025</w:t>
            </w:r>
          </w:p>
        </w:tc>
        <w:tc>
          <w:tcPr>
            <w:tcW w:w="6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David S. Schulz</w:t>
            </w:r>
          </w:p>
        </w:tc>
        <w:tc>
          <w:tcPr>
            <w:tcW w:w="1100" w:type="dxa"/>
            <w:vAlign w:val="bottom"/>
          </w:tcPr>
          <w:p>
            <w:pPr>
              <w:spacing w:after="0"/>
              <w:rPr>
                <w:sz w:val="24"/>
                <w:szCs w:val="24"/>
                <w:color w:val="auto"/>
              </w:rPr>
            </w:pPr>
          </w:p>
        </w:tc>
      </w:tr>
      <w:tr>
        <w:trPr>
          <w:trHeight w:val="218"/>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18"/>
                <w:szCs w:val="18"/>
                <w:color w:val="auto"/>
              </w:rPr>
            </w:pPr>
          </w:p>
        </w:tc>
        <w:tc>
          <w:tcPr>
            <w:tcW w:w="5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David S. Schulz</w:t>
            </w:r>
          </w:p>
        </w:tc>
        <w:tc>
          <w:tcPr>
            <w:tcW w:w="1100" w:type="dxa"/>
            <w:vAlign w:val="bottom"/>
            <w:tcBorders>
              <w:top w:val="single" w:sz="8" w:color="auto"/>
            </w:tcBorders>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10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00" w:type="dxa"/>
            <w:vAlign w:val="bottom"/>
          </w:tcPr>
          <w:p>
            <w:pPr>
              <w:spacing w:after="0"/>
              <w:rPr>
                <w:sz w:val="20"/>
                <w:szCs w:val="20"/>
                <w:color w:val="auto"/>
              </w:rPr>
            </w:pPr>
          </w:p>
        </w:tc>
      </w:tr>
      <w:tr>
        <w:trPr>
          <w:trHeight w:val="580"/>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2025</w:t>
            </w:r>
          </w:p>
        </w:tc>
        <w:tc>
          <w:tcPr>
            <w:tcW w:w="6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By: /s/ Matthew S. Kulasa</w:t>
            </w:r>
          </w:p>
        </w:tc>
        <w:tc>
          <w:tcPr>
            <w:tcW w:w="1100" w:type="dxa"/>
            <w:vAlign w:val="bottom"/>
          </w:tcPr>
          <w:p>
            <w:pPr>
              <w:spacing w:after="0"/>
              <w:rPr>
                <w:sz w:val="24"/>
                <w:szCs w:val="24"/>
                <w:color w:val="auto"/>
              </w:rPr>
            </w:pPr>
          </w:p>
        </w:tc>
      </w:tr>
      <w:tr>
        <w:trPr>
          <w:trHeight w:val="218"/>
        </w:trPr>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460" w:type="dxa"/>
            <w:vAlign w:val="bottom"/>
          </w:tcPr>
          <w:p>
            <w:pPr>
              <w:spacing w:after="0"/>
              <w:rPr>
                <w:sz w:val="18"/>
                <w:szCs w:val="18"/>
                <w:color w:val="auto"/>
              </w:rPr>
            </w:pPr>
          </w:p>
        </w:tc>
        <w:tc>
          <w:tcPr>
            <w:tcW w:w="5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Matthew S. Kulasa</w:t>
            </w:r>
          </w:p>
        </w:tc>
        <w:tc>
          <w:tcPr>
            <w:tcW w:w="1100" w:type="dxa"/>
            <w:vAlign w:val="bottom"/>
            <w:tcBorders>
              <w:top w:val="single" w:sz="8" w:color="auto"/>
            </w:tcBorders>
          </w:tcPr>
          <w:p>
            <w:pPr>
              <w:spacing w:after="0"/>
              <w:rPr>
                <w:sz w:val="18"/>
                <w:szCs w:val="18"/>
                <w:color w:val="auto"/>
              </w:rPr>
            </w:pPr>
          </w:p>
        </w:tc>
      </w:tr>
      <w:tr>
        <w:trPr>
          <w:trHeight w:val="229"/>
        </w:trPr>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Controller and Chief Accounting Officer</w:t>
            </w:r>
          </w:p>
        </w:tc>
        <w:tc>
          <w:tcPr>
            <w:tcW w:w="110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 John J. Engel, certify that:</w:t>
      </w:r>
    </w:p>
    <w:p>
      <w:pPr>
        <w:spacing w:after="0" w:line="117" w:lineRule="exact"/>
        <w:rPr>
          <w:sz w:val="20"/>
          <w:szCs w:val="20"/>
          <w:color w:val="auto"/>
        </w:rPr>
      </w:pPr>
    </w:p>
    <w:p>
      <w:pPr>
        <w:ind w:left="400" w:hanging="187"/>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WESCO International, Inc.;</w:t>
      </w:r>
    </w:p>
    <w:p>
      <w:pPr>
        <w:spacing w:after="0" w:line="117" w:lineRule="exact"/>
        <w:rPr>
          <w:rFonts w:ascii="Times New Roman" w:cs="Times New Roman" w:eastAsia="Times New Roman" w:hAnsi="Times New Roman"/>
          <w:sz w:val="18"/>
          <w:szCs w:val="18"/>
          <w:color w:val="auto"/>
        </w:rPr>
      </w:pPr>
    </w:p>
    <w:p>
      <w:pPr>
        <w:ind w:left="-20" w:right="240" w:firstLine="233"/>
        <w:spacing w:after="0" w:line="282" w:lineRule="auto"/>
        <w:tabs>
          <w:tab w:leader="none" w:pos="3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0" w:right="300" w:firstLine="233"/>
        <w:spacing w:after="0" w:line="282" w:lineRule="auto"/>
        <w:tabs>
          <w:tab w:leader="none" w:pos="3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0" w:right="60" w:firstLine="233"/>
        <w:spacing w:after="0" w:line="266" w:lineRule="auto"/>
        <w:tabs>
          <w:tab w:leader="none" w:pos="3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 w:right="20" w:firstLine="233"/>
        <w:spacing w:after="0" w:line="266" w:lineRule="auto"/>
        <w:tabs>
          <w:tab w:leader="none" w:pos="4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 w:firstLine="233"/>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 w:right="80" w:firstLine="233"/>
        <w:spacing w:after="0" w:line="282" w:lineRule="auto"/>
        <w:tabs>
          <w:tab w:leader="none" w:pos="4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0" w:right="120" w:firstLine="233"/>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20" w:right="60" w:firstLine="233"/>
        <w:spacing w:after="0" w:line="282" w:lineRule="auto"/>
        <w:tabs>
          <w:tab w:leader="none" w:pos="3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20" w:firstLine="233"/>
        <w:spacing w:after="0" w:line="282" w:lineRule="auto"/>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right="40" w:firstLine="233"/>
        <w:spacing w:after="0" w:line="282" w:lineRule="auto"/>
        <w:tabs>
          <w:tab w:leader="none" w:pos="4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7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John J. Engel</w:t>
            </w:r>
          </w:p>
        </w:tc>
      </w:tr>
      <w:tr>
        <w:trPr>
          <w:trHeight w:val="218"/>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Engel</w:t>
            </w:r>
          </w:p>
        </w:tc>
      </w:tr>
      <w:tr>
        <w:trPr>
          <w:trHeight w:val="234"/>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1200"/>
          </w:cols>
          <w:pgMar w:left="340" w:top="887" w:right="3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 David S. Schulz, certify that:</w:t>
      </w:r>
    </w:p>
    <w:p>
      <w:pPr>
        <w:spacing w:after="0" w:line="117" w:lineRule="exact"/>
        <w:rPr>
          <w:sz w:val="20"/>
          <w:szCs w:val="20"/>
          <w:color w:val="auto"/>
        </w:rPr>
      </w:pPr>
    </w:p>
    <w:p>
      <w:pPr>
        <w:ind w:left="400" w:hanging="187"/>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WESCO International, Inc.;</w:t>
      </w:r>
    </w:p>
    <w:p>
      <w:pPr>
        <w:spacing w:after="0" w:line="117" w:lineRule="exact"/>
        <w:rPr>
          <w:rFonts w:ascii="Times New Roman" w:cs="Times New Roman" w:eastAsia="Times New Roman" w:hAnsi="Times New Roman"/>
          <w:sz w:val="18"/>
          <w:szCs w:val="18"/>
          <w:color w:val="auto"/>
        </w:rPr>
      </w:pPr>
    </w:p>
    <w:p>
      <w:pPr>
        <w:ind w:left="-20" w:right="240" w:firstLine="233"/>
        <w:spacing w:after="0" w:line="282" w:lineRule="auto"/>
        <w:tabs>
          <w:tab w:leader="none" w:pos="3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20" w:right="300" w:firstLine="233"/>
        <w:spacing w:after="0" w:line="282" w:lineRule="auto"/>
        <w:tabs>
          <w:tab w:leader="none" w:pos="3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20" w:right="60" w:firstLine="233"/>
        <w:spacing w:after="0" w:line="266" w:lineRule="auto"/>
        <w:tabs>
          <w:tab w:leader="none" w:pos="3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 w:right="20" w:firstLine="233"/>
        <w:spacing w:after="0" w:line="266"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0" w:firstLine="233"/>
        <w:spacing w:after="0" w:line="266"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 w:right="80" w:firstLine="233"/>
        <w:spacing w:after="0" w:line="282"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20" w:right="120" w:firstLine="233"/>
        <w:spacing w:after="0" w:line="266"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20" w:right="60" w:firstLine="233"/>
        <w:spacing w:after="0" w:line="282" w:lineRule="auto"/>
        <w:tabs>
          <w:tab w:leader="none" w:pos="3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20" w:firstLine="233"/>
        <w:spacing w:after="0" w:line="282"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20" w:right="40" w:firstLine="233"/>
        <w:spacing w:after="0" w:line="282" w:lineRule="auto"/>
        <w:tabs>
          <w:tab w:leader="none" w:pos="4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7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David S. Schulz</w:t>
            </w:r>
          </w:p>
        </w:tc>
      </w:tr>
      <w:tr>
        <w:trPr>
          <w:trHeight w:val="218"/>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S. Schulz</w:t>
            </w:r>
          </w:p>
        </w:tc>
      </w:tr>
      <w:tr>
        <w:trPr>
          <w:trHeight w:val="234"/>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00"/>
          </w:cols>
          <w:pgMar w:left="340" w:top="887" w:right="359" w:bottom="1440" w:gutter="0" w:footer="0" w:header="0"/>
        </w:sectPr>
      </w:pPr>
    </w:p>
    <w:bookmarkStart w:id="55" w:name="page56"/>
    <w:bookmarkEnd w:id="55"/>
    <w:p>
      <w:pPr>
        <w:ind w:left="51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WESCO International, Inc. (the “Company”) on Form 10-Q for the period ended June 30,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 of the Company.</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7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John J. Engel</w:t>
            </w:r>
          </w:p>
        </w:tc>
      </w:tr>
      <w:tr>
        <w:trPr>
          <w:trHeight w:val="218"/>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J. Engel</w:t>
            </w:r>
          </w:p>
        </w:tc>
      </w:tr>
      <w:tr>
        <w:trPr>
          <w:trHeight w:val="234"/>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1020"/>
          </w:cols>
          <w:pgMar w:left="320" w:top="887" w:right="559" w:bottom="1440" w:gutter="0" w:footer="0" w:header="0"/>
        </w:sectPr>
      </w:pPr>
    </w:p>
    <w:bookmarkStart w:id="56" w:name="page57"/>
    <w:bookmarkEnd w:id="56"/>
    <w:p>
      <w:pPr>
        <w:ind w:left="51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WESCO International, Inc. (the “Company”) on Form 10-Q for the period ended June 30,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 of the Company.</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7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David S. Schulz</w:t>
            </w:r>
          </w:p>
        </w:tc>
      </w:tr>
      <w:tr>
        <w:trPr>
          <w:trHeight w:val="218"/>
        </w:trPr>
        <w:tc>
          <w:tcPr>
            <w:tcW w:w="2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S. Schulz</w:t>
            </w:r>
          </w:p>
        </w:tc>
      </w:tr>
      <w:tr>
        <w:trPr>
          <w:trHeight w:val="234"/>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20"/>
      </w:cols>
      <w:pgMar w:left="320" w:top="88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decimal"/>
      <w:start w:val="104"/>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1" Type="http://schemas.openxmlformats.org/officeDocument/2006/relationships/image" Target="media/image61.png"/><Relationship Id="rId68" Type="http://schemas.openxmlformats.org/officeDocument/2006/relationships/hyperlink" Target="https://www.sec.gov/Archives/edgar/data/929008/000119312525161240/d94104dex31.htm" TargetMode="External"/><Relationship Id="rId69" Type="http://schemas.openxmlformats.org/officeDocument/2006/relationships/hyperlink" Target="https://www.sec.gov/Archives/edgar/data/929008/000119312525161240/d94104dex32.htm" TargetMode="External"/><Relationship Id="rId70" Type="http://schemas.openxmlformats.org/officeDocument/2006/relationships/hyperlink" Target="https://www.sec.gov/Archives/edgar/data/929008/000119312525161240/d94104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2025-07-31T15:40:39Z</dcterms:created>
  <dcterms:modified xsi:type="dcterms:W3CDTF">2025-07-31T15:40:39Z</dcterms:modified>
</cp:coreProperties>
</file>