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217805</wp:posOffset>
            </wp:positionH>
            <wp:positionV relativeFrom="page">
              <wp:posOffset>320675</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drawing>
          <wp:anchor simplePos="0" relativeHeight="251657728" behindDoc="1" locked="0" layoutInCell="0" allowOverlap="1">
            <wp:simplePos x="0" y="0"/>
            <wp:positionH relativeFrom="page">
              <wp:posOffset>217805</wp:posOffset>
            </wp:positionH>
            <wp:positionV relativeFrom="page">
              <wp:posOffset>337820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t>UNITED STATES</w:t>
      </w:r>
    </w:p>
    <w:p>
      <w:pPr>
        <w:spacing w:after="0" w:line="38"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Washington, D.C. 20549</w:t>
      </w:r>
    </w:p>
    <w:p>
      <w:pPr>
        <w:spacing w:after="0" w:line="198" w:lineRule="exact"/>
        <w:rPr>
          <w:sz w:val="24"/>
          <w:szCs w:val="24"/>
          <w:color w:val="auto"/>
        </w:rPr>
      </w:pPr>
    </w:p>
    <w:p>
      <w:pPr>
        <w:ind w:left="5040"/>
        <w:spacing w:after="0"/>
        <w:rPr>
          <w:sz w:val="20"/>
          <w:szCs w:val="20"/>
          <w:color w:val="auto"/>
        </w:rPr>
      </w:pPr>
      <w:r>
        <w:rPr>
          <w:rFonts w:ascii="Arial" w:cs="Arial" w:eastAsia="Arial" w:hAnsi="Arial"/>
          <w:sz w:val="25"/>
          <w:szCs w:val="25"/>
          <w:b w:val="1"/>
          <w:bCs w:val="1"/>
          <w:color w:val="auto"/>
        </w:rPr>
        <w:t>FORM 11-K</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ind w:left="500" w:hanging="411"/>
        <w:spacing w:after="0" w:line="224" w:lineRule="auto"/>
        <w:tabs>
          <w:tab w:leader="none" w:pos="50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ANNUAL REPORT PURSUANT TO SECTION 15(d) OF THE SECURITIES EXCHANGE ACT OF 1934</w:t>
      </w:r>
    </w:p>
    <w:p>
      <w:pPr>
        <w:spacing w:after="0" w:line="184" w:lineRule="exact"/>
        <w:rPr>
          <w:sz w:val="24"/>
          <w:szCs w:val="24"/>
          <w:color w:val="auto"/>
        </w:rPr>
      </w:pPr>
    </w:p>
    <w:p>
      <w:pPr>
        <w:ind w:left="500"/>
        <w:spacing w:after="0"/>
        <w:rPr>
          <w:sz w:val="20"/>
          <w:szCs w:val="20"/>
          <w:color w:val="auto"/>
        </w:rPr>
      </w:pPr>
      <w:r>
        <w:rPr>
          <w:rFonts w:ascii="Arial" w:cs="Arial" w:eastAsia="Arial" w:hAnsi="Arial"/>
          <w:sz w:val="14"/>
          <w:szCs w:val="14"/>
          <w:color w:val="auto"/>
        </w:rPr>
        <w:t>For the fiscal year ended December 31, 2014</w:t>
      </w:r>
    </w:p>
    <w:p>
      <w:pPr>
        <w:spacing w:after="0" w:line="21" w:lineRule="exact"/>
        <w:rPr>
          <w:sz w:val="24"/>
          <w:szCs w:val="24"/>
          <w:color w:val="auto"/>
        </w:rPr>
      </w:pPr>
    </w:p>
    <w:p>
      <w:pPr>
        <w:ind w:left="5580"/>
        <w:spacing w:after="0"/>
        <w:rPr>
          <w:sz w:val="20"/>
          <w:szCs w:val="20"/>
          <w:color w:val="auto"/>
        </w:rPr>
      </w:pPr>
      <w:r>
        <w:rPr>
          <w:rFonts w:ascii="Arial" w:cs="Arial" w:eastAsia="Arial" w:hAnsi="Arial"/>
          <w:sz w:val="18"/>
          <w:szCs w:val="18"/>
          <w:color w:val="auto"/>
        </w:rPr>
        <w:t>OR</w:t>
      </w:r>
    </w:p>
    <w:p>
      <w:pPr>
        <w:spacing w:after="0" w:line="146" w:lineRule="exact"/>
        <w:rPr>
          <w:sz w:val="24"/>
          <w:szCs w:val="24"/>
          <w:color w:val="auto"/>
        </w:rPr>
      </w:pPr>
    </w:p>
    <w:p>
      <w:pPr>
        <w:ind w:left="500" w:hanging="370"/>
        <w:spacing w:after="0"/>
        <w:tabs>
          <w:tab w:leader="none" w:pos="500" w:val="left"/>
        </w:tabs>
        <w:numPr>
          <w:ilvl w:val="0"/>
          <w:numId w:val="2"/>
        </w:numPr>
        <w:rPr>
          <w:rFonts w:ascii="Arial" w:cs="Arial" w:eastAsia="Arial" w:hAnsi="Arial"/>
          <w:sz w:val="22"/>
          <w:szCs w:val="22"/>
          <w:color w:val="auto"/>
        </w:rPr>
      </w:pPr>
      <w:r>
        <w:rPr>
          <w:rFonts w:ascii="Arial" w:cs="Arial" w:eastAsia="Arial" w:hAnsi="Arial"/>
          <w:sz w:val="18"/>
          <w:szCs w:val="18"/>
          <w:b w:val="1"/>
          <w:bCs w:val="1"/>
          <w:color w:val="auto"/>
        </w:rPr>
        <w:t>TRANSITION REPORT PURSUANT TO SECTION 15(d) OF THE SECURITIES EXCHANGE ACT OF 1934</w:t>
      </w:r>
    </w:p>
    <w:p>
      <w:pPr>
        <w:spacing w:after="0" w:line="170" w:lineRule="exact"/>
        <w:rPr>
          <w:sz w:val="24"/>
          <w:szCs w:val="24"/>
          <w:color w:val="auto"/>
        </w:rPr>
      </w:pPr>
    </w:p>
    <w:p>
      <w:pPr>
        <w:ind w:left="500"/>
        <w:spacing w:after="0"/>
        <w:tabs>
          <w:tab w:leader="none" w:pos="2940" w:val="left"/>
        </w:tabs>
        <w:rPr>
          <w:sz w:val="20"/>
          <w:szCs w:val="20"/>
          <w:color w:val="auto"/>
        </w:rPr>
      </w:pPr>
      <w:r>
        <w:rPr>
          <w:rFonts w:ascii="Arial" w:cs="Arial" w:eastAsia="Arial" w:hAnsi="Arial"/>
          <w:sz w:val="14"/>
          <w:szCs w:val="14"/>
          <w:color w:val="auto"/>
        </w:rPr>
        <w:t>For the transition period from</w:t>
      </w:r>
      <w:r>
        <w:rPr>
          <w:sz w:val="20"/>
          <w:szCs w:val="20"/>
          <w:color w:val="auto"/>
        </w:rPr>
        <w:tab/>
      </w:r>
      <w:r>
        <w:rPr>
          <w:rFonts w:ascii="Arial" w:cs="Arial" w:eastAsia="Arial" w:hAnsi="Arial"/>
          <w:sz w:val="14"/>
          <w:szCs w:val="14"/>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1423035</wp:posOffset>
            </wp:positionH>
            <wp:positionV relativeFrom="paragraph">
              <wp:posOffset>-3810</wp:posOffset>
            </wp:positionV>
            <wp:extent cx="10077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7745" cy="8890"/>
                    </a:xfrm>
                    <a:prstGeom prst="rect">
                      <a:avLst/>
                    </a:prstGeom>
                    <a:noFill/>
                  </pic:spPr>
                </pic:pic>
              </a:graphicData>
            </a:graphic>
          </wp:anchor>
        </w:drawing>
      </w:r>
    </w:p>
    <w:p>
      <w:pPr>
        <w:spacing w:after="0" w:line="1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color w:val="auto"/>
        </w:rPr>
        <w:t>1-14989</w:t>
      </w:r>
    </w:p>
    <w:p>
      <w:pPr>
        <w:spacing w:after="0" w:line="337" w:lineRule="exact"/>
        <w:rPr>
          <w:sz w:val="24"/>
          <w:szCs w:val="24"/>
          <w:color w:val="auto"/>
        </w:rPr>
      </w:pPr>
    </w:p>
    <w:p>
      <w:pPr>
        <w:spacing w:after="0"/>
        <w:tabs>
          <w:tab w:leader="none" w:pos="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Full title of the plan and address of the plan, if different from that of the issuer named below:</w:t>
      </w:r>
    </w:p>
    <w:p>
      <w:pPr>
        <w:spacing w:after="0" w:line="325" w:lineRule="exact"/>
        <w:rPr>
          <w:sz w:val="24"/>
          <w:szCs w:val="24"/>
          <w:color w:val="auto"/>
        </w:rPr>
      </w:pPr>
    </w:p>
    <w:p>
      <w:pPr>
        <w:jc w:val="right"/>
        <w:ind w:right="899"/>
        <w:spacing w:after="0"/>
        <w:rPr>
          <w:sz w:val="20"/>
          <w:szCs w:val="20"/>
          <w:color w:val="auto"/>
        </w:rPr>
      </w:pPr>
      <w:r>
        <w:rPr>
          <w:rFonts w:ascii="Arial" w:cs="Arial" w:eastAsia="Arial" w:hAnsi="Arial"/>
          <w:sz w:val="25"/>
          <w:szCs w:val="25"/>
          <w:b w:val="1"/>
          <w:bCs w:val="1"/>
          <w:color w:val="auto"/>
        </w:rPr>
        <w:t>WESCO DISTRIBUTION, INC. RETIREMENT SAVINGS PLAN</w:t>
      </w:r>
    </w:p>
    <w:p>
      <w:pPr>
        <w:spacing w:after="0" w:line="342" w:lineRule="exact"/>
        <w:rPr>
          <w:sz w:val="24"/>
          <w:szCs w:val="24"/>
          <w:color w:val="auto"/>
        </w:rPr>
      </w:pPr>
    </w:p>
    <w:p>
      <w:pPr>
        <w:ind w:left="4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issuer of the securities held pursuant to the plan and the address of its principal executive office:</w:t>
      </w:r>
    </w:p>
    <w:p>
      <w:pPr>
        <w:spacing w:after="0" w:line="388"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WESCO INTERNATIONAL, Inc.</w:t>
      </w:r>
    </w:p>
    <w:p>
      <w:pPr>
        <w:spacing w:after="0" w:line="1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225 West Station Square Drive</w:t>
      </w:r>
    </w:p>
    <w:p>
      <w:pPr>
        <w:spacing w:after="0" w:line="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Suite 700</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Pittsburgh, Pennsylvania 15219-1122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657860</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675005</wp:posOffset>
            </wp:positionV>
            <wp:extent cx="7126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ectPr>
          <w:pgSz w:w="11900" w:h="16838" w:orient="portrait"/>
          <w:cols w:equalWidth="0" w:num="1">
            <w:col w:w="10219"/>
          </w:cols>
          <w:pgMar w:left="240" w:top="738" w:right="1440" w:bottom="1440" w:gutter="0" w:footer="0" w:header="0"/>
        </w:sectPr>
      </w:pPr>
    </w:p>
    <w:bookmarkStart w:id="1" w:name="page2"/>
    <w:bookmarkEnd w:id="1"/>
    <w:tbl>
      <w:tblPr>
        <w:tblLayout w:type="fixed"/>
        <w:tblInd w:w="5"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260" w:type="dxa"/>
            <w:vAlign w:val="bottom"/>
            <w:gridSpan w:val="5"/>
          </w:tcPr>
          <w:p>
            <w:pPr>
              <w:ind w:left="780"/>
              <w:spacing w:after="0"/>
              <w:rPr>
                <w:sz w:val="20"/>
                <w:szCs w:val="20"/>
                <w:color w:val="auto"/>
              </w:rPr>
            </w:pPr>
            <w:r>
              <w:rPr>
                <w:rFonts w:ascii="Arial" w:cs="Arial" w:eastAsia="Arial" w:hAnsi="Arial"/>
                <w:sz w:val="18"/>
                <w:szCs w:val="18"/>
                <w:b w:val="1"/>
                <w:bCs w:val="1"/>
                <w:color w:val="auto"/>
              </w:rPr>
              <w:t>Table of Contents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40"/>
        </w:trPr>
        <w:tc>
          <w:tcPr>
            <w:tcW w:w="10480" w:type="dxa"/>
            <w:vAlign w:val="bottom"/>
            <w:gridSpan w:val="12"/>
          </w:tcPr>
          <w:p>
            <w:pPr>
              <w:spacing w:after="0"/>
              <w:rPr>
                <w:sz w:val="20"/>
                <w:szCs w:val="20"/>
                <w:color w:val="auto"/>
              </w:rPr>
            </w:pPr>
            <w:r>
              <w:rPr>
                <w:rFonts w:ascii="Arial" w:cs="Arial" w:eastAsia="Arial" w:hAnsi="Arial"/>
                <w:sz w:val="18"/>
                <w:szCs w:val="18"/>
                <w:b w:val="1"/>
                <w:bCs w:val="1"/>
                <w:color w:val="auto"/>
              </w:rPr>
              <w:t>I. FINANCIAL STATEMENTS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91"/>
        </w:trPr>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90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Page</w:t>
            </w:r>
          </w:p>
        </w:tc>
      </w:tr>
      <w:tr>
        <w:trPr>
          <w:trHeight w:val="526"/>
        </w:trPr>
        <w:tc>
          <w:tcPr>
            <w:tcW w:w="422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2">
              <w:r>
                <w:rPr>
                  <w:rFonts w:ascii="Arial" w:cs="Arial" w:eastAsia="Arial" w:hAnsi="Arial"/>
                  <w:sz w:val="18"/>
                  <w:szCs w:val="18"/>
                  <w:color w:val="0000EE"/>
                  <w:w w:val="91"/>
                </w:rPr>
                <w:t>Report of Independent Registered Public Accounting Firm</w:t>
              </w:r>
            </w:hyperlink>
          </w:p>
        </w:tc>
        <w:tc>
          <w:tcPr>
            <w:tcW w:w="6260" w:type="dxa"/>
            <w:vAlign w:val="bottom"/>
            <w:gridSpan w:val="5"/>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2">
              <w:r>
                <w:rPr>
                  <w:rFonts w:ascii="Arial" w:cs="Arial" w:eastAsia="Arial" w:hAnsi="Arial"/>
                  <w:sz w:val="18"/>
                  <w:szCs w:val="18"/>
                  <w:color w:val="0000EE"/>
                  <w:w w:val="99"/>
                </w:rPr>
                <w:t>1</w:t>
              </w:r>
            </w:hyperlink>
          </w:p>
        </w:tc>
        <w:tc>
          <w:tcPr>
            <w:tcW w:w="400" w:type="dxa"/>
            <w:vAlign w:val="bottom"/>
          </w:tcPr>
          <w:p>
            <w:pPr>
              <w:spacing w:after="0"/>
              <w:rPr>
                <w:sz w:val="24"/>
                <w:szCs w:val="24"/>
                <w:color w:val="auto"/>
              </w:rPr>
            </w:pPr>
          </w:p>
        </w:tc>
      </w:tr>
      <w:tr>
        <w:trPr>
          <w:trHeight w:val="615"/>
        </w:trPr>
        <w:tc>
          <w:tcPr>
            <w:tcW w:w="10480" w:type="dxa"/>
            <w:vAlign w:val="bottom"/>
            <w:gridSpan w:val="12"/>
          </w:tcPr>
          <w:p>
            <w:pPr>
              <w:spacing w:after="0"/>
              <w:rPr>
                <w:sz w:val="20"/>
                <w:szCs w:val="20"/>
                <w:color w:val="auto"/>
              </w:rPr>
            </w:pPr>
            <w:r>
              <w:rPr>
                <w:rFonts w:ascii="Arial" w:cs="Arial" w:eastAsia="Arial" w:hAnsi="Arial"/>
                <w:sz w:val="18"/>
                <w:szCs w:val="18"/>
                <w:color w:val="auto"/>
              </w:rPr>
              <w:t>Financial Statements: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554"/>
        </w:trPr>
        <w:tc>
          <w:tcPr>
            <w:tcW w:w="340" w:type="dxa"/>
            <w:vAlign w:val="bottom"/>
          </w:tcPr>
          <w:p>
            <w:pPr>
              <w:spacing w:after="0"/>
              <w:rPr>
                <w:sz w:val="24"/>
                <w:szCs w:val="24"/>
                <w:color w:val="auto"/>
              </w:rPr>
            </w:pPr>
          </w:p>
        </w:tc>
        <w:tc>
          <w:tcPr>
            <w:tcW w:w="606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Statements of Net Assets Available for Benefits as of December 31, 2014 and 2013,</w:t>
              </w:r>
            </w:hyperlink>
          </w:p>
        </w:tc>
        <w:tc>
          <w:tcPr>
            <w:tcW w:w="408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50"/>
        </w:trPr>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92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and December 29, 2013</w:t>
              </w:r>
            </w:hyperlink>
          </w:p>
        </w:tc>
        <w:tc>
          <w:tcPr>
            <w:tcW w:w="500" w:type="dxa"/>
            <w:vAlign w:val="bottom"/>
            <w:gridSpan w:val="2"/>
          </w:tcPr>
          <w:p>
            <w:pPr>
              <w:jc w:val="center"/>
              <w:ind w:left="313"/>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2</w:t>
              </w:r>
            </w:hyperlink>
          </w:p>
        </w:tc>
        <w:tc>
          <w:tcPr>
            <w:tcW w:w="40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574"/>
        </w:trPr>
        <w:tc>
          <w:tcPr>
            <w:tcW w:w="340" w:type="dxa"/>
            <w:vAlign w:val="bottom"/>
          </w:tcPr>
          <w:p>
            <w:pPr>
              <w:spacing w:after="0"/>
              <w:rPr>
                <w:sz w:val="24"/>
                <w:szCs w:val="24"/>
                <w:color w:val="auto"/>
              </w:rPr>
            </w:pPr>
          </w:p>
        </w:tc>
        <w:tc>
          <w:tcPr>
            <w:tcW w:w="10140" w:type="dxa"/>
            <w:vAlign w:val="bottom"/>
            <w:gridSpan w:val="1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Statements of Changes in Net Assets Available for Benefits for the year ended December 31, 2014 and</w:t>
              </w:r>
            </w:hyperlink>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50"/>
        </w:trPr>
        <w:tc>
          <w:tcPr>
            <w:tcW w:w="340" w:type="dxa"/>
            <w:vAlign w:val="bottom"/>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7180" w:type="dxa"/>
            <w:vAlign w:val="bottom"/>
            <w:tcBorders>
              <w:top w:val="single" w:sz="8" w:color="0000EE"/>
            </w:tcBorders>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for the period from December 30, 2013 to December 31, 2013</w:t>
              </w:r>
            </w:hyperlink>
          </w:p>
        </w:tc>
        <w:tc>
          <w:tcPr>
            <w:tcW w:w="2740" w:type="dxa"/>
            <w:vAlign w:val="bottom"/>
          </w:tcPr>
          <w:p>
            <w:pPr>
              <w:spacing w:after="0"/>
              <w:rPr>
                <w:sz w:val="21"/>
                <w:szCs w:val="21"/>
                <w:color w:val="auto"/>
              </w:rPr>
            </w:pPr>
          </w:p>
        </w:tc>
        <w:tc>
          <w:tcPr>
            <w:tcW w:w="500" w:type="dxa"/>
            <w:vAlign w:val="bottom"/>
            <w:gridSpan w:val="2"/>
          </w:tcPr>
          <w:p>
            <w:pPr>
              <w:jc w:val="center"/>
              <w:ind w:left="313"/>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3</w:t>
              </w:r>
            </w:hyperlink>
          </w:p>
        </w:tc>
        <w:tc>
          <w:tcPr>
            <w:tcW w:w="40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574"/>
        </w:trPr>
        <w:tc>
          <w:tcPr>
            <w:tcW w:w="340" w:type="dxa"/>
            <w:vAlign w:val="bottom"/>
          </w:tcPr>
          <w:p>
            <w:pPr>
              <w:spacing w:after="0"/>
              <w:rPr>
                <w:sz w:val="24"/>
                <w:szCs w:val="24"/>
                <w:color w:val="auto"/>
              </w:rPr>
            </w:pPr>
          </w:p>
        </w:tc>
        <w:tc>
          <w:tcPr>
            <w:tcW w:w="10140" w:type="dxa"/>
            <w:vAlign w:val="bottom"/>
            <w:gridSpan w:val="1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Notes to Financial Statements</w:t>
              </w:r>
            </w:hyperlink>
          </w:p>
        </w:tc>
        <w:tc>
          <w:tcPr>
            <w:tcW w:w="500" w:type="dxa"/>
            <w:vAlign w:val="bottom"/>
            <w:gridSpan w:val="2"/>
          </w:tcPr>
          <w:p>
            <w:pPr>
              <w:jc w:val="center"/>
              <w:ind w:left="313"/>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4</w:t>
              </w:r>
            </w:hyperlink>
          </w:p>
        </w:tc>
        <w:tc>
          <w:tcPr>
            <w:tcW w:w="40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615"/>
        </w:trPr>
        <w:tc>
          <w:tcPr>
            <w:tcW w:w="10480" w:type="dxa"/>
            <w:vAlign w:val="bottom"/>
            <w:gridSpan w:val="12"/>
          </w:tcPr>
          <w:p>
            <w:pPr>
              <w:spacing w:after="0"/>
              <w:rPr>
                <w:sz w:val="20"/>
                <w:szCs w:val="20"/>
                <w:color w:val="auto"/>
              </w:rPr>
            </w:pPr>
            <w:r>
              <w:rPr>
                <w:rFonts w:ascii="Arial" w:cs="Arial" w:eastAsia="Arial" w:hAnsi="Arial"/>
                <w:sz w:val="18"/>
                <w:szCs w:val="18"/>
                <w:color w:val="auto"/>
              </w:rPr>
              <w:t>Supplemental Schedules: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554"/>
        </w:trPr>
        <w:tc>
          <w:tcPr>
            <w:tcW w:w="340" w:type="dxa"/>
            <w:vAlign w:val="bottom"/>
          </w:tcPr>
          <w:p>
            <w:pPr>
              <w:spacing w:after="0"/>
              <w:rPr>
                <w:sz w:val="24"/>
                <w:szCs w:val="24"/>
                <w:color w:val="auto"/>
              </w:rPr>
            </w:pPr>
          </w:p>
        </w:tc>
        <w:tc>
          <w:tcPr>
            <w:tcW w:w="10140" w:type="dxa"/>
            <w:vAlign w:val="bottom"/>
            <w:gridSpan w:val="11"/>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Schedule H (Form 5500), line 4(i) - Schedules of Assets (Held at End of Year) as of</w:t>
              </w:r>
            </w:hyperlink>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50"/>
        </w:trPr>
        <w:tc>
          <w:tcPr>
            <w:tcW w:w="340" w:type="dxa"/>
            <w:vAlign w:val="bottom"/>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220" w:type="dxa"/>
            <w:vAlign w:val="bottom"/>
            <w:tcBorders>
              <w:top w:val="single" w:sz="8" w:color="0000EE"/>
            </w:tcBorders>
            <w:gridSpan w:val="4"/>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December 31, 2014 and 2013*</w:t>
              </w:r>
            </w:hyperlink>
          </w:p>
        </w:tc>
        <w:tc>
          <w:tcPr>
            <w:tcW w:w="3600" w:type="dxa"/>
            <w:vAlign w:val="bottom"/>
            <w:tcBorders>
              <w:top w:val="single" w:sz="8" w:color="0000EE"/>
            </w:tcBorders>
            <w:gridSpan w:val="3"/>
          </w:tcPr>
          <w:p>
            <w:pPr>
              <w:spacing w:after="0"/>
              <w:rPr>
                <w:sz w:val="21"/>
                <w:szCs w:val="21"/>
                <w:color w:val="auto"/>
              </w:rPr>
            </w:pPr>
          </w:p>
        </w:tc>
        <w:tc>
          <w:tcPr>
            <w:tcW w:w="4100" w:type="dxa"/>
            <w:vAlign w:val="bottom"/>
            <w:gridSpan w:val="3"/>
          </w:tcPr>
          <w:p>
            <w:pPr>
              <w:spacing w:after="0"/>
              <w:rPr>
                <w:sz w:val="21"/>
                <w:szCs w:val="21"/>
                <w:color w:val="auto"/>
              </w:rPr>
            </w:pPr>
          </w:p>
        </w:tc>
        <w:tc>
          <w:tcPr>
            <w:tcW w:w="500" w:type="dxa"/>
            <w:vAlign w:val="bottom"/>
            <w:gridSpan w:val="2"/>
          </w:tcPr>
          <w:p>
            <w:pPr>
              <w:jc w:val="center"/>
              <w:ind w:left="233"/>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18</w:t>
              </w:r>
            </w:hyperlink>
          </w:p>
        </w:tc>
        <w:tc>
          <w:tcPr>
            <w:tcW w:w="400" w:type="dxa"/>
            <w:vAlign w:val="bottom"/>
          </w:tcPr>
          <w:p>
            <w:pPr>
              <w:spacing w:after="0"/>
              <w:rPr>
                <w:sz w:val="21"/>
                <w:szCs w:val="21"/>
                <w:color w:val="auto"/>
              </w:rPr>
            </w:pPr>
          </w:p>
        </w:tc>
      </w:tr>
      <w:tr>
        <w:trPr>
          <w:trHeight w:val="20"/>
        </w:trPr>
        <w:tc>
          <w:tcPr>
            <w:tcW w:w="56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7700" w:type="dxa"/>
            <w:vAlign w:val="bottom"/>
            <w:gridSpan w:val="6"/>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r>
      <w:tr>
        <w:trPr>
          <w:trHeight w:val="574"/>
        </w:trPr>
        <w:tc>
          <w:tcPr>
            <w:tcW w:w="1100" w:type="dxa"/>
            <w:vAlign w:val="bottom"/>
            <w:gridSpan w:val="3"/>
          </w:tcPr>
          <w:p>
            <w:pPr>
              <w:spacing w:after="0"/>
              <w:rPr>
                <w:rFonts w:ascii="Arial" w:cs="Arial" w:eastAsia="Arial" w:hAnsi="Arial"/>
                <w:sz w:val="18"/>
                <w:szCs w:val="18"/>
                <w:color w:val="0000EE"/>
                <w:w w:val="92"/>
              </w:rPr>
            </w:pPr>
            <w:hyperlink w:anchor="page77">
              <w:r>
                <w:rPr>
                  <w:rFonts w:ascii="Arial" w:cs="Arial" w:eastAsia="Arial" w:hAnsi="Arial"/>
                  <w:sz w:val="18"/>
                  <w:szCs w:val="18"/>
                  <w:color w:val="0000EE"/>
                  <w:w w:val="92"/>
                </w:rPr>
                <w:t>SIGNATURES</w:t>
              </w:r>
            </w:hyperlink>
          </w:p>
        </w:tc>
        <w:tc>
          <w:tcPr>
            <w:tcW w:w="9380" w:type="dxa"/>
            <w:vAlign w:val="bottom"/>
            <w:gridSpan w:val="9"/>
          </w:tcPr>
          <w:p>
            <w:pPr>
              <w:spacing w:after="0"/>
              <w:rPr>
                <w:sz w:val="24"/>
                <w:szCs w:val="24"/>
                <w:color w:val="auto"/>
              </w:rPr>
            </w:pPr>
          </w:p>
        </w:tc>
        <w:tc>
          <w:tcPr>
            <w:tcW w:w="500" w:type="dxa"/>
            <w:vAlign w:val="bottom"/>
            <w:gridSpan w:val="2"/>
          </w:tcPr>
          <w:p>
            <w:pPr>
              <w:jc w:val="center"/>
              <w:ind w:left="233"/>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48</w:t>
              </w:r>
            </w:hyperlink>
          </w:p>
        </w:tc>
        <w:tc>
          <w:tcPr>
            <w:tcW w:w="400" w:type="dxa"/>
            <w:vAlign w:val="bottom"/>
          </w:tcPr>
          <w:p>
            <w:pPr>
              <w:spacing w:after="0"/>
              <w:rPr>
                <w:sz w:val="24"/>
                <w:szCs w:val="24"/>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r>
    </w:tbl>
    <w:p>
      <w:pPr>
        <w:spacing w:after="0" w:line="391" w:lineRule="exact"/>
        <w:rPr>
          <w:sz w:val="20"/>
          <w:szCs w:val="20"/>
          <w:color w:val="auto"/>
        </w:rPr>
      </w:pPr>
    </w:p>
    <w:p>
      <w:pPr>
        <w:ind w:left="5" w:right="240" w:hanging="5"/>
        <w:spacing w:after="0" w:line="277" w:lineRule="auto"/>
        <w:tabs>
          <w:tab w:leader="none" w:pos="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schedules required by Section 2520.103-10 of the Department of Labor’s Rules and Regulations for Reporting and Disclosure under the Employee Retirement Income Security Act of 1974 have been omitted because they are not applicable.</w:t>
      </w:r>
    </w:p>
    <w:p>
      <w:pPr>
        <w:spacing w:after="0" w:line="193"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II. EXHIBITS</w:t>
      </w:r>
    </w:p>
    <w:p>
      <w:pPr>
        <w:spacing w:after="0" w:line="256" w:lineRule="exact"/>
        <w:rPr>
          <w:sz w:val="20"/>
          <w:szCs w:val="20"/>
          <w:color w:val="auto"/>
        </w:rPr>
      </w:pPr>
    </w:p>
    <w:p>
      <w:pPr>
        <w:ind w:left="345"/>
        <w:spacing w:after="0"/>
        <w:rPr>
          <w:sz w:val="20"/>
          <w:szCs w:val="20"/>
          <w:color w:val="auto"/>
        </w:rPr>
      </w:pPr>
      <w:r>
        <w:rPr>
          <w:rFonts w:ascii="Arial" w:cs="Arial" w:eastAsia="Arial" w:hAnsi="Arial"/>
          <w:sz w:val="18"/>
          <w:szCs w:val="18"/>
          <w:color w:val="auto"/>
        </w:rPr>
        <w:t>Exhibit 23 – Consent of Independent Registered Public Accounting Firm</w:t>
      </w:r>
    </w:p>
    <w:p>
      <w:pPr>
        <w:sectPr>
          <w:pgSz w:w="11900" w:h="16838" w:orient="portrait"/>
          <w:cols w:equalWidth="0" w:num="1">
            <w:col w:w="11385"/>
          </w:cols>
          <w:pgMar w:left="275" w:top="28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Participants and Administrator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WESCO Distribution, Inc. Retirement Savings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audited the accompanying statements of net assets available for benefits of the WESCO Distribution, Inc. Retirement Savings Plan (the “Plan”) as of December 31, 2014 and 2013, and December 29, 2013, and the related statements of changes in net assets available for benefits for the year ended December 31, 2014 and the period from December 30, 2013 to December 31, 2013. These financial statements are the responsibility of the Plan’s management. Our responsibility is to express an opinion on these financial statements based on our audits.</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9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net assets available for benefits of the Plan as of December 31, 2014 and 2013, and December 29, 2013, and the changes in net assets available for benefits for the year ended December 31, 2014 and the period from December 30, 2013 to December 31, 2013, in conformity with accounting principles generally accepted in the United States of America.</w:t>
      </w:r>
    </w:p>
    <w:p>
      <w:pPr>
        <w:spacing w:after="0" w:line="1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accompanying supplemental schedules of assets (held at end of year) as of December 31, 2014 and 2013 have been subjected to audit procedures performed in conjunction with the audits of the Plan’s financial statements. The supplemental schedules are the responsibility of the Plan’s management. Our audit procedures included determining whether the supplemental schedules reconcile to the financial statements or the underlying accounting and other records, as applicable, and performing procedures to test the completeness and accuracy of the information presented in the supplemental schedules. In forming our opinion on the supplemental schedules, we evaluated whether the supplemental schedules, including their form and content, are presented in conformity with the Department of Labor’s Rules and Regulations for Reporting and Disclosure under the Employee Retirement Income Security Act of 1974. In our opinion, the supplemental schedules are fairly stated, in all material respects, in relation 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29, 2015</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37" w:right="239" w:bottom="1440" w:gutter="0" w:footer="0" w:header="0"/>
        </w:sectPr>
      </w:pPr>
    </w:p>
    <w:bookmarkStart w:id="3" w:name="page4"/>
    <w:bookmarkEnd w:id="3"/>
    <w:p>
      <w:pPr>
        <w:ind w:left="40"/>
        <w:spacing w:after="0"/>
        <w:rPr>
          <w:sz w:val="20"/>
          <w:szCs w:val="20"/>
          <w:color w:val="auto"/>
        </w:rPr>
      </w:pPr>
      <w:r>
        <w:rPr>
          <w:rFonts w:ascii="Arial" w:cs="Arial" w:eastAsia="Arial" w:hAnsi="Arial"/>
          <w:sz w:val="25"/>
          <w:szCs w:val="25"/>
          <w:b w:val="1"/>
          <w:bCs w:val="1"/>
          <w:color w:val="auto"/>
        </w:rPr>
        <w:t>WESCO Distribution, Inc.</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Retirement Savings Plan</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Statements of Net Assets Available for Benefits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December 31, 2014 and 2013, and December 29, 2013</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29,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64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Investments at fair value (Notes 2, 4, and 5)</w:t>
            </w: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Shares of registered investment companies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390,143,674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374,799,339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373,381,345</w:t>
            </w:r>
          </w:p>
        </w:tc>
        <w:tc>
          <w:tcPr>
            <w:tcW w:w="0" w:type="dxa"/>
            <w:vAlign w:val="bottom"/>
          </w:tcPr>
          <w:p>
            <w:pPr>
              <w:spacing w:after="0"/>
              <w:rPr>
                <w:sz w:val="1"/>
                <w:szCs w:val="1"/>
                <w:color w:val="auto"/>
              </w:rPr>
            </w:pPr>
          </w:p>
        </w:tc>
      </w:tr>
      <w:tr>
        <w:trPr>
          <w:trHeight w:val="243"/>
        </w:trPr>
        <w:tc>
          <w:tcPr>
            <w:tcW w:w="6400" w:type="dxa"/>
            <w:vAlign w:val="bottom"/>
          </w:tcPr>
          <w:p>
            <w:pPr>
              <w:ind w:left="260"/>
              <w:spacing w:after="0"/>
              <w:rPr>
                <w:sz w:val="20"/>
                <w:szCs w:val="20"/>
                <w:color w:val="auto"/>
              </w:rPr>
            </w:pPr>
            <w:r>
              <w:rPr>
                <w:rFonts w:ascii="Arial" w:cs="Arial" w:eastAsia="Arial" w:hAnsi="Arial"/>
                <w:sz w:val="18"/>
                <w:szCs w:val="18"/>
                <w:color w:val="auto"/>
              </w:rPr>
              <w:t>Stock funds and self-directed accounts</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27,230,001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32,764,645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32,658,983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Stable Value Fund</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132,536,862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136,902,354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136,636,836</w:t>
            </w:r>
          </w:p>
        </w:tc>
        <w:tc>
          <w:tcPr>
            <w:tcW w:w="0" w:type="dxa"/>
            <w:vAlign w:val="bottom"/>
          </w:tcPr>
          <w:p>
            <w:pPr>
              <w:spacing w:after="0"/>
              <w:rPr>
                <w:sz w:val="1"/>
                <w:szCs w:val="1"/>
                <w:color w:val="auto"/>
              </w:rPr>
            </w:pPr>
          </w:p>
        </w:tc>
      </w:tr>
      <w:tr>
        <w:trPr>
          <w:trHeight w:val="243"/>
        </w:trPr>
        <w:tc>
          <w:tcPr>
            <w:tcW w:w="6400" w:type="dxa"/>
            <w:vAlign w:val="bottom"/>
          </w:tcPr>
          <w:p>
            <w:pPr>
              <w:ind w:left="260"/>
              <w:spacing w:after="0"/>
              <w:rPr>
                <w:sz w:val="20"/>
                <w:szCs w:val="20"/>
                <w:color w:val="auto"/>
              </w:rPr>
            </w:pPr>
            <w:r>
              <w:rPr>
                <w:rFonts w:ascii="Arial" w:cs="Arial" w:eastAsia="Arial" w:hAnsi="Arial"/>
                <w:sz w:val="18"/>
                <w:szCs w:val="18"/>
                <w:color w:val="auto"/>
              </w:rPr>
              <w:t>RAFI Enhanced Large Company Fund</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35,278,719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33,761,966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33,649,263</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585,189,256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578,228,304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576,326,427</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Receivables</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Employer discretionary contributions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10,208,553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480,985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480,985</w:t>
            </w:r>
          </w:p>
        </w:tc>
        <w:tc>
          <w:tcPr>
            <w:tcW w:w="0" w:type="dxa"/>
            <w:vAlign w:val="bottom"/>
          </w:tcPr>
          <w:p>
            <w:pPr>
              <w:spacing w:after="0"/>
              <w:rPr>
                <w:sz w:val="1"/>
                <w:szCs w:val="1"/>
                <w:color w:val="auto"/>
              </w:rPr>
            </w:pPr>
          </w:p>
        </w:tc>
      </w:tr>
      <w:tr>
        <w:trPr>
          <w:trHeight w:val="243"/>
        </w:trPr>
        <w:tc>
          <w:tcPr>
            <w:tcW w:w="6400" w:type="dxa"/>
            <w:vAlign w:val="bottom"/>
          </w:tcPr>
          <w:p>
            <w:pPr>
              <w:ind w:left="300"/>
              <w:spacing w:after="0"/>
              <w:rPr>
                <w:sz w:val="20"/>
                <w:szCs w:val="20"/>
                <w:color w:val="auto"/>
              </w:rPr>
            </w:pPr>
            <w:r>
              <w:rPr>
                <w:rFonts w:ascii="Arial" w:cs="Arial" w:eastAsia="Arial" w:hAnsi="Arial"/>
                <w:sz w:val="18"/>
                <w:szCs w:val="18"/>
                <w:color w:val="auto"/>
              </w:rPr>
              <w:t>Promissory notes from participants (Note 6)</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13,716,227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13,158,334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13,088,334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assets available for benefits at fair value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609,114,036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591,867,623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589,895,746</w:t>
            </w:r>
          </w:p>
        </w:tc>
        <w:tc>
          <w:tcPr>
            <w:tcW w:w="0" w:type="dxa"/>
            <w:vAlign w:val="bottom"/>
          </w:tcPr>
          <w:p>
            <w:pPr>
              <w:spacing w:after="0"/>
              <w:rPr>
                <w:sz w:val="1"/>
                <w:szCs w:val="1"/>
                <w:color w:val="auto"/>
              </w:rPr>
            </w:pPr>
          </w:p>
        </w:tc>
      </w:tr>
      <w:tr>
        <w:trPr>
          <w:trHeight w:val="324"/>
        </w:trPr>
        <w:tc>
          <w:tcPr>
            <w:tcW w:w="6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 from fair value to contract value for interest in</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260"/>
              <w:spacing w:after="0"/>
              <w:rPr>
                <w:sz w:val="20"/>
                <w:szCs w:val="20"/>
                <w:color w:val="auto"/>
              </w:rPr>
            </w:pPr>
            <w:r>
              <w:rPr>
                <w:rFonts w:ascii="Arial" w:cs="Arial" w:eastAsia="Arial" w:hAnsi="Arial"/>
                <w:sz w:val="18"/>
                <w:szCs w:val="18"/>
                <w:color w:val="auto"/>
              </w:rPr>
              <w:t>the Stable Value Fund relating to fully benefit-responsive</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contracts (Note 5)</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(4,205,911)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(2,523,237)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(2,321,190)</w:t>
            </w:r>
          </w:p>
        </w:tc>
        <w:tc>
          <w:tcPr>
            <w:tcW w:w="0" w:type="dxa"/>
            <w:vAlign w:val="bottom"/>
          </w:tcPr>
          <w:p>
            <w:pPr>
              <w:spacing w:after="0"/>
              <w:rPr>
                <w:sz w:val="1"/>
                <w:szCs w:val="1"/>
                <w:color w:val="auto"/>
              </w:rPr>
            </w:pPr>
          </w:p>
        </w:tc>
      </w:tr>
      <w:tr>
        <w:trPr>
          <w:trHeight w:val="257"/>
        </w:trPr>
        <w:tc>
          <w:tcPr>
            <w:tcW w:w="6400" w:type="dxa"/>
            <w:vAlign w:val="bottom"/>
          </w:tcPr>
          <w:p>
            <w:pPr>
              <w:ind w:left="480"/>
              <w:spacing w:after="0"/>
              <w:rPr>
                <w:sz w:val="20"/>
                <w:szCs w:val="20"/>
                <w:color w:val="auto"/>
              </w:rPr>
            </w:pPr>
            <w:r>
              <w:rPr>
                <w:rFonts w:ascii="Arial" w:cs="Arial" w:eastAsia="Arial" w:hAnsi="Arial"/>
                <w:sz w:val="18"/>
                <w:szCs w:val="18"/>
                <w:b w:val="1"/>
                <w:bCs w:val="1"/>
                <w:color w:val="auto"/>
              </w:rPr>
              <w:t>Net assets available for benefits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604,908,125</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589,344,386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587,574,556</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9" w:right="239" w:bottom="1440" w:gutter="0" w:footer="0" w:header="0"/>
        </w:sectPr>
      </w:pPr>
    </w:p>
    <w:bookmarkStart w:id="4" w:name="page5"/>
    <w:bookmarkEnd w:id="4"/>
    <w:p>
      <w:pPr>
        <w:ind w:left="100"/>
        <w:spacing w:after="0"/>
        <w:rPr>
          <w:sz w:val="20"/>
          <w:szCs w:val="20"/>
          <w:color w:val="auto"/>
        </w:rPr>
      </w:pPr>
      <w:r>
        <w:rPr>
          <w:rFonts w:ascii="Arial" w:cs="Arial" w:eastAsia="Arial" w:hAnsi="Arial"/>
          <w:sz w:val="25"/>
          <w:szCs w:val="25"/>
          <w:b w:val="1"/>
          <w:bCs w:val="1"/>
          <w:color w:val="auto"/>
        </w:rPr>
        <w:t>WESCO Distribution, Inc.</w:t>
      </w:r>
    </w:p>
    <w:p>
      <w:pPr>
        <w:spacing w:after="0" w:line="64"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Retirement Savings Plan</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Statements of Changes in Net Assets Available for Benefits</w:t>
      </w:r>
    </w:p>
    <w:p>
      <w:pPr>
        <w:spacing w:after="0" w:line="44"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For the Year Ended December 31, 2014 and</w:t>
      </w:r>
    </w:p>
    <w:p>
      <w:pPr>
        <w:spacing w:after="0" w:line="44"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For the Period from December 30, 2013 to December 31, 2013</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7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Additions</w:t>
            </w: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contributions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27,105,739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Employee rollovers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1,886,423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17,133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Employer contributions (including discretionary contributions)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19,187,627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appreciation from shares of registered investment companies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18,868,006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1,461,452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appreciation from stock funds and self-directed accounts</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94,407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appreciation from the Stable Value Fund</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3,116,690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34,915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appreciation from the RAFI Enhanced Large Company Fund</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3,841,535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127,438</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Interest and dividend income</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8,020,612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34,485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additions</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82,026,632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1,769,830</w:t>
            </w:r>
          </w:p>
        </w:tc>
        <w:tc>
          <w:tcPr>
            <w:tcW w:w="0" w:type="dxa"/>
            <w:vAlign w:val="bottom"/>
          </w:tcPr>
          <w:p>
            <w:pPr>
              <w:spacing w:after="0"/>
              <w:rPr>
                <w:sz w:val="1"/>
                <w:szCs w:val="1"/>
                <w:color w:val="auto"/>
              </w:rPr>
            </w:pPr>
          </w:p>
        </w:tc>
      </w:tr>
      <w:tr>
        <w:trPr>
          <w:trHeight w:val="561"/>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Deductions</w:t>
            </w:r>
          </w:p>
        </w:tc>
        <w:tc>
          <w:tcPr>
            <w:tcW w:w="4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depreciation from stock funds and self-directed accounts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3,839,548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Distributions to participants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61,961,398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 expenses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761,614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900" w:type="dxa"/>
            <w:vAlign w:val="bottom"/>
          </w:tcPr>
          <w:p>
            <w:pPr>
              <w:ind w:left="480"/>
              <w:spacing w:after="0"/>
              <w:rPr>
                <w:sz w:val="20"/>
                <w:szCs w:val="20"/>
                <w:color w:val="auto"/>
              </w:rPr>
            </w:pPr>
            <w:r>
              <w:rPr>
                <w:rFonts w:ascii="Arial" w:cs="Arial" w:eastAsia="Arial" w:hAnsi="Arial"/>
                <w:sz w:val="18"/>
                <w:szCs w:val="18"/>
                <w:color w:val="auto"/>
              </w:rPr>
              <w:t>Total deductions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66,562,560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increase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15,464,072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1,769,830</w:t>
            </w:r>
          </w:p>
        </w:tc>
        <w:tc>
          <w:tcPr>
            <w:tcW w:w="0" w:type="dxa"/>
            <w:vAlign w:val="bottom"/>
          </w:tcPr>
          <w:p>
            <w:pPr>
              <w:spacing w:after="0"/>
              <w:rPr>
                <w:sz w:val="1"/>
                <w:szCs w:val="1"/>
                <w:color w:val="auto"/>
              </w:rPr>
            </w:pPr>
          </w:p>
        </w:tc>
      </w:tr>
      <w:tr>
        <w:trPr>
          <w:trHeight w:val="324"/>
        </w:trPr>
        <w:tc>
          <w:tcPr>
            <w:tcW w:w="7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Transfers in from Talcup Union Plan (Note 8)</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99,667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6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Net assets available for benefits</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589,344,386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587,574,556</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End of period</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604,908,125</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589,344,386</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9"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WESCO Distribution,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Savings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2014 and 2013, and December 29, 2013</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00" w:right="8840" w:hanging="492"/>
        <w:spacing w:after="0" w:line="503" w:lineRule="auto"/>
        <w:tabs>
          <w:tab w:leader="none" w:pos="48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Major Features of the Plan Background</w:t>
      </w:r>
    </w:p>
    <w:p>
      <w:pPr>
        <w:jc w:val="both"/>
        <w:ind w:left="50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WESCO Distribution, Inc. Retirement Savings Plan (the “Plan”) was established as of February 28, 1994 (date of inception). At the date of inception, certain employees of the predecessor company became employees of WESCO Distribution, Inc. (the “Company”) and participants in the Plan. At the date of inception, all funds held by the prior plans of the predecessor company related to the employees of the Company were transferred to the Plan.</w:t>
      </w:r>
    </w:p>
    <w:p>
      <w:pPr>
        <w:spacing w:after="0" w:line="146" w:lineRule="exact"/>
        <w:rPr>
          <w:rFonts w:ascii="Arial" w:cs="Arial" w:eastAsia="Arial" w:hAnsi="Arial"/>
          <w:sz w:val="18"/>
          <w:szCs w:val="18"/>
          <w:b w:val="1"/>
          <w:bCs w:val="1"/>
          <w:color w:val="auto"/>
        </w:rPr>
      </w:pPr>
    </w:p>
    <w:p>
      <w:pPr>
        <w:ind w:left="500" w:right="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Plan is a participant-directed defined contribution plan covering certain employees of the Company and former employees with a fund balance of at least $5,000 who elected to maintain their funds in the Plan. Former employees cannot make contributions to the Plan.</w:t>
      </w:r>
    </w:p>
    <w:p>
      <w:pPr>
        <w:spacing w:after="0" w:line="146" w:lineRule="exact"/>
        <w:rPr>
          <w:rFonts w:ascii="Arial" w:cs="Arial" w:eastAsia="Arial" w:hAnsi="Arial"/>
          <w:sz w:val="18"/>
          <w:szCs w:val="18"/>
          <w:b w:val="1"/>
          <w:bCs w:val="1"/>
          <w:color w:val="auto"/>
        </w:rPr>
      </w:pPr>
    </w:p>
    <w:p>
      <w:pPr>
        <w:ind w:lef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Participation for eligible employees requires an employee to be scheduled to work at least 1,000 hours per year and requires an employee to be paid through the Plan sponsor's payroll system.</w:t>
      </w:r>
    </w:p>
    <w:p>
      <w:pPr>
        <w:spacing w:after="0" w:line="16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Amendment to Plan Year</w:t>
      </w:r>
    </w:p>
    <w:p>
      <w:pPr>
        <w:spacing w:after="0" w:line="229" w:lineRule="exact"/>
        <w:rPr>
          <w:rFonts w:ascii="Arial" w:cs="Arial" w:eastAsia="Arial" w:hAnsi="Arial"/>
          <w:sz w:val="18"/>
          <w:szCs w:val="18"/>
          <w:b w:val="1"/>
          <w:bCs w:val="1"/>
          <w:color w:val="auto"/>
        </w:rPr>
      </w:pPr>
    </w:p>
    <w:p>
      <w:pPr>
        <w:jc w:val="both"/>
        <w:ind w:left="5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On August 23, 2013, the Plan’s Administrative and Investment Committee executed the sixth amendment to the Plan (the “Sixth Amendment”). Pursuant to the terms of the Sixth Amendment, the plan year was changed, effective December 30, 2013, to the consecutive 12 month period beginning January 1 and ending on December 31 of each calendar year. The two-day period beginning on December 30, 2013 and ending on December 31, 2013 is referred to throughout these financial statements and notes thereto as the "short plan year."</w:t>
      </w:r>
    </w:p>
    <w:p>
      <w:pPr>
        <w:spacing w:after="0" w:line="16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Contributions</w:t>
      </w:r>
    </w:p>
    <w:p>
      <w:pPr>
        <w:spacing w:after="0" w:line="229" w:lineRule="exact"/>
        <w:rPr>
          <w:rFonts w:ascii="Arial" w:cs="Arial" w:eastAsia="Arial" w:hAnsi="Arial"/>
          <w:sz w:val="18"/>
          <w:szCs w:val="18"/>
          <w:b w:val="1"/>
          <w:bCs w:val="1"/>
          <w:color w:val="auto"/>
        </w:rPr>
      </w:pPr>
    </w:p>
    <w:p>
      <w:pPr>
        <w:jc w:val="both"/>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Plan is subject to the Employee Retirement Income Security Act of 1974, as amended (“ERISA”). Participants may elect to make tax deferred contributions ranging from 1% up to the lesser of 50% of their eligible compensation or $17,500 for 2014 and 2013. The $17,500 limit may be adjusted in future years by the Internal Revenue Service (“IRS”). The sum of the tax deferred contributions and the after-tax contributions cannot exceed 50% of the participant's eligible compensation. Subject to limitation, the Company will make matching contributions in an amount equal to 50% of a participant's total monthly contributions up to a maximum of 3% of their compensation. Also, the Company may, at the Board of Directors' discretion, make a discretionary contribution to the Plan provided certain predetermined profit levels are attained. Discretionary contributions of approximately $10,209,000 were made for the Plan's year ended December 31, 2014. The Company made no discretionary contributions for the short plan year ended December 31, 2013.</w:t>
      </w:r>
    </w:p>
    <w:p>
      <w:pPr>
        <w:spacing w:after="0" w:line="192" w:lineRule="exact"/>
        <w:rPr>
          <w:rFonts w:ascii="Arial" w:cs="Arial" w:eastAsia="Arial" w:hAnsi="Arial"/>
          <w:sz w:val="18"/>
          <w:szCs w:val="18"/>
          <w:b w:val="1"/>
          <w:bCs w:val="1"/>
          <w:color w:val="auto"/>
        </w:rPr>
      </w:pPr>
    </w:p>
    <w:p>
      <w:pPr>
        <w:jc w:val="both"/>
        <w:ind w:left="5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Participants may rollover into the Plan amounts representing distributions from other qualified retirement plans, an individual retirement account or an annuity. For the year ended December 31, 2014 and the short plan year ended December 31, 2013, the Plan accepted employee rollover contributions of approximately $1,886,000 and $17,000, respectively.</w:t>
      </w:r>
    </w:p>
    <w:p>
      <w:pPr>
        <w:spacing w:after="0" w:line="181" w:lineRule="exact"/>
        <w:rPr>
          <w:rFonts w:ascii="Arial" w:cs="Arial" w:eastAsia="Arial" w:hAnsi="Arial"/>
          <w:sz w:val="18"/>
          <w:szCs w:val="18"/>
          <w:b w:val="1"/>
          <w:bCs w:val="1"/>
          <w:color w:val="auto"/>
        </w:rPr>
      </w:pPr>
    </w:p>
    <w:p>
      <w:pPr>
        <w:jc w:val="both"/>
        <w:ind w:left="5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Plan includes a negative enrollment policy. Under this policy, if an individual does not submit an automatic enrollment waiver or elect a deferral rate, the employee will be automatically enrolled in the Plan at a 3% deferral rate. The deferral rate is increased by 1% each September 1 until the deferral rate equals 6%.</w:t>
      </w:r>
    </w:p>
    <w:p>
      <w:pPr>
        <w:spacing w:after="0" w:line="181" w:lineRule="exact"/>
        <w:rPr>
          <w:rFonts w:ascii="Arial" w:cs="Arial" w:eastAsia="Arial" w:hAnsi="Arial"/>
          <w:sz w:val="18"/>
          <w:szCs w:val="18"/>
          <w:b w:val="1"/>
          <w:bCs w:val="1"/>
          <w:color w:val="auto"/>
        </w:rPr>
      </w:pPr>
    </w:p>
    <w:p>
      <w:pPr>
        <w:jc w:val="both"/>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Participants who have attained age 50 before the close of the plan year are eligible to make catch-up contributions in addition to pre-tax contributions. A catch-up contribution is a pre-tax contribution that exceeds the annual deferral limit. For 2014 and 2013, a participant's total catch-up contribution could not exceed $5,500. The catch up contribution limits are determined by the IRS and then indexed for inflation. In addition to cash, in-kind contributions are permitted which may consist of stocks, bonds, property or other securities.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5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WESCO Distribution,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Savings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2014 and 2013, and December 29, 2013</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Vesting</w:t>
      </w:r>
    </w:p>
    <w:p>
      <w:pPr>
        <w:spacing w:after="0" w:line="229"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Participants are fully vested in the value of their contributions and related investment income at all times and vest in their allocated share of employer matching and discretionary contributions according to the following table:</w:t>
      </w:r>
    </w:p>
    <w:p>
      <w:pPr>
        <w:spacing w:after="0" w:line="333" w:lineRule="exact"/>
        <w:rPr>
          <w:sz w:val="20"/>
          <w:szCs w:val="20"/>
          <w:color w:val="auto"/>
        </w:rPr>
      </w:pPr>
    </w:p>
    <w:tbl>
      <w:tblPr>
        <w:tblLayout w:type="fixed"/>
        <w:tblInd w:w="344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Less than two years of service</w:t>
            </w:r>
          </w:p>
        </w:tc>
        <w:tc>
          <w:tcPr>
            <w:tcW w:w="16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70"/>
        </w:trPr>
        <w:tc>
          <w:tcPr>
            <w:tcW w:w="3400" w:type="dxa"/>
            <w:vAlign w:val="bottom"/>
          </w:tcPr>
          <w:p>
            <w:pPr>
              <w:spacing w:after="0"/>
              <w:rPr>
                <w:sz w:val="20"/>
                <w:szCs w:val="20"/>
                <w:color w:val="auto"/>
              </w:rPr>
            </w:pPr>
            <w:r>
              <w:rPr>
                <w:rFonts w:ascii="Arial" w:cs="Arial" w:eastAsia="Arial" w:hAnsi="Arial"/>
                <w:sz w:val="18"/>
                <w:szCs w:val="18"/>
                <w:color w:val="auto"/>
              </w:rPr>
              <w:t>Two years of service</w:t>
            </w:r>
          </w:p>
        </w:tc>
        <w:tc>
          <w:tcPr>
            <w:tcW w:w="16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3400" w:type="dxa"/>
            <w:vAlign w:val="bottom"/>
          </w:tcPr>
          <w:p>
            <w:pPr>
              <w:spacing w:after="0"/>
              <w:rPr>
                <w:sz w:val="20"/>
                <w:szCs w:val="20"/>
                <w:color w:val="auto"/>
              </w:rPr>
            </w:pPr>
            <w:r>
              <w:rPr>
                <w:rFonts w:ascii="Arial" w:cs="Arial" w:eastAsia="Arial" w:hAnsi="Arial"/>
                <w:sz w:val="18"/>
                <w:szCs w:val="18"/>
                <w:color w:val="auto"/>
              </w:rPr>
              <w:t>Three years of service</w:t>
            </w:r>
          </w:p>
        </w:tc>
        <w:tc>
          <w:tcPr>
            <w:tcW w:w="16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3400" w:type="dxa"/>
            <w:vAlign w:val="bottom"/>
          </w:tcPr>
          <w:p>
            <w:pPr>
              <w:spacing w:after="0"/>
              <w:rPr>
                <w:sz w:val="20"/>
                <w:szCs w:val="20"/>
                <w:color w:val="auto"/>
              </w:rPr>
            </w:pPr>
            <w:r>
              <w:rPr>
                <w:rFonts w:ascii="Arial" w:cs="Arial" w:eastAsia="Arial" w:hAnsi="Arial"/>
                <w:sz w:val="18"/>
                <w:szCs w:val="18"/>
                <w:color w:val="auto"/>
              </w:rPr>
              <w:t>Four years of service</w:t>
            </w:r>
          </w:p>
        </w:tc>
        <w:tc>
          <w:tcPr>
            <w:tcW w:w="16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3400" w:type="dxa"/>
            <w:vAlign w:val="bottom"/>
          </w:tcPr>
          <w:p>
            <w:pPr>
              <w:spacing w:after="0"/>
              <w:rPr>
                <w:sz w:val="20"/>
                <w:szCs w:val="20"/>
                <w:color w:val="auto"/>
              </w:rPr>
            </w:pPr>
            <w:r>
              <w:rPr>
                <w:rFonts w:ascii="Arial" w:cs="Arial" w:eastAsia="Arial" w:hAnsi="Arial"/>
                <w:sz w:val="18"/>
                <w:szCs w:val="18"/>
                <w:color w:val="auto"/>
              </w:rPr>
              <w:t>Five or more years of service</w:t>
            </w:r>
          </w:p>
        </w:tc>
        <w:tc>
          <w:tcPr>
            <w:tcW w:w="164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conjunction with a leveraged recapitalization of the Company, all active employees as of June 5, 1998 became fully vested.</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A participant may not withdraw any amount from their vested account balance unless they are age 59½, retire, become deceased or disabled, terminate employment, or experience financial hardship.</w:t>
      </w:r>
    </w:p>
    <w:p>
      <w:pPr>
        <w:spacing w:after="0" w:line="170"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A participant who qualifies for a hardship withdrawal is suspended from making contributions to the Plan for six months. Under present IRS rules, a “hardship” means an immediate and heavy need to draw on financial resources to meet obligations related to health, education, housing, or death of a family member.</w:t>
      </w:r>
    </w:p>
    <w:p>
      <w:pPr>
        <w:spacing w:after="0" w:line="181"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A participant, upon termination of service, may either receive a lump-sum payment of their vested account balance or transfer their balance to the trustee or custodian of another eligible retirement plan.</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Forfeitures</w:t>
      </w:r>
    </w:p>
    <w:p>
      <w:pPr>
        <w:spacing w:after="0" w:line="229" w:lineRule="exact"/>
        <w:rPr>
          <w:sz w:val="20"/>
          <w:szCs w:val="20"/>
          <w:color w:val="auto"/>
        </w:rPr>
      </w:pPr>
    </w:p>
    <w:p>
      <w:pPr>
        <w:jc w:val="both"/>
        <w:ind w:left="500"/>
        <w:spacing w:after="0" w:line="302" w:lineRule="auto"/>
        <w:rPr>
          <w:sz w:val="20"/>
          <w:szCs w:val="20"/>
          <w:color w:val="auto"/>
        </w:rPr>
      </w:pPr>
      <w:r>
        <w:rPr>
          <w:rFonts w:ascii="Arial" w:cs="Arial" w:eastAsia="Arial" w:hAnsi="Arial"/>
          <w:sz w:val="16"/>
          <w:szCs w:val="16"/>
          <w:color w:val="auto"/>
        </w:rPr>
        <w:t>Employer contributions forfeited by participants not vested at their termination date are used to reinstate previously forfeited account balances of former participants who have returned to the Company, reduce employer contributions in accordance with the Plan's provisions or pay Plan expenses. Total forfeitures that reduced employer contributions in 2014 were approximately $1,179,000. There were no forfeitures during the short plan year ended December 31, 2013. As of December 31, 2014, a balance of approximately $356,000 was available to reduce employer contributions in 2015.</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Participant Accounts</w:t>
      </w:r>
    </w:p>
    <w:p>
      <w:pPr>
        <w:spacing w:after="0" w:line="229"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An account is maintained for each participant, which is credited with the participant's and the employer's matching contributions and an allocation of employer's discretionary contributions, and plan earnings and charged with benefit payments and an allocation of plan losses and administrative expenses. Allocations are based on participant contributions or account balances, as defined by the Plan. The benefit to which a participant is entitled is the benefit that can be provided from the participant's vested account balance.</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Promissory Notes from Participants</w:t>
      </w:r>
    </w:p>
    <w:p>
      <w:pPr>
        <w:spacing w:after="0" w:line="229"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Participants are permitted to borrow against a portion of their vested account balance, pursuant to nondiscriminatory rules established by the Administrative and Investment Committee, up to a maximum of $50,000 or 50% of their vested account balance. Each loan is to be repaid over a period not to exceed five years.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53"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WESCO Distribution,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Savings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2014 and 2013, and December 29, 2013</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Plan Termination</w:t>
      </w:r>
    </w:p>
    <w:p>
      <w:pPr>
        <w:spacing w:after="0" w:line="229"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Although the Company has not expressed any intent to do so, it has the right under the Plan to discontinue its contributions at any time and to terminate the Plan subject to the provisions of ERISA. In the event the Plan terminates, participants will become 100% vested in their accounts, and all vested assets shall be distributed to the participants in accordance with the terms of the Plan, or in such other manner, not inconsistent with the requirements of any applicable law or regulation, as the Company may in its sole discretion determine.</w:t>
      </w:r>
    </w:p>
    <w:p>
      <w:pPr>
        <w:spacing w:after="0" w:line="183" w:lineRule="exact"/>
        <w:rPr>
          <w:sz w:val="20"/>
          <w:szCs w:val="20"/>
          <w:color w:val="auto"/>
        </w:rPr>
      </w:pPr>
    </w:p>
    <w:p>
      <w:pPr>
        <w:ind w:left="500" w:right="7540" w:hanging="492"/>
        <w:spacing w:after="0" w:line="503" w:lineRule="auto"/>
        <w:tabs>
          <w:tab w:leader="none" w:pos="486"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Accounting Principles</w:t>
      </w:r>
    </w:p>
    <w:p>
      <w:pPr>
        <w:ind w:lef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financial statements of the Plan have been prepared in accordance with accounting principles generally accepted in the United States of America. The following are the significant accounting policies followed by the Plan:</w:t>
      </w:r>
    </w:p>
    <w:p>
      <w:pPr>
        <w:spacing w:after="0" w:line="16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Basis of Accounting</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accounting records of the Plan are maintained on the accrual basis of accounting.</w:t>
      </w:r>
    </w:p>
    <w:p>
      <w:pPr>
        <w:spacing w:after="0" w:line="22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Reclassifications</w:t>
      </w:r>
    </w:p>
    <w:p>
      <w:pPr>
        <w:spacing w:after="0" w:line="229" w:lineRule="exact"/>
        <w:rPr>
          <w:rFonts w:ascii="Arial" w:cs="Arial" w:eastAsia="Arial" w:hAnsi="Arial"/>
          <w:sz w:val="18"/>
          <w:szCs w:val="18"/>
          <w:b w:val="1"/>
          <w:bCs w:val="1"/>
          <w:color w:val="auto"/>
        </w:rPr>
      </w:pPr>
    </w:p>
    <w:p>
      <w:pPr>
        <w:ind w:lef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Statement of Net Assets Available for Benefits and Note 4 as of December 29, 2013 include certain reclassifications to previously reported amounts to conform to the current period presentation.</w:t>
      </w:r>
    </w:p>
    <w:p>
      <w:pPr>
        <w:spacing w:after="0" w:line="16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229" w:lineRule="exact"/>
        <w:rPr>
          <w:rFonts w:ascii="Arial" w:cs="Arial" w:eastAsia="Arial" w:hAnsi="Arial"/>
          <w:sz w:val="18"/>
          <w:szCs w:val="18"/>
          <w:b w:val="1"/>
          <w:bCs w:val="1"/>
          <w:color w:val="auto"/>
        </w:rPr>
      </w:pPr>
    </w:p>
    <w:p>
      <w:pPr>
        <w:jc w:val="both"/>
        <w:ind w:left="5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preparation of financial statements in conformity with accounting principles generally accepted in the United States of America requires management to make significant estimates and assumptions. These estimates may affect the reported amounts of assets and liabilities and the disclosure of contingent assets and liabilities as of the date of the financial statements. Actual results could differ from those estimates.</w:t>
      </w:r>
    </w:p>
    <w:p>
      <w:pPr>
        <w:spacing w:after="0" w:line="16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Investment Valuation and Income Recognition</w:t>
      </w:r>
    </w:p>
    <w:p>
      <w:pPr>
        <w:spacing w:after="0" w:line="229" w:lineRule="exact"/>
        <w:rPr>
          <w:rFonts w:ascii="Arial" w:cs="Arial" w:eastAsia="Arial" w:hAnsi="Arial"/>
          <w:sz w:val="18"/>
          <w:szCs w:val="18"/>
          <w:b w:val="1"/>
          <w:bCs w:val="1"/>
          <w:color w:val="auto"/>
        </w:rPr>
      </w:pPr>
    </w:p>
    <w:p>
      <w:pPr>
        <w:jc w:val="both"/>
        <w:ind w:left="5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Plan has adopted a framework for measuring fair value under current accounting pronouncements that requires fair value measurements and enhanced disclosures about fair value measurements. This framework defines fair value as the exchange price that would be received for an asset or paid to transfer a liability (an exit price) in the principal or most advantageous market for the asset or liability in an orderly transaction. Disclosures include a fair value hierarchy that requires an entity to maximize the use of observable inputs when measuring fair value.</w:t>
      </w:r>
    </w:p>
    <w:p>
      <w:pPr>
        <w:spacing w:after="0" w:line="17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three levels of inputs that may be used to measure fair value are as follows:</w:t>
      </w:r>
    </w:p>
    <w:p>
      <w:pPr>
        <w:spacing w:after="0" w:line="225" w:lineRule="exact"/>
        <w:rPr>
          <w:rFonts w:ascii="Arial" w:cs="Arial" w:eastAsia="Arial" w:hAnsi="Arial"/>
          <w:sz w:val="18"/>
          <w:szCs w:val="18"/>
          <w:b w:val="1"/>
          <w:bCs w:val="1"/>
          <w:color w:val="auto"/>
        </w:rPr>
      </w:pPr>
    </w:p>
    <w:p>
      <w:pPr>
        <w:ind w:left="1160" w:hanging="328"/>
        <w:spacing w:after="0"/>
        <w:tabs>
          <w:tab w:leader="none" w:pos="1160" w:val="left"/>
        </w:tabs>
        <w:numPr>
          <w:ilvl w:val="1"/>
          <w:numId w:val="6"/>
        </w:numPr>
        <w:rPr>
          <w:rFonts w:ascii="Arial" w:cs="Arial" w:eastAsia="Arial" w:hAnsi="Arial"/>
          <w:sz w:val="17"/>
          <w:szCs w:val="17"/>
          <w:color w:val="auto"/>
        </w:rPr>
      </w:pPr>
      <w:r>
        <w:rPr>
          <w:rFonts w:ascii="Arial" w:cs="Arial" w:eastAsia="Arial" w:hAnsi="Arial"/>
          <w:sz w:val="17"/>
          <w:szCs w:val="17"/>
          <w:color w:val="auto"/>
        </w:rPr>
        <w:t>Level 1 - Observable inputs such as quoted prices in active markets for identical investments that the Plan has the ability to access.</w:t>
      </w:r>
    </w:p>
    <w:p>
      <w:pPr>
        <w:spacing w:after="0" w:line="236" w:lineRule="exact"/>
        <w:rPr>
          <w:rFonts w:ascii="Arial" w:cs="Arial" w:eastAsia="Arial" w:hAnsi="Arial"/>
          <w:sz w:val="17"/>
          <w:szCs w:val="17"/>
          <w:color w:val="auto"/>
        </w:rPr>
      </w:pPr>
    </w:p>
    <w:p>
      <w:pPr>
        <w:ind w:left="1160" w:hanging="328"/>
        <w:spacing w:after="0"/>
        <w:tabs>
          <w:tab w:leader="none" w:pos="1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Level 2 - Inputs include:</w:t>
      </w:r>
    </w:p>
    <w:p>
      <w:pPr>
        <w:spacing w:after="0" w:line="225" w:lineRule="exact"/>
        <w:rPr>
          <w:rFonts w:ascii="Arial" w:cs="Arial" w:eastAsia="Arial" w:hAnsi="Arial"/>
          <w:sz w:val="18"/>
          <w:szCs w:val="18"/>
          <w:color w:val="auto"/>
        </w:rPr>
      </w:pPr>
    </w:p>
    <w:p>
      <w:pPr>
        <w:ind w:left="1800" w:hanging="320"/>
        <w:spacing w:after="0"/>
        <w:tabs>
          <w:tab w:leader="none" w:pos="1800" w:val="left"/>
        </w:tabs>
        <w:numPr>
          <w:ilvl w:val="2"/>
          <w:numId w:val="6"/>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225" w:lineRule="exact"/>
        <w:rPr>
          <w:rFonts w:ascii="Arial" w:cs="Arial" w:eastAsia="Arial" w:hAnsi="Arial"/>
          <w:sz w:val="18"/>
          <w:szCs w:val="18"/>
          <w:color w:val="auto"/>
        </w:rPr>
      </w:pPr>
    </w:p>
    <w:p>
      <w:pPr>
        <w:ind w:left="1800" w:hanging="320"/>
        <w:spacing w:after="0"/>
        <w:tabs>
          <w:tab w:leader="none" w:pos="1800" w:val="left"/>
        </w:tabs>
        <w:numPr>
          <w:ilvl w:val="2"/>
          <w:numId w:val="6"/>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225" w:lineRule="exact"/>
        <w:rPr>
          <w:rFonts w:ascii="Arial" w:cs="Arial" w:eastAsia="Arial" w:hAnsi="Arial"/>
          <w:sz w:val="18"/>
          <w:szCs w:val="18"/>
          <w:color w:val="auto"/>
        </w:rPr>
      </w:pPr>
    </w:p>
    <w:p>
      <w:pPr>
        <w:ind w:left="1800" w:hanging="320"/>
        <w:spacing w:after="0"/>
        <w:tabs>
          <w:tab w:leader="none" w:pos="1800" w:val="left"/>
        </w:tabs>
        <w:numPr>
          <w:ilvl w:val="2"/>
          <w:numId w:val="6"/>
        </w:numPr>
        <w:rPr>
          <w:rFonts w:ascii="Arial" w:cs="Arial" w:eastAsia="Arial" w:hAnsi="Arial"/>
          <w:sz w:val="18"/>
          <w:szCs w:val="18"/>
          <w:color w:val="auto"/>
        </w:rPr>
      </w:pPr>
      <w:r>
        <w:rPr>
          <w:rFonts w:ascii="Arial" w:cs="Arial" w:eastAsia="Arial" w:hAnsi="Arial"/>
          <w:sz w:val="18"/>
          <w:szCs w:val="18"/>
          <w:color w:val="auto"/>
        </w:rPr>
        <w:t>Inputs, other than quoted prices in active markets, that are observable either directly or indirectly; and</w:t>
      </w:r>
    </w:p>
    <w:p>
      <w:pPr>
        <w:spacing w:after="0" w:line="225" w:lineRule="exact"/>
        <w:rPr>
          <w:rFonts w:ascii="Arial" w:cs="Arial" w:eastAsia="Arial" w:hAnsi="Arial"/>
          <w:sz w:val="18"/>
          <w:szCs w:val="18"/>
          <w:color w:val="auto"/>
        </w:rPr>
      </w:pPr>
    </w:p>
    <w:p>
      <w:pPr>
        <w:ind w:left="1800" w:hanging="320"/>
        <w:spacing w:after="0"/>
        <w:tabs>
          <w:tab w:leader="none" w:pos="1800" w:val="left"/>
        </w:tabs>
        <w:numPr>
          <w:ilvl w:val="2"/>
          <w:numId w:val="6"/>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53"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WESCO Distribution,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Savings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2014 and 2013, and December 29,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60" w:right="20" w:hanging="328"/>
        <w:spacing w:after="0" w:line="308" w:lineRule="auto"/>
        <w:tabs>
          <w:tab w:leader="none" w:pos="11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3 - Unobservable inputs in which there is little or no market activity for the asset or liability, which require the reporting entity to develop its own estimates and assumptions relating to the pricing of the asset or liability, including assumptions regarding risk.</w:t>
      </w:r>
    </w:p>
    <w:p>
      <w:pPr>
        <w:spacing w:after="0" w:line="147" w:lineRule="exact"/>
        <w:rPr>
          <w:sz w:val="20"/>
          <w:szCs w:val="20"/>
          <w:color w:val="auto"/>
        </w:rPr>
      </w:pPr>
    </w:p>
    <w:p>
      <w:pPr>
        <w:ind w:left="500" w:right="20"/>
        <w:spacing w:after="0" w:line="277"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w:t>
      </w:r>
    </w:p>
    <w:p>
      <w:pPr>
        <w:spacing w:after="0" w:line="170"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Following is a description of the valuation methodologies used for assets measured at fair value. There have been no changes in the methodologies used as of December 31, 2014 and 2013, and December 29, 2013.</w:t>
      </w:r>
    </w:p>
    <w:p>
      <w:pPr>
        <w:spacing w:after="0" w:line="170" w:lineRule="exact"/>
        <w:rPr>
          <w:sz w:val="20"/>
          <w:szCs w:val="20"/>
          <w:color w:val="auto"/>
        </w:rPr>
      </w:pPr>
    </w:p>
    <w:p>
      <w:pPr>
        <w:jc w:val="both"/>
        <w:ind w:left="1160" w:hanging="328"/>
        <w:spacing w:after="0" w:line="25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Common stocks are valued at the closing price reported on the active market on which the individual securities are traded. Common stocks include the WESCO International Pooled Stock Fund</w:t>
      </w:r>
      <w:r>
        <w:rPr>
          <w:rFonts w:ascii="Arial" w:cs="Arial" w:eastAsia="Arial" w:hAnsi="Arial"/>
          <w:sz w:val="18"/>
          <w:szCs w:val="18"/>
          <w:i w:val="1"/>
          <w:iCs w:val="1"/>
          <w:color w:val="auto"/>
        </w:rPr>
        <w:t>,</w:t>
      </w:r>
      <w:r>
        <w:rPr>
          <w:rFonts w:ascii="Arial" w:cs="Arial" w:eastAsia="Arial" w:hAnsi="Arial"/>
          <w:sz w:val="18"/>
          <w:szCs w:val="18"/>
          <w:color w:val="auto"/>
        </w:rPr>
        <w:t xml:space="preserve"> which is an employer stock unitized fund. Such fund consists of WESCO International, Inc. common stock and a short-term cash component, which provides liquidity for daily trading. WESCO International, Inc. common stock is valued at the quoted closing market price from a national securities exchange and the short term cash investments are valued at cost, which approximates fair value.</w:t>
      </w:r>
    </w:p>
    <w:p>
      <w:pPr>
        <w:spacing w:after="0" w:line="188" w:lineRule="exact"/>
        <w:rPr>
          <w:rFonts w:ascii="Arial" w:cs="Arial" w:eastAsia="Arial" w:hAnsi="Arial"/>
          <w:sz w:val="18"/>
          <w:szCs w:val="18"/>
          <w:color w:val="auto"/>
        </w:rPr>
      </w:pPr>
    </w:p>
    <w:p>
      <w:pPr>
        <w:ind w:left="1160" w:hanging="328"/>
        <w:spacing w:after="0" w:line="27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Registered investment companies are valued at the net asset value of shares held by the Plan as of December 31, 2014 and 2013, and December 29, 2013.</w:t>
      </w:r>
    </w:p>
    <w:p>
      <w:pPr>
        <w:spacing w:after="0" w:line="170" w:lineRule="exact"/>
        <w:rPr>
          <w:rFonts w:ascii="Arial" w:cs="Arial" w:eastAsia="Arial" w:hAnsi="Arial"/>
          <w:sz w:val="18"/>
          <w:szCs w:val="18"/>
          <w:color w:val="auto"/>
        </w:rPr>
      </w:pPr>
    </w:p>
    <w:p>
      <w:pPr>
        <w:ind w:left="1160" w:hanging="328"/>
        <w:spacing w:after="0" w:line="27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Stable Value Fund (Note 5) is valued based on the underlying securities, which include corporate bonds, commercial mortgage-backed securities and government securities.</w:t>
      </w:r>
    </w:p>
    <w:p>
      <w:pPr>
        <w:spacing w:after="0" w:line="170" w:lineRule="exact"/>
        <w:rPr>
          <w:rFonts w:ascii="Arial" w:cs="Arial" w:eastAsia="Arial" w:hAnsi="Arial"/>
          <w:sz w:val="18"/>
          <w:szCs w:val="18"/>
          <w:color w:val="auto"/>
        </w:rPr>
      </w:pPr>
    </w:p>
    <w:p>
      <w:pPr>
        <w:jc w:val="both"/>
        <w:ind w:left="1160" w:hanging="328"/>
        <w:spacing w:after="0" w:line="264"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RAFI Enhanced Large Company Fund is valued at net asset value based on the value of the underlying securities, which primarily include common stocks. The fund seeks to provide growth through exposure to a broad class of securities. There are no unfunded commitments or restrictions on participant redemptions.</w:t>
      </w:r>
    </w:p>
    <w:p>
      <w:pPr>
        <w:spacing w:after="0" w:line="181"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as of the reporting date.</w:t>
      </w:r>
    </w:p>
    <w:p>
      <w:pPr>
        <w:spacing w:after="0" w:line="187" w:lineRule="exact"/>
        <w:rPr>
          <w:sz w:val="20"/>
          <w:szCs w:val="20"/>
          <w:color w:val="auto"/>
        </w:rPr>
      </w:pPr>
    </w:p>
    <w:p>
      <w:pPr>
        <w:jc w:val="both"/>
        <w:ind w:left="500"/>
        <w:spacing w:after="0" w:line="273" w:lineRule="auto"/>
        <w:rPr>
          <w:sz w:val="20"/>
          <w:szCs w:val="20"/>
          <w:color w:val="auto"/>
        </w:rPr>
      </w:pPr>
      <w:r>
        <w:rPr>
          <w:rFonts w:ascii="Arial" w:cs="Arial" w:eastAsia="Arial" w:hAnsi="Arial"/>
          <w:sz w:val="17"/>
          <w:szCs w:val="17"/>
          <w:color w:val="auto"/>
        </w:rPr>
        <w:t>Investment contracts held by a defined-contribution plan are required to be reported at fair value. However, contract value is the relevant measurement for that portion of the net assets available for benefits of a defined-contribution plan attributable to fully benefit-responsive investment contracts, because contract value is the amount participants would receive if they were to initiate permitted transactions under the terms of the plan. As required by accounting principles generally accepted in the United States of America, the statements of net assets available for benefits present the fair value of the investment contracts as well as the adjustment of the fully benefit-responsive investment contracts from fair value to contract value. The statements of changes in net assets available for benefits are prepared on a contract value basis.</w:t>
      </w:r>
    </w:p>
    <w:p>
      <w:pPr>
        <w:spacing w:after="0" w:line="178"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Purchases and sales of securities are recorded on a trade date basis. Dividends are recorded on the ex-dividend date. Interest income is recorded on an accrual basis.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53"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WESCO Distribution,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Savings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2014 and 2013, and December 29, 2013</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Net Appreciation in Value of Investments</w:t>
      </w:r>
    </w:p>
    <w:p>
      <w:pPr>
        <w:spacing w:after="0" w:line="229"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The Plan presents in the statements of changes in net assets available for benefits the net appreciation (depreciation) in the fair value of its investments, consisting of realized gains (losses) and unrealized gains (losses) in the registered investment companies, Stable Value Fund, RAFI Enhanced Large Company Fund, WESCO International stock and other common stocks.</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The Plan provides for various investment options in any combination of stocks, bonds, fixed income securities and other investment securities. Investment securities are exposed to various risks, such as interest rate, market and credit risk. Due to the level of risk associated with certain investment securities and the level of uncertainty related to changes in the value of investment securities, it is at least reasonably possible that changes in the near-term could materially affect (i) participants' account balances, and (ii) the amounts reported in the (a) statements of net assets available for benefits and the (b) statements of changes in net assets available for benefits.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Payment of Benefits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Benefits are recorded when paid.</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Recently Issued Accounting Pronouncments</w:t>
      </w:r>
    </w:p>
    <w:p>
      <w:pPr>
        <w:spacing w:after="0" w:line="229" w:lineRule="exact"/>
        <w:rPr>
          <w:sz w:val="20"/>
          <w:szCs w:val="20"/>
          <w:color w:val="auto"/>
        </w:rPr>
      </w:pPr>
    </w:p>
    <w:p>
      <w:pPr>
        <w:jc w:val="both"/>
        <w:ind w:left="500"/>
        <w:spacing w:after="0" w:line="268" w:lineRule="auto"/>
        <w:rPr>
          <w:sz w:val="20"/>
          <w:szCs w:val="20"/>
          <w:color w:val="auto"/>
        </w:rPr>
      </w:pPr>
      <w:r>
        <w:rPr>
          <w:rFonts w:ascii="Arial" w:cs="Arial" w:eastAsia="Arial" w:hAnsi="Arial"/>
          <w:sz w:val="17"/>
          <w:szCs w:val="17"/>
          <w:color w:val="auto"/>
        </w:rPr>
        <w:t>In May 2015, the Financial Accounting Standards Board (FASB) issued updated guidance to remove the requirement to categorize within the fair value hierarchy all investments for which fair value is measured using the net asset value (NAV) per share practical expedient. The practical expedient criteria differ from the criteria used to categorize other fair value measurements within the hierarchy. Currently, investments valued using the practical expedient are categorized within the fair value hierarchy on the basis of whether the investment is redeemable with the investee at NAV on the measurement date, never redeemable with the investee at NAV, or redeemable with the investee at NAV at a future date. Under this updated guidance, investments for which fair value is measured at NAV per share (or its equivalent) using the practical expedient should not be categorized in the fair value hierarchy. A reporting entity should continue to disclose information on investments for which fair value is measured at net asset value (or its equivalent) as a practical expedient to help users understand the nature and risks of the investments and whether the investments, if sold, are probable of being sold at amounts different from net asset value. The guidance is effective for fiscal years beginning after December 15, 2015, and interim periods within those fiscal years, and should be applied retrospectively. The retrospective approach requires that an investment for which fair value is measured using the net asset value per share practical expedient be removed from the fair value hierarchy in all periods presented in an entity’s financial statements. Earlier application is permitted. The Plan's management has not yet evaluated the future impact of this guidance on the Plan's financial statements and notes thereto.</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All administrative expenses were paid by the Plan during the year ended December 31, 2014 and the short plan year ended December 31, 2013.</w:t>
      </w:r>
    </w:p>
    <w:p>
      <w:pPr>
        <w:spacing w:after="0" w:line="233"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Tax Status</w:t>
      </w:r>
    </w:p>
    <w:p>
      <w:pPr>
        <w:spacing w:after="0" w:line="229" w:lineRule="exact"/>
        <w:rPr>
          <w:rFonts w:ascii="Arial" w:cs="Arial" w:eastAsia="Arial" w:hAnsi="Arial"/>
          <w:sz w:val="18"/>
          <w:szCs w:val="18"/>
          <w:b w:val="1"/>
          <w:bCs w:val="1"/>
          <w:color w:val="auto"/>
        </w:rPr>
      </w:pPr>
    </w:p>
    <w:p>
      <w:pPr>
        <w:jc w:val="both"/>
        <w:ind w:left="5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IRS has determined and informed the Company by a letter dated November 15, 2012, that the Plan is designed in accordance with Section 401(a) of the Internal Revenue Code (“IRC”) and, therefore, is exempt from federal taxes under provisions of Section 501(a). Accordingly, no provision for income taxes has been included in the Plan's financial statements. The Plan has been amended since receiving its determination letter. However, the Plan administrator and the Plan's tax counsel believe the Plan is designed and is currently being operated in compliance with the applicable requirements of the IRC.</w:t>
      </w:r>
    </w:p>
    <w:p>
      <w:pPr>
        <w:spacing w:after="0" w:line="188" w:lineRule="exact"/>
        <w:rPr>
          <w:rFonts w:ascii="Arial" w:cs="Arial" w:eastAsia="Arial" w:hAnsi="Arial"/>
          <w:sz w:val="18"/>
          <w:szCs w:val="18"/>
          <w:b w:val="1"/>
          <w:bCs w:val="1"/>
          <w:color w:val="auto"/>
        </w:rPr>
      </w:pPr>
    </w:p>
    <w:p>
      <w:pPr>
        <w:ind w:lef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Accounting principles generally accepted in the United States of America require plan management to evaluate tax positions taken by the plan and recognize a tax liability (or asset) if the plan has taken an uncertain position that more likely than not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53"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WESCO Distribution,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Savings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2014 and 2013, and December 29, 2013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would not be sustained upon examination by a taxing authority. The Plan is subject to routine audits by taxing jurisdictions; however, there are currently no audits for any tax periods in progress. The plan administrator believes it is no longer subject to income tax examinations for years prior to 2011.</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53"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WESCO Distribution,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Savings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2014 and 2013, and December 29, 2013</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6"/>
          <w:szCs w:val="16"/>
          <w:color w:val="auto"/>
        </w:rPr>
        <w:t>The Plan's investments measured at fair value on a recurring basis by fair value hierarchy level, as described in Note 2, were as follows:</w:t>
      </w:r>
    </w:p>
    <w:p>
      <w:pPr>
        <w:spacing w:after="0" w:line="200" w:lineRule="exact"/>
        <w:rPr>
          <w:sz w:val="20"/>
          <w:szCs w:val="20"/>
          <w:color w:val="auto"/>
        </w:rPr>
      </w:pPr>
    </w:p>
    <w:p>
      <w:pPr>
        <w:spacing w:after="0" w:line="210" w:lineRule="exact"/>
        <w:rPr>
          <w:sz w:val="20"/>
          <w:szCs w:val="20"/>
          <w:color w:val="auto"/>
        </w:rPr>
      </w:pPr>
    </w:p>
    <w:tbl>
      <w:tblPr>
        <w:tblLayout w:type="fixed"/>
        <w:tblInd w:w="1540" w:type="dxa"/>
        <w:tblCellMar>
          <w:top w:w="0" w:type="dxa"/>
          <w:left w:w="0" w:type="dxa"/>
          <w:bottom w:w="0" w:type="dxa"/>
          <w:right w:w="0" w:type="dxa"/>
        </w:tblCellMar>
      </w:tblPr>
      <w:tr>
        <w:trPr>
          <w:trHeight w:val="230"/>
        </w:trPr>
        <w:tc>
          <w:tcPr>
            <w:tcW w:w="4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80" w:type="dxa"/>
            <w:vAlign w:val="bottom"/>
            <w:gridSpan w:val="5"/>
          </w:tcPr>
          <w:p>
            <w:pPr>
              <w:ind w:left="100"/>
              <w:spacing w:after="0"/>
              <w:rPr>
                <w:sz w:val="20"/>
                <w:szCs w:val="20"/>
                <w:color w:val="auto"/>
              </w:rPr>
            </w:pPr>
            <w:r>
              <w:rPr>
                <w:rFonts w:ascii="Arial" w:cs="Arial" w:eastAsia="Arial" w:hAnsi="Arial"/>
                <w:sz w:val="18"/>
                <w:szCs w:val="18"/>
                <w:color w:val="auto"/>
              </w:rPr>
              <w:t>December 31, 2014</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3"/>
          </w:tcPr>
          <w:p>
            <w:pPr>
              <w:ind w:left="160"/>
              <w:spacing w:after="0"/>
              <w:rPr>
                <w:sz w:val="20"/>
                <w:szCs w:val="20"/>
                <w:color w:val="auto"/>
              </w:rPr>
            </w:pPr>
            <w:r>
              <w:rPr>
                <w:rFonts w:ascii="Arial" w:cs="Arial" w:eastAsia="Arial" w:hAnsi="Arial"/>
                <w:sz w:val="18"/>
                <w:szCs w:val="18"/>
                <w:color w:val="auto"/>
              </w:rPr>
              <w:t>Level 2</w:t>
            </w:r>
          </w:p>
        </w:tc>
        <w:tc>
          <w:tcPr>
            <w:tcW w:w="112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4440" w:type="dxa"/>
            <w:vAlign w:val="bottom"/>
            <w:vMerge w:val="restart"/>
          </w:tcPr>
          <w:p>
            <w:pPr>
              <w:ind w:left="20"/>
              <w:spacing w:after="0"/>
              <w:rPr>
                <w:sz w:val="20"/>
                <w:szCs w:val="20"/>
                <w:color w:val="auto"/>
              </w:rPr>
            </w:pPr>
            <w:r>
              <w:rPr>
                <w:rFonts w:ascii="Arial" w:cs="Arial" w:eastAsia="Arial" w:hAnsi="Arial"/>
                <w:sz w:val="18"/>
                <w:szCs w:val="18"/>
                <w:color w:val="auto"/>
              </w:rPr>
              <w:t>Shares of registered investment companies</w:t>
            </w: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Small growth</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8,733,094</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8,733,094</w:t>
            </w:r>
          </w:p>
        </w:tc>
        <w:tc>
          <w:tcPr>
            <w:tcW w:w="0" w:type="dxa"/>
            <w:vAlign w:val="bottom"/>
          </w:tcPr>
          <w:p>
            <w:pPr>
              <w:spacing w:after="0"/>
              <w:rPr>
                <w:sz w:val="1"/>
                <w:szCs w:val="1"/>
                <w:color w:val="auto"/>
              </w:rPr>
            </w:pP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Small value</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7,177,152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7,177,152</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Large growth</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63,492,756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63,492,756</w:t>
            </w:r>
          </w:p>
        </w:tc>
        <w:tc>
          <w:tcPr>
            <w:tcW w:w="0" w:type="dxa"/>
            <w:vAlign w:val="bottom"/>
          </w:tcPr>
          <w:p>
            <w:pPr>
              <w:spacing w:after="0"/>
              <w:rPr>
                <w:sz w:val="1"/>
                <w:szCs w:val="1"/>
                <w:color w:val="auto"/>
              </w:rPr>
            </w:pP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Large value</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26,499,418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26,499,418</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Moderate allocation</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101,737,394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101,737,394</w:t>
            </w:r>
          </w:p>
        </w:tc>
        <w:tc>
          <w:tcPr>
            <w:tcW w:w="0" w:type="dxa"/>
            <w:vAlign w:val="bottom"/>
          </w:tcPr>
          <w:p>
            <w:pPr>
              <w:spacing w:after="0"/>
              <w:rPr>
                <w:sz w:val="1"/>
                <w:szCs w:val="1"/>
                <w:color w:val="auto"/>
              </w:rPr>
            </w:pP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Mid-cap value</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33,999,286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33,999,286</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Mid-cap growth</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50,360,066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50,360,066</w:t>
            </w:r>
          </w:p>
        </w:tc>
        <w:tc>
          <w:tcPr>
            <w:tcW w:w="0" w:type="dxa"/>
            <w:vAlign w:val="bottom"/>
          </w:tcPr>
          <w:p>
            <w:pPr>
              <w:spacing w:after="0"/>
              <w:rPr>
                <w:sz w:val="1"/>
                <w:szCs w:val="1"/>
                <w:color w:val="auto"/>
              </w:rPr>
            </w:pP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Foreign large blend</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28,485,340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28,485,340</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Intermediate-term bond</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26,950,746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26,950,746</w:t>
            </w:r>
          </w:p>
        </w:tc>
        <w:tc>
          <w:tcPr>
            <w:tcW w:w="0" w:type="dxa"/>
            <w:vAlign w:val="bottom"/>
          </w:tcPr>
          <w:p>
            <w:pPr>
              <w:spacing w:after="0"/>
              <w:rPr>
                <w:sz w:val="1"/>
                <w:szCs w:val="1"/>
                <w:color w:val="auto"/>
              </w:rPr>
            </w:pP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World bond</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5,366,495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5,366,495</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Real estate</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2,221,252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2,221,252</w:t>
            </w:r>
          </w:p>
        </w:tc>
        <w:tc>
          <w:tcPr>
            <w:tcW w:w="0" w:type="dxa"/>
            <w:vAlign w:val="bottom"/>
          </w:tcPr>
          <w:p>
            <w:pPr>
              <w:spacing w:after="0"/>
              <w:rPr>
                <w:sz w:val="1"/>
                <w:szCs w:val="1"/>
                <w:color w:val="auto"/>
              </w:rPr>
            </w:pP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Retirement income</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2,043,381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2,043,381</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Target-date</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33,077,294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33,077,294</w:t>
            </w:r>
          </w:p>
        </w:tc>
        <w:tc>
          <w:tcPr>
            <w:tcW w:w="0" w:type="dxa"/>
            <w:vAlign w:val="bottom"/>
          </w:tcPr>
          <w:p>
            <w:pPr>
              <w:spacing w:after="0"/>
              <w:rPr>
                <w:sz w:val="1"/>
                <w:szCs w:val="1"/>
                <w:color w:val="auto"/>
              </w:rPr>
            </w:pP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Total shares of registered investment companies</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390,143,674</w:t>
            </w: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3"/>
          </w:tcPr>
          <w:p>
            <w:pPr>
              <w:ind w:left="88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390,143,674</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Stock funds and self-directed accounts</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WESCO International Pooled Stock Fund</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19,159,861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19,159,861</w:t>
            </w:r>
          </w:p>
        </w:tc>
        <w:tc>
          <w:tcPr>
            <w:tcW w:w="0" w:type="dxa"/>
            <w:vAlign w:val="bottom"/>
          </w:tcPr>
          <w:p>
            <w:pPr>
              <w:spacing w:after="0"/>
              <w:rPr>
                <w:sz w:val="1"/>
                <w:szCs w:val="1"/>
                <w:color w:val="auto"/>
              </w:rPr>
            </w:pPr>
          </w:p>
        </w:tc>
      </w:tr>
      <w:tr>
        <w:trPr>
          <w:trHeight w:val="297"/>
        </w:trPr>
        <w:tc>
          <w:tcPr>
            <w:tcW w:w="4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Self-directed accounts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1,366,488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1,366,488</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420"/>
              <w:spacing w:after="0"/>
              <w:rPr>
                <w:sz w:val="20"/>
                <w:szCs w:val="20"/>
                <w:color w:val="auto"/>
              </w:rPr>
            </w:pPr>
            <w:r>
              <w:rPr>
                <w:rFonts w:ascii="Arial" w:cs="Arial" w:eastAsia="Arial" w:hAnsi="Arial"/>
                <w:sz w:val="18"/>
                <w:szCs w:val="18"/>
                <w:color w:val="auto"/>
              </w:rPr>
              <w:t>Transportation</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23,717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23,717</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Food, beverages &amp; tobacco</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235,201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235,201</w:t>
            </w:r>
          </w:p>
        </w:tc>
        <w:tc>
          <w:tcPr>
            <w:tcW w:w="0" w:type="dxa"/>
            <w:vAlign w:val="bottom"/>
          </w:tcPr>
          <w:p>
            <w:pPr>
              <w:spacing w:after="0"/>
              <w:rPr>
                <w:sz w:val="1"/>
                <w:szCs w:val="1"/>
                <w:color w:val="auto"/>
              </w:rPr>
            </w:pPr>
          </w:p>
        </w:tc>
      </w:tr>
      <w:tr>
        <w:trPr>
          <w:trHeight w:val="243"/>
        </w:trPr>
        <w:tc>
          <w:tcPr>
            <w:tcW w:w="4440" w:type="dxa"/>
            <w:vAlign w:val="bottom"/>
          </w:tcPr>
          <w:p>
            <w:pPr>
              <w:ind w:left="420"/>
              <w:spacing w:after="0"/>
              <w:rPr>
                <w:sz w:val="20"/>
                <w:szCs w:val="20"/>
                <w:color w:val="auto"/>
              </w:rPr>
            </w:pPr>
            <w:r>
              <w:rPr>
                <w:rFonts w:ascii="Arial" w:cs="Arial" w:eastAsia="Arial" w:hAnsi="Arial"/>
                <w:sz w:val="18"/>
                <w:szCs w:val="18"/>
                <w:color w:val="auto"/>
              </w:rPr>
              <w:t>Building materials</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12,860</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Chemicals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68,866</w:t>
            </w:r>
          </w:p>
        </w:tc>
        <w:tc>
          <w:tcPr>
            <w:tcW w:w="0" w:type="dxa"/>
            <w:vAlign w:val="bottom"/>
          </w:tcPr>
          <w:p>
            <w:pPr>
              <w:spacing w:after="0"/>
              <w:rPr>
                <w:sz w:val="1"/>
                <w:szCs w:val="1"/>
                <w:color w:val="auto"/>
              </w:rPr>
            </w:pPr>
          </w:p>
        </w:tc>
      </w:tr>
      <w:tr>
        <w:trPr>
          <w:trHeight w:val="243"/>
        </w:trPr>
        <w:tc>
          <w:tcPr>
            <w:tcW w:w="4440" w:type="dxa"/>
            <w:vAlign w:val="bottom"/>
          </w:tcPr>
          <w:p>
            <w:pPr>
              <w:ind w:left="420"/>
              <w:spacing w:after="0"/>
              <w:rPr>
                <w:sz w:val="20"/>
                <w:szCs w:val="20"/>
                <w:color w:val="auto"/>
              </w:rPr>
            </w:pPr>
            <w:r>
              <w:rPr>
                <w:rFonts w:ascii="Arial" w:cs="Arial" w:eastAsia="Arial" w:hAnsi="Arial"/>
                <w:sz w:val="18"/>
                <w:szCs w:val="18"/>
                <w:color w:val="auto"/>
              </w:rPr>
              <w:t>Communications &amp; media</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770,824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770,824</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Electronics &amp;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907,799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907,799</w:t>
            </w:r>
          </w:p>
        </w:tc>
        <w:tc>
          <w:tcPr>
            <w:tcW w:w="0" w:type="dxa"/>
            <w:vAlign w:val="bottom"/>
          </w:tcPr>
          <w:p>
            <w:pPr>
              <w:spacing w:after="0"/>
              <w:rPr>
                <w:sz w:val="1"/>
                <w:szCs w:val="1"/>
                <w:color w:val="auto"/>
              </w:rPr>
            </w:pPr>
          </w:p>
        </w:tc>
      </w:tr>
      <w:tr>
        <w:trPr>
          <w:trHeight w:val="243"/>
        </w:trPr>
        <w:tc>
          <w:tcPr>
            <w:tcW w:w="4440" w:type="dxa"/>
            <w:vAlign w:val="bottom"/>
          </w:tcPr>
          <w:p>
            <w:pPr>
              <w:ind w:left="420"/>
              <w:spacing w:after="0"/>
              <w:rPr>
                <w:sz w:val="20"/>
                <w:szCs w:val="20"/>
                <w:color w:val="auto"/>
              </w:rPr>
            </w:pPr>
            <w:r>
              <w:rPr>
                <w:rFonts w:ascii="Arial" w:cs="Arial" w:eastAsia="Arial" w:hAnsi="Arial"/>
                <w:sz w:val="18"/>
                <w:szCs w:val="18"/>
                <w:color w:val="auto"/>
              </w:rPr>
              <w:t>Energy</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625,284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625,284</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Financial</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379,571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379,571</w:t>
            </w:r>
          </w:p>
        </w:tc>
        <w:tc>
          <w:tcPr>
            <w:tcW w:w="0" w:type="dxa"/>
            <w:vAlign w:val="bottom"/>
          </w:tcPr>
          <w:p>
            <w:pPr>
              <w:spacing w:after="0"/>
              <w:rPr>
                <w:sz w:val="1"/>
                <w:szCs w:val="1"/>
                <w:color w:val="auto"/>
              </w:rPr>
            </w:pPr>
          </w:p>
        </w:tc>
      </w:tr>
      <w:tr>
        <w:trPr>
          <w:trHeight w:val="243"/>
        </w:trPr>
        <w:tc>
          <w:tcPr>
            <w:tcW w:w="4440" w:type="dxa"/>
            <w:vAlign w:val="bottom"/>
          </w:tcPr>
          <w:p>
            <w:pPr>
              <w:ind w:left="420"/>
              <w:spacing w:after="0"/>
              <w:rPr>
                <w:sz w:val="20"/>
                <w:szCs w:val="20"/>
                <w:color w:val="auto"/>
              </w:rPr>
            </w:pPr>
            <w:r>
              <w:rPr>
                <w:rFonts w:ascii="Arial" w:cs="Arial" w:eastAsia="Arial" w:hAnsi="Arial"/>
                <w:sz w:val="18"/>
                <w:szCs w:val="18"/>
                <w:color w:val="auto"/>
              </w:rPr>
              <w:t>Healthcare</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552,501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552,501</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Industrial</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167,259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167,259</w:t>
            </w:r>
          </w:p>
        </w:tc>
        <w:tc>
          <w:tcPr>
            <w:tcW w:w="0" w:type="dxa"/>
            <w:vAlign w:val="bottom"/>
          </w:tcPr>
          <w:p>
            <w:pPr>
              <w:spacing w:after="0"/>
              <w:rPr>
                <w:sz w:val="1"/>
                <w:szCs w:val="1"/>
                <w:color w:val="auto"/>
              </w:rPr>
            </w:pPr>
          </w:p>
        </w:tc>
      </w:tr>
      <w:tr>
        <w:trPr>
          <w:trHeight w:val="243"/>
        </w:trPr>
        <w:tc>
          <w:tcPr>
            <w:tcW w:w="4440" w:type="dxa"/>
            <w:vAlign w:val="bottom"/>
          </w:tcPr>
          <w:p>
            <w:pPr>
              <w:ind w:left="420"/>
              <w:spacing w:after="0"/>
              <w:rPr>
                <w:sz w:val="20"/>
                <w:szCs w:val="20"/>
                <w:color w:val="auto"/>
              </w:rPr>
            </w:pPr>
            <w:r>
              <w:rPr>
                <w:rFonts w:ascii="Arial" w:cs="Arial" w:eastAsia="Arial" w:hAnsi="Arial"/>
                <w:sz w:val="18"/>
                <w:szCs w:val="18"/>
                <w:color w:val="auto"/>
              </w:rPr>
              <w:t>Leisure &amp; entertainment</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196,744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196,744</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Metals</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223,309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223,309</w:t>
            </w:r>
          </w:p>
        </w:tc>
        <w:tc>
          <w:tcPr>
            <w:tcW w:w="0" w:type="dxa"/>
            <w:vAlign w:val="bottom"/>
          </w:tcPr>
          <w:p>
            <w:pPr>
              <w:spacing w:after="0"/>
              <w:rPr>
                <w:sz w:val="1"/>
                <w:szCs w:val="1"/>
                <w:color w:val="auto"/>
              </w:rPr>
            </w:pPr>
          </w:p>
        </w:tc>
      </w:tr>
      <w:tr>
        <w:trPr>
          <w:trHeight w:val="27"/>
        </w:trPr>
        <w:tc>
          <w:tcPr>
            <w:tcW w:w="4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400"/>
          </w:cols>
          <w:pgMar w:left="240" w:top="553"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400"/>
          </w:cols>
          <w:pgMar w:left="240" w:top="553" w:right="125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WESCO Distribution,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Savings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2014 and 2013, and December 29,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54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40" w:type="dxa"/>
            <w:vAlign w:val="bottom"/>
            <w:gridSpan w:val="6"/>
          </w:tcPr>
          <w:p>
            <w:pPr>
              <w:jc w:val="right"/>
              <w:spacing w:after="0"/>
              <w:rPr>
                <w:sz w:val="20"/>
                <w:szCs w:val="20"/>
                <w:color w:val="auto"/>
              </w:rPr>
            </w:pPr>
            <w:r>
              <w:rPr>
                <w:rFonts w:ascii="Arial" w:cs="Arial" w:eastAsia="Arial" w:hAnsi="Arial"/>
                <w:sz w:val="18"/>
                <w:szCs w:val="18"/>
                <w:color w:val="auto"/>
              </w:rPr>
              <w:t>December 31, 2014 (continued)</w:t>
            </w:r>
          </w:p>
        </w:tc>
        <w:tc>
          <w:tcPr>
            <w:tcW w:w="1020" w:type="dxa"/>
            <w:vAlign w:val="bottom"/>
          </w:tcPr>
          <w:p>
            <w:pPr>
              <w:spacing w:after="0"/>
              <w:rPr>
                <w:sz w:val="20"/>
                <w:szCs w:val="20"/>
                <w:color w:val="auto"/>
              </w:rPr>
            </w:pPr>
          </w:p>
        </w:tc>
      </w:tr>
      <w:tr>
        <w:trPr>
          <w:trHeight w:val="27"/>
        </w:trPr>
        <w:tc>
          <w:tcPr>
            <w:tcW w:w="4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280" w:type="dxa"/>
            <w:vAlign w:val="bottom"/>
          </w:tcPr>
          <w:p>
            <w:pPr>
              <w:spacing w:after="0"/>
              <w:rPr>
                <w:sz w:val="20"/>
                <w:szCs w:val="20"/>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color w:val="auto"/>
              </w:rPr>
              <w:t>Level 2</w:t>
            </w:r>
          </w:p>
        </w:tc>
        <w:tc>
          <w:tcPr>
            <w:tcW w:w="34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Total</w:t>
            </w:r>
          </w:p>
        </w:tc>
      </w:tr>
      <w:tr>
        <w:trPr>
          <w:trHeight w:val="27"/>
        </w:trPr>
        <w:tc>
          <w:tcPr>
            <w:tcW w:w="4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Multi-industry</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87,246</w:t>
            </w:r>
          </w:p>
        </w:tc>
      </w:tr>
      <w:tr>
        <w:trPr>
          <w:trHeight w:val="243"/>
        </w:trPr>
        <w:tc>
          <w:tcPr>
            <w:tcW w:w="4700" w:type="dxa"/>
            <w:vAlign w:val="bottom"/>
            <w:gridSpan w:val="2"/>
          </w:tcPr>
          <w:p>
            <w:pPr>
              <w:ind w:left="420"/>
              <w:spacing w:after="0"/>
              <w:rPr>
                <w:sz w:val="20"/>
                <w:szCs w:val="20"/>
                <w:color w:val="auto"/>
              </w:rPr>
            </w:pPr>
            <w:r>
              <w:rPr>
                <w:rFonts w:ascii="Arial" w:cs="Arial" w:eastAsia="Arial" w:hAnsi="Arial"/>
                <w:sz w:val="18"/>
                <w:szCs w:val="18"/>
                <w:color w:val="auto"/>
              </w:rPr>
              <w:t>Retail</w:t>
            </w:r>
          </w:p>
        </w:tc>
        <w:tc>
          <w:tcPr>
            <w:tcW w:w="1160" w:type="dxa"/>
            <w:vAlign w:val="bottom"/>
          </w:tcPr>
          <w:p>
            <w:pPr>
              <w:jc w:val="right"/>
              <w:spacing w:after="0"/>
              <w:rPr>
                <w:sz w:val="20"/>
                <w:szCs w:val="20"/>
                <w:color w:val="auto"/>
              </w:rPr>
            </w:pPr>
            <w:r>
              <w:rPr>
                <w:rFonts w:ascii="Arial" w:cs="Arial" w:eastAsia="Arial" w:hAnsi="Arial"/>
                <w:sz w:val="18"/>
                <w:szCs w:val="18"/>
                <w:color w:val="auto"/>
              </w:rPr>
              <w:t>161,590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161,590</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Utilities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249,310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249,310</w:t>
            </w:r>
          </w:p>
        </w:tc>
      </w:tr>
      <w:tr>
        <w:trPr>
          <w:trHeight w:val="243"/>
        </w:trPr>
        <w:tc>
          <w:tcPr>
            <w:tcW w:w="4700" w:type="dxa"/>
            <w:vAlign w:val="bottom"/>
            <w:gridSpan w:val="2"/>
          </w:tcPr>
          <w:p>
            <w:pPr>
              <w:ind w:left="340"/>
              <w:spacing w:after="0"/>
              <w:rPr>
                <w:sz w:val="20"/>
                <w:szCs w:val="20"/>
                <w:color w:val="auto"/>
              </w:rPr>
            </w:pPr>
            <w:r>
              <w:rPr>
                <w:rFonts w:ascii="Arial" w:cs="Arial" w:eastAsia="Arial" w:hAnsi="Arial"/>
                <w:sz w:val="18"/>
                <w:szCs w:val="18"/>
                <w:color w:val="auto"/>
              </w:rPr>
              <w:t>Mutual funds</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Fixed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238,794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238,794</w:t>
            </w:r>
          </w:p>
        </w:tc>
      </w:tr>
      <w:tr>
        <w:trPr>
          <w:trHeight w:val="243"/>
        </w:trPr>
        <w:tc>
          <w:tcPr>
            <w:tcW w:w="4700" w:type="dxa"/>
            <w:vAlign w:val="bottom"/>
            <w:gridSpan w:val="2"/>
          </w:tcPr>
          <w:p>
            <w:pPr>
              <w:ind w:left="420"/>
              <w:spacing w:after="0"/>
              <w:rPr>
                <w:sz w:val="20"/>
                <w:szCs w:val="20"/>
                <w:color w:val="auto"/>
              </w:rPr>
            </w:pPr>
            <w:r>
              <w:rPr>
                <w:rFonts w:ascii="Arial" w:cs="Arial" w:eastAsia="Arial" w:hAnsi="Arial"/>
                <w:sz w:val="18"/>
                <w:szCs w:val="18"/>
                <w:color w:val="auto"/>
              </w:rPr>
              <w:t>Balanced</w:t>
            </w:r>
          </w:p>
        </w:tc>
        <w:tc>
          <w:tcPr>
            <w:tcW w:w="1160" w:type="dxa"/>
            <w:vAlign w:val="bottom"/>
          </w:tcPr>
          <w:p>
            <w:pPr>
              <w:jc w:val="right"/>
              <w:spacing w:after="0"/>
              <w:rPr>
                <w:sz w:val="20"/>
                <w:szCs w:val="20"/>
                <w:color w:val="auto"/>
              </w:rPr>
            </w:pPr>
            <w:r>
              <w:rPr>
                <w:rFonts w:ascii="Arial" w:cs="Arial" w:eastAsia="Arial" w:hAnsi="Arial"/>
                <w:sz w:val="18"/>
                <w:szCs w:val="18"/>
                <w:color w:val="auto"/>
              </w:rPr>
              <w:t>75,016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75,016</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Equity</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1,697,247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1,697,247</w:t>
            </w:r>
          </w:p>
        </w:tc>
      </w:tr>
      <w:tr>
        <w:trPr>
          <w:trHeight w:val="243"/>
        </w:trPr>
        <w:tc>
          <w:tcPr>
            <w:tcW w:w="4700" w:type="dxa"/>
            <w:vAlign w:val="bottom"/>
            <w:gridSpan w:val="2"/>
          </w:tcPr>
          <w:p>
            <w:pPr>
              <w:ind w:left="420"/>
              <w:spacing w:after="0"/>
              <w:rPr>
                <w:sz w:val="20"/>
                <w:szCs w:val="20"/>
                <w:color w:val="auto"/>
              </w:rPr>
            </w:pPr>
            <w:r>
              <w:rPr>
                <w:rFonts w:ascii="Arial" w:cs="Arial" w:eastAsia="Arial" w:hAnsi="Arial"/>
                <w:sz w:val="18"/>
                <w:szCs w:val="18"/>
                <w:color w:val="auto"/>
              </w:rPr>
              <w:t>International</w:t>
            </w:r>
          </w:p>
        </w:tc>
        <w:tc>
          <w:tcPr>
            <w:tcW w:w="1160" w:type="dxa"/>
            <w:vAlign w:val="bottom"/>
          </w:tcPr>
          <w:p>
            <w:pPr>
              <w:jc w:val="right"/>
              <w:spacing w:after="0"/>
              <w:rPr>
                <w:sz w:val="20"/>
                <w:szCs w:val="20"/>
                <w:color w:val="auto"/>
              </w:rPr>
            </w:pPr>
            <w:r>
              <w:rPr>
                <w:rFonts w:ascii="Arial" w:cs="Arial" w:eastAsia="Arial" w:hAnsi="Arial"/>
                <w:sz w:val="18"/>
                <w:szCs w:val="18"/>
                <w:color w:val="auto"/>
              </w:rPr>
              <w:t>30,514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30,514</w:t>
            </w:r>
          </w:p>
        </w:tc>
      </w:tr>
      <w:tr>
        <w:trPr>
          <w:trHeight w:val="27"/>
        </w:trPr>
        <w:tc>
          <w:tcPr>
            <w:tcW w:w="4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stock funds and self-directed accounts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27,230,001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27,230,001</w:t>
            </w:r>
          </w:p>
        </w:tc>
      </w:tr>
      <w:tr>
        <w:trPr>
          <w:trHeight w:val="291"/>
        </w:trPr>
        <w:tc>
          <w:tcPr>
            <w:tcW w:w="44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70"/>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Stable Value Fund (Prudential)</w:t>
            </w: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132,536,862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132,536,862</w:t>
            </w:r>
          </w:p>
        </w:tc>
      </w:tr>
      <w:tr>
        <w:trPr>
          <w:trHeight w:val="291"/>
        </w:trPr>
        <w:tc>
          <w:tcPr>
            <w:tcW w:w="44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RAFI Enhanced Large Company Fund</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200"/>
              <w:spacing w:after="0"/>
              <w:rPr>
                <w:sz w:val="20"/>
                <w:szCs w:val="20"/>
                <w:color w:val="auto"/>
              </w:rPr>
            </w:pPr>
            <w:r>
              <w:rPr>
                <w:rFonts w:ascii="Arial" w:cs="Arial" w:eastAsia="Arial" w:hAnsi="Arial"/>
                <w:sz w:val="18"/>
                <w:szCs w:val="18"/>
                <w:color w:val="auto"/>
              </w:rPr>
              <w:t>Cash and cash equivalents</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322,716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322,716</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420"/>
              <w:spacing w:after="0"/>
              <w:rPr>
                <w:sz w:val="20"/>
                <w:szCs w:val="20"/>
                <w:color w:val="auto"/>
              </w:rPr>
            </w:pPr>
            <w:r>
              <w:rPr>
                <w:rFonts w:ascii="Arial" w:cs="Arial" w:eastAsia="Arial" w:hAnsi="Arial"/>
                <w:sz w:val="18"/>
                <w:szCs w:val="18"/>
                <w:color w:val="auto"/>
              </w:rPr>
              <w:t>Consumer discretionary</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4,625,797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4,625,797</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Consumer staples</w:t>
            </w: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3,179,830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3,179,830</w:t>
            </w:r>
          </w:p>
        </w:tc>
      </w:tr>
      <w:tr>
        <w:trPr>
          <w:trHeight w:val="243"/>
        </w:trPr>
        <w:tc>
          <w:tcPr>
            <w:tcW w:w="4700" w:type="dxa"/>
            <w:vAlign w:val="bottom"/>
            <w:gridSpan w:val="2"/>
          </w:tcPr>
          <w:p>
            <w:pPr>
              <w:ind w:left="420"/>
              <w:spacing w:after="0"/>
              <w:rPr>
                <w:sz w:val="20"/>
                <w:szCs w:val="20"/>
                <w:color w:val="auto"/>
              </w:rPr>
            </w:pPr>
            <w:r>
              <w:rPr>
                <w:rFonts w:ascii="Arial" w:cs="Arial" w:eastAsia="Arial" w:hAnsi="Arial"/>
                <w:sz w:val="18"/>
                <w:szCs w:val="18"/>
                <w:color w:val="auto"/>
              </w:rPr>
              <w:t>Distribution services</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1,142,823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1,142,823</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Energy</w:t>
            </w: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3,955,280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3,955,280</w:t>
            </w:r>
          </w:p>
        </w:tc>
      </w:tr>
      <w:tr>
        <w:trPr>
          <w:trHeight w:val="243"/>
        </w:trPr>
        <w:tc>
          <w:tcPr>
            <w:tcW w:w="4700" w:type="dxa"/>
            <w:vAlign w:val="bottom"/>
            <w:gridSpan w:val="2"/>
          </w:tcPr>
          <w:p>
            <w:pPr>
              <w:ind w:left="420"/>
              <w:spacing w:after="0"/>
              <w:rPr>
                <w:sz w:val="20"/>
                <w:szCs w:val="20"/>
                <w:color w:val="auto"/>
              </w:rPr>
            </w:pPr>
            <w:r>
              <w:rPr>
                <w:rFonts w:ascii="Arial" w:cs="Arial" w:eastAsia="Arial" w:hAnsi="Arial"/>
                <w:sz w:val="18"/>
                <w:szCs w:val="18"/>
                <w:color w:val="auto"/>
              </w:rPr>
              <w:t>Financial</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5,302,228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5,302,228</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Health care services</w:t>
            </w: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3,997,900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3,997,900</w:t>
            </w:r>
          </w:p>
        </w:tc>
      </w:tr>
      <w:tr>
        <w:trPr>
          <w:trHeight w:val="243"/>
        </w:trPr>
        <w:tc>
          <w:tcPr>
            <w:tcW w:w="4700" w:type="dxa"/>
            <w:vAlign w:val="bottom"/>
            <w:gridSpan w:val="2"/>
          </w:tcPr>
          <w:p>
            <w:pPr>
              <w:ind w:left="420"/>
              <w:spacing w:after="0"/>
              <w:rPr>
                <w:sz w:val="20"/>
                <w:szCs w:val="20"/>
                <w:color w:val="auto"/>
              </w:rPr>
            </w:pPr>
            <w:r>
              <w:rPr>
                <w:rFonts w:ascii="Arial" w:cs="Arial" w:eastAsia="Arial" w:hAnsi="Arial"/>
                <w:sz w:val="18"/>
                <w:szCs w:val="18"/>
                <w:color w:val="auto"/>
              </w:rPr>
              <w:t>Industrials</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2,786,882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2,786,882</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Information technology</w:t>
            </w: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6,025,963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6,025,963</w:t>
            </w:r>
          </w:p>
        </w:tc>
      </w:tr>
      <w:tr>
        <w:trPr>
          <w:trHeight w:val="243"/>
        </w:trPr>
        <w:tc>
          <w:tcPr>
            <w:tcW w:w="4700" w:type="dxa"/>
            <w:vAlign w:val="bottom"/>
            <w:gridSpan w:val="2"/>
          </w:tcPr>
          <w:p>
            <w:pPr>
              <w:ind w:left="420"/>
              <w:spacing w:after="0"/>
              <w:rPr>
                <w:sz w:val="20"/>
                <w:szCs w:val="20"/>
                <w:color w:val="auto"/>
              </w:rPr>
            </w:pPr>
            <w:r>
              <w:rPr>
                <w:rFonts w:ascii="Arial" w:cs="Arial" w:eastAsia="Arial" w:hAnsi="Arial"/>
                <w:sz w:val="18"/>
                <w:szCs w:val="18"/>
                <w:color w:val="auto"/>
              </w:rPr>
              <w:t>Materials</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1,082,930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1,082,930</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Telecommunication services</w:t>
            </w: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1,440,813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1,440,813</w:t>
            </w:r>
          </w:p>
        </w:tc>
      </w:tr>
      <w:tr>
        <w:trPr>
          <w:trHeight w:val="243"/>
        </w:trPr>
        <w:tc>
          <w:tcPr>
            <w:tcW w:w="4700" w:type="dxa"/>
            <w:vAlign w:val="bottom"/>
            <w:gridSpan w:val="2"/>
          </w:tcPr>
          <w:p>
            <w:pPr>
              <w:ind w:left="420"/>
              <w:spacing w:after="0"/>
              <w:rPr>
                <w:sz w:val="20"/>
                <w:szCs w:val="20"/>
                <w:color w:val="auto"/>
              </w:rPr>
            </w:pPr>
            <w:r>
              <w:rPr>
                <w:rFonts w:ascii="Arial" w:cs="Arial" w:eastAsia="Arial" w:hAnsi="Arial"/>
                <w:sz w:val="18"/>
                <w:szCs w:val="18"/>
                <w:color w:val="auto"/>
              </w:rPr>
              <w:t>Utilities</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1,415,557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1,415,557</w:t>
            </w:r>
          </w:p>
        </w:tc>
      </w:tr>
      <w:tr>
        <w:trPr>
          <w:trHeight w:val="27"/>
        </w:trPr>
        <w:tc>
          <w:tcPr>
            <w:tcW w:w="4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RAFI Enhanced Large Company Fund</w:t>
            </w: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35,278,719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35,278,719</w:t>
            </w:r>
          </w:p>
        </w:tc>
      </w:tr>
      <w:tr>
        <w:trPr>
          <w:trHeight w:val="291"/>
        </w:trPr>
        <w:tc>
          <w:tcPr>
            <w:tcW w:w="44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75"/>
        </w:trPr>
        <w:tc>
          <w:tcPr>
            <w:tcW w:w="4700" w:type="dxa"/>
            <w:vAlign w:val="bottom"/>
            <w:tcBorders>
              <w:bottom w:val="single" w:sz="8" w:color="CCEEFF"/>
            </w:tcBorders>
            <w:gridSpan w:val="2"/>
            <w:shd w:val="clear" w:color="auto" w:fill="CCEEFF"/>
          </w:tcPr>
          <w:p>
            <w:pPr>
              <w:ind w:left="44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417,373,675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167,815,581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585,189,256</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400"/>
          </w:cols>
          <w:pgMar w:left="240" w:top="553" w:right="1259" w:bottom="9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400"/>
          </w:cols>
          <w:pgMar w:left="240" w:top="553" w:right="1259" w:bottom="919"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WESCO Distribution,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Savings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2014 and 2013, and December 29,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540" w:type="dxa"/>
        <w:tblCellMar>
          <w:top w:w="0" w:type="dxa"/>
          <w:left w:w="0" w:type="dxa"/>
          <w:bottom w:w="0" w:type="dxa"/>
          <w:right w:w="0" w:type="dxa"/>
        </w:tblCellMar>
      </w:tblPr>
      <w:tr>
        <w:trPr>
          <w:trHeight w:val="230"/>
        </w:trPr>
        <w:tc>
          <w:tcPr>
            <w:tcW w:w="4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80" w:type="dxa"/>
            <w:vAlign w:val="bottom"/>
            <w:gridSpan w:val="5"/>
          </w:tcPr>
          <w:p>
            <w:pPr>
              <w:ind w:left="100"/>
              <w:spacing w:after="0"/>
              <w:rPr>
                <w:sz w:val="20"/>
                <w:szCs w:val="20"/>
                <w:color w:val="auto"/>
              </w:rPr>
            </w:pPr>
            <w:r>
              <w:rPr>
                <w:rFonts w:ascii="Arial" w:cs="Arial" w:eastAsia="Arial" w:hAnsi="Arial"/>
                <w:sz w:val="18"/>
                <w:szCs w:val="18"/>
                <w:color w:val="auto"/>
              </w:rPr>
              <w:t>December 31, 2013</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3"/>
          </w:tcPr>
          <w:p>
            <w:pPr>
              <w:ind w:left="160"/>
              <w:spacing w:after="0"/>
              <w:rPr>
                <w:sz w:val="20"/>
                <w:szCs w:val="20"/>
                <w:color w:val="auto"/>
              </w:rPr>
            </w:pPr>
            <w:r>
              <w:rPr>
                <w:rFonts w:ascii="Arial" w:cs="Arial" w:eastAsia="Arial" w:hAnsi="Arial"/>
                <w:sz w:val="18"/>
                <w:szCs w:val="18"/>
                <w:color w:val="auto"/>
              </w:rPr>
              <w:t>Level 2</w:t>
            </w:r>
          </w:p>
        </w:tc>
        <w:tc>
          <w:tcPr>
            <w:tcW w:w="112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4440" w:type="dxa"/>
            <w:vAlign w:val="bottom"/>
            <w:vMerge w:val="restart"/>
          </w:tcPr>
          <w:p>
            <w:pPr>
              <w:ind w:left="20"/>
              <w:spacing w:after="0"/>
              <w:rPr>
                <w:sz w:val="20"/>
                <w:szCs w:val="20"/>
                <w:color w:val="auto"/>
              </w:rPr>
            </w:pPr>
            <w:r>
              <w:rPr>
                <w:rFonts w:ascii="Arial" w:cs="Arial" w:eastAsia="Arial" w:hAnsi="Arial"/>
                <w:sz w:val="18"/>
                <w:szCs w:val="18"/>
                <w:color w:val="auto"/>
              </w:rPr>
              <w:t>Shares of registered investment companies</w:t>
            </w: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Small growth</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10,331,648</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10,331,648</w:t>
            </w:r>
          </w:p>
        </w:tc>
        <w:tc>
          <w:tcPr>
            <w:tcW w:w="0" w:type="dxa"/>
            <w:vAlign w:val="bottom"/>
          </w:tcPr>
          <w:p>
            <w:pPr>
              <w:spacing w:after="0"/>
              <w:rPr>
                <w:sz w:val="1"/>
                <w:szCs w:val="1"/>
                <w:color w:val="auto"/>
              </w:rPr>
            </w:pP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Small value</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6,944,629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6,944,629</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Large growth</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56,161,534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56,161,534</w:t>
            </w:r>
          </w:p>
        </w:tc>
        <w:tc>
          <w:tcPr>
            <w:tcW w:w="0" w:type="dxa"/>
            <w:vAlign w:val="bottom"/>
          </w:tcPr>
          <w:p>
            <w:pPr>
              <w:spacing w:after="0"/>
              <w:rPr>
                <w:sz w:val="1"/>
                <w:szCs w:val="1"/>
                <w:color w:val="auto"/>
              </w:rPr>
            </w:pP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Large value</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24,311,357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24,311,357</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Moderate allocation</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92,932,477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92,932,477</w:t>
            </w:r>
          </w:p>
        </w:tc>
        <w:tc>
          <w:tcPr>
            <w:tcW w:w="0" w:type="dxa"/>
            <w:vAlign w:val="bottom"/>
          </w:tcPr>
          <w:p>
            <w:pPr>
              <w:spacing w:after="0"/>
              <w:rPr>
                <w:sz w:val="1"/>
                <w:szCs w:val="1"/>
                <w:color w:val="auto"/>
              </w:rPr>
            </w:pP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Mid-cap value</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30,434,097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30,434,097</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Mid-cap growth</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56,667,904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56,667,904</w:t>
            </w:r>
          </w:p>
        </w:tc>
        <w:tc>
          <w:tcPr>
            <w:tcW w:w="0" w:type="dxa"/>
            <w:vAlign w:val="bottom"/>
          </w:tcPr>
          <w:p>
            <w:pPr>
              <w:spacing w:after="0"/>
              <w:rPr>
                <w:sz w:val="1"/>
                <w:szCs w:val="1"/>
                <w:color w:val="auto"/>
              </w:rPr>
            </w:pP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Foreign large blend</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31,047,620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31,047,620</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Intermediate-term bond</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26,344,280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26,344,280</w:t>
            </w:r>
          </w:p>
        </w:tc>
        <w:tc>
          <w:tcPr>
            <w:tcW w:w="0" w:type="dxa"/>
            <w:vAlign w:val="bottom"/>
          </w:tcPr>
          <w:p>
            <w:pPr>
              <w:spacing w:after="0"/>
              <w:rPr>
                <w:sz w:val="1"/>
                <w:szCs w:val="1"/>
                <w:color w:val="auto"/>
              </w:rPr>
            </w:pP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World bond</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5,251,060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5,251,060</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Real estate</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555,078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555,078</w:t>
            </w:r>
          </w:p>
        </w:tc>
        <w:tc>
          <w:tcPr>
            <w:tcW w:w="0" w:type="dxa"/>
            <w:vAlign w:val="bottom"/>
          </w:tcPr>
          <w:p>
            <w:pPr>
              <w:spacing w:after="0"/>
              <w:rPr>
                <w:sz w:val="1"/>
                <w:szCs w:val="1"/>
                <w:color w:val="auto"/>
              </w:rPr>
            </w:pP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Retirement income</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2,926,034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2,926,034</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Target-date</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30,891,621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30,891,621</w:t>
            </w:r>
          </w:p>
        </w:tc>
        <w:tc>
          <w:tcPr>
            <w:tcW w:w="0" w:type="dxa"/>
            <w:vAlign w:val="bottom"/>
          </w:tcPr>
          <w:p>
            <w:pPr>
              <w:spacing w:after="0"/>
              <w:rPr>
                <w:sz w:val="1"/>
                <w:szCs w:val="1"/>
                <w:color w:val="auto"/>
              </w:rPr>
            </w:pP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Total shares of registered investment companies</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374,799,339</w:t>
            </w: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3"/>
          </w:tcPr>
          <w:p>
            <w:pPr>
              <w:ind w:left="88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374,799,339</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Stock funds and self-directed accounts</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WESCO International Pooled Stock Fund</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24,023,661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24,023,661</w:t>
            </w:r>
          </w:p>
        </w:tc>
        <w:tc>
          <w:tcPr>
            <w:tcW w:w="0" w:type="dxa"/>
            <w:vAlign w:val="bottom"/>
          </w:tcPr>
          <w:p>
            <w:pPr>
              <w:spacing w:after="0"/>
              <w:rPr>
                <w:sz w:val="1"/>
                <w:szCs w:val="1"/>
                <w:color w:val="auto"/>
              </w:rPr>
            </w:pPr>
          </w:p>
        </w:tc>
      </w:tr>
      <w:tr>
        <w:trPr>
          <w:trHeight w:val="297"/>
        </w:trPr>
        <w:tc>
          <w:tcPr>
            <w:tcW w:w="4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Self-directed accounts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1,331,171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1,331,171</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420"/>
              <w:spacing w:after="0"/>
              <w:rPr>
                <w:sz w:val="20"/>
                <w:szCs w:val="20"/>
                <w:color w:val="auto"/>
              </w:rPr>
            </w:pPr>
            <w:r>
              <w:rPr>
                <w:rFonts w:ascii="Arial" w:cs="Arial" w:eastAsia="Arial" w:hAnsi="Arial"/>
                <w:sz w:val="18"/>
                <w:szCs w:val="18"/>
                <w:color w:val="auto"/>
              </w:rPr>
              <w:t>Transportation</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113,629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113,629</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Food, beverages &amp; tobacco</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342,215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342,215</w:t>
            </w:r>
          </w:p>
        </w:tc>
        <w:tc>
          <w:tcPr>
            <w:tcW w:w="0" w:type="dxa"/>
            <w:vAlign w:val="bottom"/>
          </w:tcPr>
          <w:p>
            <w:pPr>
              <w:spacing w:after="0"/>
              <w:rPr>
                <w:sz w:val="1"/>
                <w:szCs w:val="1"/>
                <w:color w:val="auto"/>
              </w:rPr>
            </w:pPr>
          </w:p>
        </w:tc>
      </w:tr>
      <w:tr>
        <w:trPr>
          <w:trHeight w:val="243"/>
        </w:trPr>
        <w:tc>
          <w:tcPr>
            <w:tcW w:w="4440" w:type="dxa"/>
            <w:vAlign w:val="bottom"/>
          </w:tcPr>
          <w:p>
            <w:pPr>
              <w:ind w:left="420"/>
              <w:spacing w:after="0"/>
              <w:rPr>
                <w:sz w:val="20"/>
                <w:szCs w:val="20"/>
                <w:color w:val="auto"/>
              </w:rPr>
            </w:pPr>
            <w:r>
              <w:rPr>
                <w:rFonts w:ascii="Arial" w:cs="Arial" w:eastAsia="Arial" w:hAnsi="Arial"/>
                <w:sz w:val="18"/>
                <w:szCs w:val="18"/>
                <w:color w:val="auto"/>
              </w:rPr>
              <w:t>Building materials</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82,672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82,672</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Chemicals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54,116</w:t>
            </w:r>
          </w:p>
        </w:tc>
        <w:tc>
          <w:tcPr>
            <w:tcW w:w="0" w:type="dxa"/>
            <w:vAlign w:val="bottom"/>
          </w:tcPr>
          <w:p>
            <w:pPr>
              <w:spacing w:after="0"/>
              <w:rPr>
                <w:sz w:val="1"/>
                <w:szCs w:val="1"/>
                <w:color w:val="auto"/>
              </w:rPr>
            </w:pPr>
          </w:p>
        </w:tc>
      </w:tr>
      <w:tr>
        <w:trPr>
          <w:trHeight w:val="243"/>
        </w:trPr>
        <w:tc>
          <w:tcPr>
            <w:tcW w:w="4440" w:type="dxa"/>
            <w:vAlign w:val="bottom"/>
          </w:tcPr>
          <w:p>
            <w:pPr>
              <w:ind w:left="420"/>
              <w:spacing w:after="0"/>
              <w:rPr>
                <w:sz w:val="20"/>
                <w:szCs w:val="20"/>
                <w:color w:val="auto"/>
              </w:rPr>
            </w:pPr>
            <w:r>
              <w:rPr>
                <w:rFonts w:ascii="Arial" w:cs="Arial" w:eastAsia="Arial" w:hAnsi="Arial"/>
                <w:sz w:val="18"/>
                <w:szCs w:val="18"/>
                <w:color w:val="auto"/>
              </w:rPr>
              <w:t>Communications &amp; media</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606,150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606,150</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Electronics &amp;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770,980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770,980</w:t>
            </w:r>
          </w:p>
        </w:tc>
        <w:tc>
          <w:tcPr>
            <w:tcW w:w="0" w:type="dxa"/>
            <w:vAlign w:val="bottom"/>
          </w:tcPr>
          <w:p>
            <w:pPr>
              <w:spacing w:after="0"/>
              <w:rPr>
                <w:sz w:val="1"/>
                <w:szCs w:val="1"/>
                <w:color w:val="auto"/>
              </w:rPr>
            </w:pPr>
          </w:p>
        </w:tc>
      </w:tr>
      <w:tr>
        <w:trPr>
          <w:trHeight w:val="243"/>
        </w:trPr>
        <w:tc>
          <w:tcPr>
            <w:tcW w:w="4440" w:type="dxa"/>
            <w:vAlign w:val="bottom"/>
          </w:tcPr>
          <w:p>
            <w:pPr>
              <w:ind w:left="420"/>
              <w:spacing w:after="0"/>
              <w:rPr>
                <w:sz w:val="20"/>
                <w:szCs w:val="20"/>
                <w:color w:val="auto"/>
              </w:rPr>
            </w:pPr>
            <w:r>
              <w:rPr>
                <w:rFonts w:ascii="Arial" w:cs="Arial" w:eastAsia="Arial" w:hAnsi="Arial"/>
                <w:sz w:val="18"/>
                <w:szCs w:val="18"/>
                <w:color w:val="auto"/>
              </w:rPr>
              <w:t>Energy</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615,497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615,497</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Financial</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249,305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249,305</w:t>
            </w:r>
          </w:p>
        </w:tc>
        <w:tc>
          <w:tcPr>
            <w:tcW w:w="0" w:type="dxa"/>
            <w:vAlign w:val="bottom"/>
          </w:tcPr>
          <w:p>
            <w:pPr>
              <w:spacing w:after="0"/>
              <w:rPr>
                <w:sz w:val="1"/>
                <w:szCs w:val="1"/>
                <w:color w:val="auto"/>
              </w:rPr>
            </w:pPr>
          </w:p>
        </w:tc>
      </w:tr>
      <w:tr>
        <w:trPr>
          <w:trHeight w:val="243"/>
        </w:trPr>
        <w:tc>
          <w:tcPr>
            <w:tcW w:w="4440" w:type="dxa"/>
            <w:vAlign w:val="bottom"/>
          </w:tcPr>
          <w:p>
            <w:pPr>
              <w:ind w:left="420"/>
              <w:spacing w:after="0"/>
              <w:rPr>
                <w:sz w:val="20"/>
                <w:szCs w:val="20"/>
                <w:color w:val="auto"/>
              </w:rPr>
            </w:pPr>
            <w:r>
              <w:rPr>
                <w:rFonts w:ascii="Arial" w:cs="Arial" w:eastAsia="Arial" w:hAnsi="Arial"/>
                <w:sz w:val="18"/>
                <w:szCs w:val="18"/>
                <w:color w:val="auto"/>
              </w:rPr>
              <w:t>Healthcare</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443,113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443,113</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Industrial</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398,556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398,556</w:t>
            </w:r>
          </w:p>
        </w:tc>
        <w:tc>
          <w:tcPr>
            <w:tcW w:w="0" w:type="dxa"/>
            <w:vAlign w:val="bottom"/>
          </w:tcPr>
          <w:p>
            <w:pPr>
              <w:spacing w:after="0"/>
              <w:rPr>
                <w:sz w:val="1"/>
                <w:szCs w:val="1"/>
                <w:color w:val="auto"/>
              </w:rPr>
            </w:pPr>
          </w:p>
        </w:tc>
      </w:tr>
      <w:tr>
        <w:trPr>
          <w:trHeight w:val="243"/>
        </w:trPr>
        <w:tc>
          <w:tcPr>
            <w:tcW w:w="4440" w:type="dxa"/>
            <w:vAlign w:val="bottom"/>
          </w:tcPr>
          <w:p>
            <w:pPr>
              <w:ind w:left="420"/>
              <w:spacing w:after="0"/>
              <w:rPr>
                <w:sz w:val="20"/>
                <w:szCs w:val="20"/>
                <w:color w:val="auto"/>
              </w:rPr>
            </w:pPr>
            <w:r>
              <w:rPr>
                <w:rFonts w:ascii="Arial" w:cs="Arial" w:eastAsia="Arial" w:hAnsi="Arial"/>
                <w:sz w:val="18"/>
                <w:szCs w:val="18"/>
                <w:color w:val="auto"/>
              </w:rPr>
              <w:t>Leisure &amp; entertainment</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183,276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183,276</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Metals</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150,952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150,952</w:t>
            </w:r>
          </w:p>
        </w:tc>
        <w:tc>
          <w:tcPr>
            <w:tcW w:w="0" w:type="dxa"/>
            <w:vAlign w:val="bottom"/>
          </w:tcPr>
          <w:p>
            <w:pPr>
              <w:spacing w:after="0"/>
              <w:rPr>
                <w:sz w:val="1"/>
                <w:szCs w:val="1"/>
                <w:color w:val="auto"/>
              </w:rPr>
            </w:pPr>
          </w:p>
        </w:tc>
      </w:tr>
      <w:tr>
        <w:trPr>
          <w:trHeight w:val="27"/>
        </w:trPr>
        <w:tc>
          <w:tcPr>
            <w:tcW w:w="4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400"/>
          </w:cols>
          <w:pgMar w:left="240" w:top="553" w:right="1259" w:bottom="97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400"/>
          </w:cols>
          <w:pgMar w:left="240" w:top="553" w:right="1259" w:bottom="973"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WESCO Distribution,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Savings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2014 and 2013, and December 29,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54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40" w:type="dxa"/>
            <w:vAlign w:val="bottom"/>
            <w:gridSpan w:val="6"/>
          </w:tcPr>
          <w:p>
            <w:pPr>
              <w:jc w:val="right"/>
              <w:spacing w:after="0"/>
              <w:rPr>
                <w:sz w:val="20"/>
                <w:szCs w:val="20"/>
                <w:color w:val="auto"/>
              </w:rPr>
            </w:pPr>
            <w:r>
              <w:rPr>
                <w:rFonts w:ascii="Arial" w:cs="Arial" w:eastAsia="Arial" w:hAnsi="Arial"/>
                <w:sz w:val="18"/>
                <w:szCs w:val="18"/>
                <w:color w:val="auto"/>
              </w:rPr>
              <w:t>December 31, 2013 (continued)</w:t>
            </w:r>
          </w:p>
        </w:tc>
        <w:tc>
          <w:tcPr>
            <w:tcW w:w="1020" w:type="dxa"/>
            <w:vAlign w:val="bottom"/>
          </w:tcPr>
          <w:p>
            <w:pPr>
              <w:spacing w:after="0"/>
              <w:rPr>
                <w:sz w:val="20"/>
                <w:szCs w:val="20"/>
                <w:color w:val="auto"/>
              </w:rPr>
            </w:pPr>
          </w:p>
        </w:tc>
      </w:tr>
      <w:tr>
        <w:trPr>
          <w:trHeight w:val="27"/>
        </w:trPr>
        <w:tc>
          <w:tcPr>
            <w:tcW w:w="4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280" w:type="dxa"/>
            <w:vAlign w:val="bottom"/>
          </w:tcPr>
          <w:p>
            <w:pPr>
              <w:spacing w:after="0"/>
              <w:rPr>
                <w:sz w:val="20"/>
                <w:szCs w:val="20"/>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color w:val="auto"/>
              </w:rPr>
              <w:t>Level 2</w:t>
            </w:r>
          </w:p>
        </w:tc>
        <w:tc>
          <w:tcPr>
            <w:tcW w:w="34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Total</w:t>
            </w:r>
          </w:p>
        </w:tc>
      </w:tr>
      <w:tr>
        <w:trPr>
          <w:trHeight w:val="27"/>
        </w:trPr>
        <w:tc>
          <w:tcPr>
            <w:tcW w:w="4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Multi-industry</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58,169</w:t>
            </w:r>
          </w:p>
        </w:tc>
      </w:tr>
      <w:tr>
        <w:trPr>
          <w:trHeight w:val="243"/>
        </w:trPr>
        <w:tc>
          <w:tcPr>
            <w:tcW w:w="4700" w:type="dxa"/>
            <w:vAlign w:val="bottom"/>
            <w:gridSpan w:val="2"/>
          </w:tcPr>
          <w:p>
            <w:pPr>
              <w:ind w:left="420"/>
              <w:spacing w:after="0"/>
              <w:rPr>
                <w:sz w:val="20"/>
                <w:szCs w:val="20"/>
                <w:color w:val="auto"/>
              </w:rPr>
            </w:pPr>
            <w:r>
              <w:rPr>
                <w:rFonts w:ascii="Arial" w:cs="Arial" w:eastAsia="Arial" w:hAnsi="Arial"/>
                <w:sz w:val="18"/>
                <w:szCs w:val="18"/>
                <w:color w:val="auto"/>
              </w:rPr>
              <w:t>Retail</w:t>
            </w:r>
          </w:p>
        </w:tc>
        <w:tc>
          <w:tcPr>
            <w:tcW w:w="1160" w:type="dxa"/>
            <w:vAlign w:val="bottom"/>
          </w:tcPr>
          <w:p>
            <w:pPr>
              <w:jc w:val="right"/>
              <w:spacing w:after="0"/>
              <w:rPr>
                <w:sz w:val="20"/>
                <w:szCs w:val="20"/>
                <w:color w:val="auto"/>
              </w:rPr>
            </w:pPr>
            <w:r>
              <w:rPr>
                <w:rFonts w:ascii="Arial" w:cs="Arial" w:eastAsia="Arial" w:hAnsi="Arial"/>
                <w:sz w:val="18"/>
                <w:szCs w:val="18"/>
                <w:color w:val="auto"/>
              </w:rPr>
              <w:t>217,631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217,631</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Utilities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430,310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430,310</w:t>
            </w:r>
          </w:p>
        </w:tc>
      </w:tr>
      <w:tr>
        <w:trPr>
          <w:trHeight w:val="243"/>
        </w:trPr>
        <w:tc>
          <w:tcPr>
            <w:tcW w:w="4700" w:type="dxa"/>
            <w:vAlign w:val="bottom"/>
            <w:gridSpan w:val="2"/>
          </w:tcPr>
          <w:p>
            <w:pPr>
              <w:ind w:left="340"/>
              <w:spacing w:after="0"/>
              <w:rPr>
                <w:sz w:val="20"/>
                <w:szCs w:val="20"/>
                <w:color w:val="auto"/>
              </w:rPr>
            </w:pPr>
            <w:r>
              <w:rPr>
                <w:rFonts w:ascii="Arial" w:cs="Arial" w:eastAsia="Arial" w:hAnsi="Arial"/>
                <w:sz w:val="18"/>
                <w:szCs w:val="18"/>
                <w:color w:val="auto"/>
              </w:rPr>
              <w:t>Mutual funds</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Fixed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684,924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684,924</w:t>
            </w:r>
          </w:p>
        </w:tc>
      </w:tr>
      <w:tr>
        <w:trPr>
          <w:trHeight w:val="243"/>
        </w:trPr>
        <w:tc>
          <w:tcPr>
            <w:tcW w:w="4700" w:type="dxa"/>
            <w:vAlign w:val="bottom"/>
            <w:gridSpan w:val="2"/>
          </w:tcPr>
          <w:p>
            <w:pPr>
              <w:ind w:left="420"/>
              <w:spacing w:after="0"/>
              <w:rPr>
                <w:sz w:val="20"/>
                <w:szCs w:val="20"/>
                <w:color w:val="auto"/>
              </w:rPr>
            </w:pPr>
            <w:r>
              <w:rPr>
                <w:rFonts w:ascii="Arial" w:cs="Arial" w:eastAsia="Arial" w:hAnsi="Arial"/>
                <w:sz w:val="18"/>
                <w:szCs w:val="18"/>
                <w:color w:val="auto"/>
              </w:rPr>
              <w:t>Balanced</w:t>
            </w:r>
          </w:p>
        </w:tc>
        <w:tc>
          <w:tcPr>
            <w:tcW w:w="1160" w:type="dxa"/>
            <w:vAlign w:val="bottom"/>
          </w:tcPr>
          <w:p>
            <w:pPr>
              <w:jc w:val="right"/>
              <w:spacing w:after="0"/>
              <w:rPr>
                <w:sz w:val="20"/>
                <w:szCs w:val="20"/>
                <w:color w:val="auto"/>
              </w:rPr>
            </w:pPr>
            <w:r>
              <w:rPr>
                <w:rFonts w:ascii="Arial" w:cs="Arial" w:eastAsia="Arial" w:hAnsi="Arial"/>
                <w:sz w:val="18"/>
                <w:szCs w:val="18"/>
                <w:color w:val="auto"/>
              </w:rPr>
              <w:t>324,792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324,792</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Equity</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1,652,583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1,652,583</w:t>
            </w:r>
          </w:p>
        </w:tc>
      </w:tr>
      <w:tr>
        <w:trPr>
          <w:trHeight w:val="243"/>
        </w:trPr>
        <w:tc>
          <w:tcPr>
            <w:tcW w:w="4700" w:type="dxa"/>
            <w:vAlign w:val="bottom"/>
            <w:gridSpan w:val="2"/>
          </w:tcPr>
          <w:p>
            <w:pPr>
              <w:ind w:left="420"/>
              <w:spacing w:after="0"/>
              <w:rPr>
                <w:sz w:val="20"/>
                <w:szCs w:val="20"/>
                <w:color w:val="auto"/>
              </w:rPr>
            </w:pPr>
            <w:r>
              <w:rPr>
                <w:rFonts w:ascii="Arial" w:cs="Arial" w:eastAsia="Arial" w:hAnsi="Arial"/>
                <w:sz w:val="18"/>
                <w:szCs w:val="18"/>
                <w:color w:val="auto"/>
              </w:rPr>
              <w:t>International</w:t>
            </w:r>
          </w:p>
        </w:tc>
        <w:tc>
          <w:tcPr>
            <w:tcW w:w="1160" w:type="dxa"/>
            <w:vAlign w:val="bottom"/>
          </w:tcPr>
          <w:p>
            <w:pPr>
              <w:jc w:val="right"/>
              <w:spacing w:after="0"/>
              <w:rPr>
                <w:sz w:val="20"/>
                <w:szCs w:val="20"/>
                <w:color w:val="auto"/>
              </w:rPr>
            </w:pPr>
            <w:r>
              <w:rPr>
                <w:rFonts w:ascii="Arial" w:cs="Arial" w:eastAsia="Arial" w:hAnsi="Arial"/>
                <w:sz w:val="18"/>
                <w:szCs w:val="18"/>
                <w:color w:val="auto"/>
              </w:rPr>
              <w:t>30,943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30,943</w:t>
            </w:r>
          </w:p>
        </w:tc>
      </w:tr>
      <w:tr>
        <w:trPr>
          <w:trHeight w:val="27"/>
        </w:trPr>
        <w:tc>
          <w:tcPr>
            <w:tcW w:w="4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stock funds and self-directed accounts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32,764,645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32,764,645</w:t>
            </w:r>
          </w:p>
        </w:tc>
      </w:tr>
      <w:tr>
        <w:trPr>
          <w:trHeight w:val="291"/>
        </w:trPr>
        <w:tc>
          <w:tcPr>
            <w:tcW w:w="44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70"/>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Stable Value Fund (Prudential)</w:t>
            </w: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136,902,354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136,902,354</w:t>
            </w:r>
          </w:p>
        </w:tc>
      </w:tr>
      <w:tr>
        <w:trPr>
          <w:trHeight w:val="291"/>
        </w:trPr>
        <w:tc>
          <w:tcPr>
            <w:tcW w:w="44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RAFI Enhanced Large Company Fund</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200"/>
              <w:spacing w:after="0"/>
              <w:rPr>
                <w:sz w:val="20"/>
                <w:szCs w:val="20"/>
                <w:color w:val="auto"/>
              </w:rPr>
            </w:pPr>
            <w:r>
              <w:rPr>
                <w:rFonts w:ascii="Arial" w:cs="Arial" w:eastAsia="Arial" w:hAnsi="Arial"/>
                <w:sz w:val="18"/>
                <w:szCs w:val="18"/>
                <w:color w:val="auto"/>
              </w:rPr>
              <w:t>Cash and cash equivalents</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278,095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278,095</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420"/>
              <w:spacing w:after="0"/>
              <w:rPr>
                <w:sz w:val="20"/>
                <w:szCs w:val="20"/>
                <w:color w:val="auto"/>
              </w:rPr>
            </w:pPr>
            <w:r>
              <w:rPr>
                <w:rFonts w:ascii="Arial" w:cs="Arial" w:eastAsia="Arial" w:hAnsi="Arial"/>
                <w:sz w:val="18"/>
                <w:szCs w:val="18"/>
                <w:color w:val="auto"/>
              </w:rPr>
              <w:t>Consumer discretionary</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3,468,504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3,468,504</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Consumer staples</w:t>
            </w: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3,322,482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3,322,482</w:t>
            </w:r>
          </w:p>
        </w:tc>
      </w:tr>
      <w:tr>
        <w:trPr>
          <w:trHeight w:val="243"/>
        </w:trPr>
        <w:tc>
          <w:tcPr>
            <w:tcW w:w="4700" w:type="dxa"/>
            <w:vAlign w:val="bottom"/>
            <w:gridSpan w:val="2"/>
          </w:tcPr>
          <w:p>
            <w:pPr>
              <w:ind w:left="420"/>
              <w:spacing w:after="0"/>
              <w:rPr>
                <w:sz w:val="20"/>
                <w:szCs w:val="20"/>
                <w:color w:val="auto"/>
              </w:rPr>
            </w:pPr>
            <w:r>
              <w:rPr>
                <w:rFonts w:ascii="Arial" w:cs="Arial" w:eastAsia="Arial" w:hAnsi="Arial"/>
                <w:sz w:val="18"/>
                <w:szCs w:val="18"/>
                <w:color w:val="auto"/>
              </w:rPr>
              <w:t>Distribution services</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470,095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470,095</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Energy</w:t>
            </w: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2,931,057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2,931,057</w:t>
            </w:r>
          </w:p>
        </w:tc>
      </w:tr>
      <w:tr>
        <w:trPr>
          <w:trHeight w:val="243"/>
        </w:trPr>
        <w:tc>
          <w:tcPr>
            <w:tcW w:w="4700" w:type="dxa"/>
            <w:vAlign w:val="bottom"/>
            <w:gridSpan w:val="2"/>
          </w:tcPr>
          <w:p>
            <w:pPr>
              <w:ind w:left="420"/>
              <w:spacing w:after="0"/>
              <w:rPr>
                <w:sz w:val="20"/>
                <w:szCs w:val="20"/>
                <w:color w:val="auto"/>
              </w:rPr>
            </w:pPr>
            <w:r>
              <w:rPr>
                <w:rFonts w:ascii="Arial" w:cs="Arial" w:eastAsia="Arial" w:hAnsi="Arial"/>
                <w:sz w:val="18"/>
                <w:szCs w:val="18"/>
                <w:color w:val="auto"/>
              </w:rPr>
              <w:t>Financial</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6,155,935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6,155,935</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Health care services</w:t>
            </w: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3,878,769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3,878,769</w:t>
            </w:r>
          </w:p>
        </w:tc>
      </w:tr>
      <w:tr>
        <w:trPr>
          <w:trHeight w:val="243"/>
        </w:trPr>
        <w:tc>
          <w:tcPr>
            <w:tcW w:w="4700" w:type="dxa"/>
            <w:vAlign w:val="bottom"/>
            <w:gridSpan w:val="2"/>
          </w:tcPr>
          <w:p>
            <w:pPr>
              <w:ind w:left="420"/>
              <w:spacing w:after="0"/>
              <w:rPr>
                <w:sz w:val="20"/>
                <w:szCs w:val="20"/>
                <w:color w:val="auto"/>
              </w:rPr>
            </w:pPr>
            <w:r>
              <w:rPr>
                <w:rFonts w:ascii="Arial" w:cs="Arial" w:eastAsia="Arial" w:hAnsi="Arial"/>
                <w:sz w:val="18"/>
                <w:szCs w:val="18"/>
                <w:color w:val="auto"/>
              </w:rPr>
              <w:t>Industrials</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3,714,172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3,714,172</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Information technology</w:t>
            </w: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4,683,309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4,683,309</w:t>
            </w:r>
          </w:p>
        </w:tc>
      </w:tr>
      <w:tr>
        <w:trPr>
          <w:trHeight w:val="243"/>
        </w:trPr>
        <w:tc>
          <w:tcPr>
            <w:tcW w:w="4700" w:type="dxa"/>
            <w:vAlign w:val="bottom"/>
            <w:gridSpan w:val="2"/>
          </w:tcPr>
          <w:p>
            <w:pPr>
              <w:ind w:left="420"/>
              <w:spacing w:after="0"/>
              <w:rPr>
                <w:sz w:val="20"/>
                <w:szCs w:val="20"/>
                <w:color w:val="auto"/>
              </w:rPr>
            </w:pPr>
            <w:r>
              <w:rPr>
                <w:rFonts w:ascii="Arial" w:cs="Arial" w:eastAsia="Arial" w:hAnsi="Arial"/>
                <w:sz w:val="18"/>
                <w:szCs w:val="18"/>
                <w:color w:val="auto"/>
              </w:rPr>
              <w:t>Materials</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1,636,474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1,636,474</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Telecommunication services</w:t>
            </w: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1,599,721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1,599,721</w:t>
            </w:r>
          </w:p>
        </w:tc>
      </w:tr>
      <w:tr>
        <w:trPr>
          <w:trHeight w:val="243"/>
        </w:trPr>
        <w:tc>
          <w:tcPr>
            <w:tcW w:w="4700" w:type="dxa"/>
            <w:vAlign w:val="bottom"/>
            <w:gridSpan w:val="2"/>
          </w:tcPr>
          <w:p>
            <w:pPr>
              <w:ind w:left="420"/>
              <w:spacing w:after="0"/>
              <w:rPr>
                <w:sz w:val="20"/>
                <w:szCs w:val="20"/>
                <w:color w:val="auto"/>
              </w:rPr>
            </w:pPr>
            <w:r>
              <w:rPr>
                <w:rFonts w:ascii="Arial" w:cs="Arial" w:eastAsia="Arial" w:hAnsi="Arial"/>
                <w:sz w:val="18"/>
                <w:szCs w:val="18"/>
                <w:color w:val="auto"/>
              </w:rPr>
              <w:t>Utilities</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1,623,353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1,623,353</w:t>
            </w:r>
          </w:p>
        </w:tc>
      </w:tr>
      <w:tr>
        <w:trPr>
          <w:trHeight w:val="27"/>
        </w:trPr>
        <w:tc>
          <w:tcPr>
            <w:tcW w:w="4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RAFI Enhanced Large Company Fund</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33,761,966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33,761,966</w:t>
            </w:r>
          </w:p>
        </w:tc>
      </w:tr>
      <w:tr>
        <w:trPr>
          <w:trHeight w:val="534"/>
        </w:trPr>
        <w:tc>
          <w:tcPr>
            <w:tcW w:w="4420" w:type="dxa"/>
            <w:vAlign w:val="bottom"/>
          </w:tcPr>
          <w:p>
            <w:pPr>
              <w:spacing w:after="0"/>
              <w:rPr>
                <w:sz w:val="24"/>
                <w:szCs w:val="24"/>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407,563,984</w:t>
            </w: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170,664,320</w:t>
            </w: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578,228,304</w:t>
            </w:r>
          </w:p>
        </w:tc>
      </w:tr>
      <w:tr>
        <w:trPr>
          <w:trHeight w:val="27"/>
        </w:trPr>
        <w:tc>
          <w:tcPr>
            <w:tcW w:w="4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400"/>
          </w:cols>
          <w:pgMar w:left="240" w:top="553" w:right="1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WESCO Distribution,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Savings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2014 and 2013, and December 29,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540" w:type="dxa"/>
        <w:tblCellMar>
          <w:top w:w="0" w:type="dxa"/>
          <w:left w:w="0" w:type="dxa"/>
          <w:bottom w:w="0" w:type="dxa"/>
          <w:right w:w="0" w:type="dxa"/>
        </w:tblCellMar>
      </w:tblPr>
      <w:tr>
        <w:trPr>
          <w:trHeight w:val="230"/>
        </w:trPr>
        <w:tc>
          <w:tcPr>
            <w:tcW w:w="4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80" w:type="dxa"/>
            <w:vAlign w:val="bottom"/>
            <w:gridSpan w:val="5"/>
          </w:tcPr>
          <w:p>
            <w:pPr>
              <w:ind w:left="100"/>
              <w:spacing w:after="0"/>
              <w:rPr>
                <w:sz w:val="20"/>
                <w:szCs w:val="20"/>
                <w:color w:val="auto"/>
              </w:rPr>
            </w:pPr>
            <w:r>
              <w:rPr>
                <w:rFonts w:ascii="Arial" w:cs="Arial" w:eastAsia="Arial" w:hAnsi="Arial"/>
                <w:sz w:val="18"/>
                <w:szCs w:val="18"/>
                <w:color w:val="auto"/>
              </w:rPr>
              <w:t>December 29, 2013</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3"/>
          </w:tcPr>
          <w:p>
            <w:pPr>
              <w:ind w:left="160"/>
              <w:spacing w:after="0"/>
              <w:rPr>
                <w:sz w:val="20"/>
                <w:szCs w:val="20"/>
                <w:color w:val="auto"/>
              </w:rPr>
            </w:pPr>
            <w:r>
              <w:rPr>
                <w:rFonts w:ascii="Arial" w:cs="Arial" w:eastAsia="Arial" w:hAnsi="Arial"/>
                <w:sz w:val="18"/>
                <w:szCs w:val="18"/>
                <w:color w:val="auto"/>
              </w:rPr>
              <w:t>Level 2</w:t>
            </w:r>
          </w:p>
        </w:tc>
        <w:tc>
          <w:tcPr>
            <w:tcW w:w="112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4440" w:type="dxa"/>
            <w:vAlign w:val="bottom"/>
            <w:vMerge w:val="restart"/>
          </w:tcPr>
          <w:p>
            <w:pPr>
              <w:ind w:left="20"/>
              <w:spacing w:after="0"/>
              <w:rPr>
                <w:sz w:val="20"/>
                <w:szCs w:val="20"/>
                <w:color w:val="auto"/>
              </w:rPr>
            </w:pPr>
            <w:r>
              <w:rPr>
                <w:rFonts w:ascii="Arial" w:cs="Arial" w:eastAsia="Arial" w:hAnsi="Arial"/>
                <w:sz w:val="18"/>
                <w:szCs w:val="18"/>
                <w:color w:val="auto"/>
              </w:rPr>
              <w:t>Shares of registered investment companies</w:t>
            </w: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Small growth</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10,258,765</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10,258,765</w:t>
            </w:r>
          </w:p>
        </w:tc>
        <w:tc>
          <w:tcPr>
            <w:tcW w:w="0" w:type="dxa"/>
            <w:vAlign w:val="bottom"/>
          </w:tcPr>
          <w:p>
            <w:pPr>
              <w:spacing w:after="0"/>
              <w:rPr>
                <w:sz w:val="1"/>
                <w:szCs w:val="1"/>
                <w:color w:val="auto"/>
              </w:rPr>
            </w:pP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Small value</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6,939,813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6,939,813</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Large growth</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55,953,664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55,953,664</w:t>
            </w:r>
          </w:p>
        </w:tc>
        <w:tc>
          <w:tcPr>
            <w:tcW w:w="0" w:type="dxa"/>
            <w:vAlign w:val="bottom"/>
          </w:tcPr>
          <w:p>
            <w:pPr>
              <w:spacing w:after="0"/>
              <w:rPr>
                <w:sz w:val="1"/>
                <w:szCs w:val="1"/>
                <w:color w:val="auto"/>
              </w:rPr>
            </w:pP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Large value</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24,241,681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24,241,681</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Moderate allocation</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92,669,593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92,669,593</w:t>
            </w:r>
          </w:p>
        </w:tc>
        <w:tc>
          <w:tcPr>
            <w:tcW w:w="0" w:type="dxa"/>
            <w:vAlign w:val="bottom"/>
          </w:tcPr>
          <w:p>
            <w:pPr>
              <w:spacing w:after="0"/>
              <w:rPr>
                <w:sz w:val="1"/>
                <w:szCs w:val="1"/>
                <w:color w:val="auto"/>
              </w:rPr>
            </w:pP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Mid-cap value</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30,270,190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30,270,190</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Mid-cap growth</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56,418,478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56,418,478</w:t>
            </w:r>
          </w:p>
        </w:tc>
        <w:tc>
          <w:tcPr>
            <w:tcW w:w="0" w:type="dxa"/>
            <w:vAlign w:val="bottom"/>
          </w:tcPr>
          <w:p>
            <w:pPr>
              <w:spacing w:after="0"/>
              <w:rPr>
                <w:sz w:val="1"/>
                <w:szCs w:val="1"/>
                <w:color w:val="auto"/>
              </w:rPr>
            </w:pP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Foreign large blend</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30,916,375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30,916,375</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Intermediate-term bond</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26,237,714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26,237,714</w:t>
            </w:r>
          </w:p>
        </w:tc>
        <w:tc>
          <w:tcPr>
            <w:tcW w:w="0" w:type="dxa"/>
            <w:vAlign w:val="bottom"/>
          </w:tcPr>
          <w:p>
            <w:pPr>
              <w:spacing w:after="0"/>
              <w:rPr>
                <w:sz w:val="1"/>
                <w:szCs w:val="1"/>
                <w:color w:val="auto"/>
              </w:rPr>
            </w:pP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World bond</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5,243,037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5,243,037</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Real estate</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555,078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555,078</w:t>
            </w:r>
          </w:p>
        </w:tc>
        <w:tc>
          <w:tcPr>
            <w:tcW w:w="0" w:type="dxa"/>
            <w:vAlign w:val="bottom"/>
          </w:tcPr>
          <w:p>
            <w:pPr>
              <w:spacing w:after="0"/>
              <w:rPr>
                <w:sz w:val="1"/>
                <w:szCs w:val="1"/>
                <w:color w:val="auto"/>
              </w:rPr>
            </w:pP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Retirement income</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2,917,650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2,917,650</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Target-date</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30,759,307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30,759,307</w:t>
            </w:r>
          </w:p>
        </w:tc>
        <w:tc>
          <w:tcPr>
            <w:tcW w:w="0" w:type="dxa"/>
            <w:vAlign w:val="bottom"/>
          </w:tcPr>
          <w:p>
            <w:pPr>
              <w:spacing w:after="0"/>
              <w:rPr>
                <w:sz w:val="1"/>
                <w:szCs w:val="1"/>
                <w:color w:val="auto"/>
              </w:rPr>
            </w:pP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Total shares of registered investment companies</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373,381,345</w:t>
            </w: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3"/>
          </w:tcPr>
          <w:p>
            <w:pPr>
              <w:ind w:left="88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373,381,345</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Stock funds and self-directed accounts</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WESCO International Pooled Stock Fund</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23,977,777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23,977,777</w:t>
            </w:r>
          </w:p>
        </w:tc>
        <w:tc>
          <w:tcPr>
            <w:tcW w:w="0" w:type="dxa"/>
            <w:vAlign w:val="bottom"/>
          </w:tcPr>
          <w:p>
            <w:pPr>
              <w:spacing w:after="0"/>
              <w:rPr>
                <w:sz w:val="1"/>
                <w:szCs w:val="1"/>
                <w:color w:val="auto"/>
              </w:rPr>
            </w:pPr>
          </w:p>
        </w:tc>
      </w:tr>
      <w:tr>
        <w:trPr>
          <w:trHeight w:val="297"/>
        </w:trPr>
        <w:tc>
          <w:tcPr>
            <w:tcW w:w="4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Self-directed accounts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1,298,122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1,298,122</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420"/>
              <w:spacing w:after="0"/>
              <w:rPr>
                <w:sz w:val="20"/>
                <w:szCs w:val="20"/>
                <w:color w:val="auto"/>
              </w:rPr>
            </w:pPr>
            <w:r>
              <w:rPr>
                <w:rFonts w:ascii="Arial" w:cs="Arial" w:eastAsia="Arial" w:hAnsi="Arial"/>
                <w:sz w:val="18"/>
                <w:szCs w:val="18"/>
                <w:color w:val="auto"/>
              </w:rPr>
              <w:t>Transportation</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92,223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92,223</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Food, beverages &amp; tobacco</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280,631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280,631</w:t>
            </w:r>
          </w:p>
        </w:tc>
        <w:tc>
          <w:tcPr>
            <w:tcW w:w="0" w:type="dxa"/>
            <w:vAlign w:val="bottom"/>
          </w:tcPr>
          <w:p>
            <w:pPr>
              <w:spacing w:after="0"/>
              <w:rPr>
                <w:sz w:val="1"/>
                <w:szCs w:val="1"/>
                <w:color w:val="auto"/>
              </w:rPr>
            </w:pPr>
          </w:p>
        </w:tc>
      </w:tr>
      <w:tr>
        <w:trPr>
          <w:trHeight w:val="243"/>
        </w:trPr>
        <w:tc>
          <w:tcPr>
            <w:tcW w:w="4440" w:type="dxa"/>
            <w:vAlign w:val="bottom"/>
          </w:tcPr>
          <w:p>
            <w:pPr>
              <w:ind w:left="420"/>
              <w:spacing w:after="0"/>
              <w:rPr>
                <w:sz w:val="20"/>
                <w:szCs w:val="20"/>
                <w:color w:val="auto"/>
              </w:rPr>
            </w:pPr>
            <w:r>
              <w:rPr>
                <w:rFonts w:ascii="Arial" w:cs="Arial" w:eastAsia="Arial" w:hAnsi="Arial"/>
                <w:sz w:val="18"/>
                <w:szCs w:val="18"/>
                <w:color w:val="auto"/>
              </w:rPr>
              <w:t>Building materials</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93,909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93,909</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Chemicals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40,295</w:t>
            </w:r>
          </w:p>
        </w:tc>
        <w:tc>
          <w:tcPr>
            <w:tcW w:w="0" w:type="dxa"/>
            <w:vAlign w:val="bottom"/>
          </w:tcPr>
          <w:p>
            <w:pPr>
              <w:spacing w:after="0"/>
              <w:rPr>
                <w:sz w:val="1"/>
                <w:szCs w:val="1"/>
                <w:color w:val="auto"/>
              </w:rPr>
            </w:pPr>
          </w:p>
        </w:tc>
      </w:tr>
      <w:tr>
        <w:trPr>
          <w:trHeight w:val="243"/>
        </w:trPr>
        <w:tc>
          <w:tcPr>
            <w:tcW w:w="4440" w:type="dxa"/>
            <w:vAlign w:val="bottom"/>
          </w:tcPr>
          <w:p>
            <w:pPr>
              <w:ind w:left="420"/>
              <w:spacing w:after="0"/>
              <w:rPr>
                <w:sz w:val="20"/>
                <w:szCs w:val="20"/>
                <w:color w:val="auto"/>
              </w:rPr>
            </w:pPr>
            <w:r>
              <w:rPr>
                <w:rFonts w:ascii="Arial" w:cs="Arial" w:eastAsia="Arial" w:hAnsi="Arial"/>
                <w:sz w:val="18"/>
                <w:szCs w:val="18"/>
                <w:color w:val="auto"/>
              </w:rPr>
              <w:t>Communications &amp; media</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276,974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276,974</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Electronics &amp;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954,306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954,306</w:t>
            </w:r>
          </w:p>
        </w:tc>
        <w:tc>
          <w:tcPr>
            <w:tcW w:w="0" w:type="dxa"/>
            <w:vAlign w:val="bottom"/>
          </w:tcPr>
          <w:p>
            <w:pPr>
              <w:spacing w:after="0"/>
              <w:rPr>
                <w:sz w:val="1"/>
                <w:szCs w:val="1"/>
                <w:color w:val="auto"/>
              </w:rPr>
            </w:pPr>
          </w:p>
        </w:tc>
      </w:tr>
      <w:tr>
        <w:trPr>
          <w:trHeight w:val="243"/>
        </w:trPr>
        <w:tc>
          <w:tcPr>
            <w:tcW w:w="4440" w:type="dxa"/>
            <w:vAlign w:val="bottom"/>
          </w:tcPr>
          <w:p>
            <w:pPr>
              <w:ind w:left="420"/>
              <w:spacing w:after="0"/>
              <w:rPr>
                <w:sz w:val="20"/>
                <w:szCs w:val="20"/>
                <w:color w:val="auto"/>
              </w:rPr>
            </w:pPr>
            <w:r>
              <w:rPr>
                <w:rFonts w:ascii="Arial" w:cs="Arial" w:eastAsia="Arial" w:hAnsi="Arial"/>
                <w:sz w:val="18"/>
                <w:szCs w:val="18"/>
                <w:color w:val="auto"/>
              </w:rPr>
              <w:t>Energy</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425,926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425,926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400"/>
          </w:cols>
          <w:pgMar w:left="240" w:top="553" w:right="1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WESCO Distribution,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Savings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2014 and 2013, and December 29,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60" w:type="dxa"/>
            <w:vAlign w:val="bottom"/>
            <w:gridSpan w:val="6"/>
          </w:tcPr>
          <w:p>
            <w:pPr>
              <w:jc w:val="right"/>
              <w:spacing w:after="0"/>
              <w:rPr>
                <w:sz w:val="20"/>
                <w:szCs w:val="20"/>
                <w:color w:val="auto"/>
              </w:rPr>
            </w:pPr>
            <w:r>
              <w:rPr>
                <w:rFonts w:ascii="Arial" w:cs="Arial" w:eastAsia="Arial" w:hAnsi="Arial"/>
                <w:sz w:val="18"/>
                <w:szCs w:val="18"/>
                <w:color w:val="auto"/>
              </w:rPr>
              <w:t>December 29, 2013 (continued)</w:t>
            </w:r>
          </w:p>
        </w:tc>
        <w:tc>
          <w:tcPr>
            <w:tcW w:w="1080" w:type="dxa"/>
            <w:vAlign w:val="bottom"/>
          </w:tcPr>
          <w:p>
            <w:pPr>
              <w:spacing w:after="0"/>
              <w:rPr>
                <w:sz w:val="20"/>
                <w:szCs w:val="20"/>
                <w:color w:val="auto"/>
              </w:rPr>
            </w:pPr>
          </w:p>
        </w:tc>
      </w:tr>
      <w:tr>
        <w:trPr>
          <w:trHeight w:val="27"/>
        </w:trPr>
        <w:tc>
          <w:tcPr>
            <w:tcW w:w="4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color w:val="auto"/>
              </w:rPr>
              <w:t>Level 2</w:t>
            </w:r>
          </w:p>
        </w:tc>
        <w:tc>
          <w:tcPr>
            <w:tcW w:w="34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color w:val="auto"/>
              </w:rPr>
              <w:t>Total</w:t>
            </w:r>
          </w:p>
        </w:tc>
      </w:tr>
      <w:tr>
        <w:trPr>
          <w:trHeight w:val="27"/>
        </w:trPr>
        <w:tc>
          <w:tcPr>
            <w:tcW w:w="4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Financial</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258,194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258,194</w:t>
            </w:r>
          </w:p>
        </w:tc>
      </w:tr>
      <w:tr>
        <w:trPr>
          <w:trHeight w:val="243"/>
        </w:trPr>
        <w:tc>
          <w:tcPr>
            <w:tcW w:w="4940" w:type="dxa"/>
            <w:vAlign w:val="bottom"/>
            <w:gridSpan w:val="2"/>
          </w:tcPr>
          <w:p>
            <w:pPr>
              <w:ind w:left="440"/>
              <w:spacing w:after="0"/>
              <w:rPr>
                <w:sz w:val="20"/>
                <w:szCs w:val="20"/>
                <w:color w:val="auto"/>
              </w:rPr>
            </w:pPr>
            <w:r>
              <w:rPr>
                <w:rFonts w:ascii="Arial" w:cs="Arial" w:eastAsia="Arial" w:hAnsi="Arial"/>
                <w:sz w:val="18"/>
                <w:szCs w:val="18"/>
                <w:color w:val="auto"/>
              </w:rPr>
              <w:t>Healthcare</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374,212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374,212</w:t>
            </w:r>
          </w:p>
        </w:tc>
      </w:tr>
      <w:tr>
        <w:trPr>
          <w:trHeight w:val="27"/>
        </w:trPr>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Industrial</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228,507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228,507</w:t>
            </w:r>
          </w:p>
        </w:tc>
      </w:tr>
      <w:tr>
        <w:trPr>
          <w:trHeight w:val="243"/>
        </w:trPr>
        <w:tc>
          <w:tcPr>
            <w:tcW w:w="4940" w:type="dxa"/>
            <w:vAlign w:val="bottom"/>
            <w:gridSpan w:val="2"/>
          </w:tcPr>
          <w:p>
            <w:pPr>
              <w:ind w:left="440"/>
              <w:spacing w:after="0"/>
              <w:rPr>
                <w:sz w:val="20"/>
                <w:szCs w:val="20"/>
                <w:color w:val="auto"/>
              </w:rPr>
            </w:pPr>
            <w:r>
              <w:rPr>
                <w:rFonts w:ascii="Arial" w:cs="Arial" w:eastAsia="Arial" w:hAnsi="Arial"/>
                <w:sz w:val="18"/>
                <w:szCs w:val="18"/>
                <w:color w:val="auto"/>
              </w:rPr>
              <w:t>Leisure &amp; entertainment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433,365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433,365</w:t>
            </w:r>
          </w:p>
        </w:tc>
      </w:tr>
      <w:tr>
        <w:trPr>
          <w:trHeight w:val="27"/>
        </w:trPr>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Metals</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250,916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250,916</w:t>
            </w:r>
          </w:p>
        </w:tc>
      </w:tr>
      <w:tr>
        <w:trPr>
          <w:trHeight w:val="243"/>
        </w:trPr>
        <w:tc>
          <w:tcPr>
            <w:tcW w:w="4940" w:type="dxa"/>
            <w:vAlign w:val="bottom"/>
            <w:gridSpan w:val="2"/>
          </w:tcPr>
          <w:p>
            <w:pPr>
              <w:ind w:left="440"/>
              <w:spacing w:after="0"/>
              <w:rPr>
                <w:sz w:val="20"/>
                <w:szCs w:val="20"/>
                <w:color w:val="auto"/>
              </w:rPr>
            </w:pPr>
            <w:r>
              <w:rPr>
                <w:rFonts w:ascii="Arial" w:cs="Arial" w:eastAsia="Arial" w:hAnsi="Arial"/>
                <w:sz w:val="18"/>
                <w:szCs w:val="18"/>
                <w:color w:val="auto"/>
              </w:rPr>
              <w:t>Miscellaneous</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88,911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88,911</w:t>
            </w:r>
          </w:p>
        </w:tc>
      </w:tr>
      <w:tr>
        <w:trPr>
          <w:trHeight w:val="27"/>
        </w:trPr>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Multi-industry</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79,772</w:t>
            </w:r>
          </w:p>
        </w:tc>
      </w:tr>
      <w:tr>
        <w:trPr>
          <w:trHeight w:val="243"/>
        </w:trPr>
        <w:tc>
          <w:tcPr>
            <w:tcW w:w="4940" w:type="dxa"/>
            <w:vAlign w:val="bottom"/>
            <w:gridSpan w:val="2"/>
          </w:tcPr>
          <w:p>
            <w:pPr>
              <w:ind w:left="440"/>
              <w:spacing w:after="0"/>
              <w:rPr>
                <w:sz w:val="20"/>
                <w:szCs w:val="20"/>
                <w:color w:val="auto"/>
              </w:rPr>
            </w:pPr>
            <w:r>
              <w:rPr>
                <w:rFonts w:ascii="Arial" w:cs="Arial" w:eastAsia="Arial" w:hAnsi="Arial"/>
                <w:sz w:val="18"/>
                <w:szCs w:val="18"/>
                <w:color w:val="auto"/>
              </w:rPr>
              <w:t>Retail</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350,814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350,814</w:t>
            </w:r>
          </w:p>
        </w:tc>
      </w:tr>
      <w:tr>
        <w:trPr>
          <w:trHeight w:val="27"/>
        </w:trPr>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Utilities</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568,767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568,767</w:t>
            </w:r>
          </w:p>
        </w:tc>
      </w:tr>
      <w:tr>
        <w:trPr>
          <w:trHeight w:val="243"/>
        </w:trPr>
        <w:tc>
          <w:tcPr>
            <w:tcW w:w="4940" w:type="dxa"/>
            <w:vAlign w:val="bottom"/>
            <w:gridSpan w:val="2"/>
          </w:tcPr>
          <w:p>
            <w:pPr>
              <w:ind w:left="340"/>
              <w:spacing w:after="0"/>
              <w:rPr>
                <w:sz w:val="20"/>
                <w:szCs w:val="20"/>
                <w:color w:val="auto"/>
              </w:rPr>
            </w:pPr>
            <w:r>
              <w:rPr>
                <w:rFonts w:ascii="Arial" w:cs="Arial" w:eastAsia="Arial" w:hAnsi="Arial"/>
                <w:sz w:val="18"/>
                <w:szCs w:val="18"/>
                <w:color w:val="auto"/>
              </w:rPr>
              <w:t>Mutual funds</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Fixed</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245,328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245,328</w:t>
            </w:r>
          </w:p>
        </w:tc>
      </w:tr>
      <w:tr>
        <w:trPr>
          <w:trHeight w:val="243"/>
        </w:trPr>
        <w:tc>
          <w:tcPr>
            <w:tcW w:w="4940" w:type="dxa"/>
            <w:vAlign w:val="bottom"/>
            <w:gridSpan w:val="2"/>
          </w:tcPr>
          <w:p>
            <w:pPr>
              <w:ind w:left="440"/>
              <w:spacing w:after="0"/>
              <w:rPr>
                <w:sz w:val="20"/>
                <w:szCs w:val="20"/>
                <w:color w:val="auto"/>
              </w:rPr>
            </w:pPr>
            <w:r>
              <w:rPr>
                <w:rFonts w:ascii="Arial" w:cs="Arial" w:eastAsia="Arial" w:hAnsi="Arial"/>
                <w:sz w:val="18"/>
                <w:szCs w:val="18"/>
                <w:color w:val="auto"/>
              </w:rPr>
              <w:t>Balanced</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391,423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391,423</w:t>
            </w:r>
          </w:p>
        </w:tc>
      </w:tr>
      <w:tr>
        <w:trPr>
          <w:trHeight w:val="27"/>
        </w:trPr>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Equity</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1,914,149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1,914,149</w:t>
            </w:r>
          </w:p>
        </w:tc>
      </w:tr>
      <w:tr>
        <w:trPr>
          <w:trHeight w:val="243"/>
        </w:trPr>
        <w:tc>
          <w:tcPr>
            <w:tcW w:w="4940" w:type="dxa"/>
            <w:vAlign w:val="bottom"/>
            <w:gridSpan w:val="2"/>
          </w:tcPr>
          <w:p>
            <w:pPr>
              <w:ind w:left="440"/>
              <w:spacing w:after="0"/>
              <w:rPr>
                <w:sz w:val="20"/>
                <w:szCs w:val="20"/>
                <w:color w:val="auto"/>
              </w:rPr>
            </w:pPr>
            <w:r>
              <w:rPr>
                <w:rFonts w:ascii="Arial" w:cs="Arial" w:eastAsia="Arial" w:hAnsi="Arial"/>
                <w:sz w:val="18"/>
                <w:szCs w:val="18"/>
                <w:color w:val="auto"/>
              </w:rPr>
              <w:t>International</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34,462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34,462</w:t>
            </w:r>
          </w:p>
        </w:tc>
      </w:tr>
      <w:tr>
        <w:trPr>
          <w:trHeight w:val="27"/>
        </w:trPr>
        <w:tc>
          <w:tcPr>
            <w:tcW w:w="4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stock funds and self-directed accounts</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32,658,983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32,658,983</w:t>
            </w:r>
          </w:p>
        </w:tc>
      </w:tr>
      <w:tr>
        <w:trPr>
          <w:trHeight w:val="291"/>
        </w:trPr>
        <w:tc>
          <w:tcPr>
            <w:tcW w:w="46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270"/>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Stable Value Fund (Prudential)</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136,636,836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136,636,836</w:t>
            </w:r>
          </w:p>
        </w:tc>
      </w:tr>
      <w:tr>
        <w:trPr>
          <w:trHeight w:val="291"/>
        </w:trPr>
        <w:tc>
          <w:tcPr>
            <w:tcW w:w="46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250"/>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RAFI Enhanced Large Company Fund</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gridSpan w:val="2"/>
          </w:tcPr>
          <w:p>
            <w:pPr>
              <w:ind w:left="200"/>
              <w:spacing w:after="0"/>
              <w:rPr>
                <w:sz w:val="20"/>
                <w:szCs w:val="20"/>
                <w:color w:val="auto"/>
              </w:rPr>
            </w:pPr>
            <w:r>
              <w:rPr>
                <w:rFonts w:ascii="Arial" w:cs="Arial" w:eastAsia="Arial" w:hAnsi="Arial"/>
                <w:sz w:val="18"/>
                <w:szCs w:val="18"/>
                <w:color w:val="auto"/>
              </w:rPr>
              <w:t>Cash and cash equivalents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436,227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436,227</w:t>
            </w:r>
          </w:p>
        </w:tc>
      </w:tr>
      <w:tr>
        <w:trPr>
          <w:trHeight w:val="27"/>
        </w:trPr>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gridSpan w:val="2"/>
          </w:tcPr>
          <w:p>
            <w:pPr>
              <w:ind w:left="440"/>
              <w:spacing w:after="0"/>
              <w:rPr>
                <w:sz w:val="20"/>
                <w:szCs w:val="20"/>
                <w:color w:val="auto"/>
              </w:rPr>
            </w:pPr>
            <w:r>
              <w:rPr>
                <w:rFonts w:ascii="Arial" w:cs="Arial" w:eastAsia="Arial" w:hAnsi="Arial"/>
                <w:sz w:val="18"/>
                <w:szCs w:val="18"/>
                <w:color w:val="auto"/>
              </w:rPr>
              <w:t>Consumer discretionary</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4,326,218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4,326,218</w:t>
            </w:r>
          </w:p>
        </w:tc>
      </w:tr>
      <w:tr>
        <w:trPr>
          <w:trHeight w:val="27"/>
        </w:trPr>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Consumer staples</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3,295,551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3,295,551</w:t>
            </w:r>
          </w:p>
        </w:tc>
      </w:tr>
      <w:tr>
        <w:trPr>
          <w:trHeight w:val="243"/>
        </w:trPr>
        <w:tc>
          <w:tcPr>
            <w:tcW w:w="4940" w:type="dxa"/>
            <w:vAlign w:val="bottom"/>
            <w:gridSpan w:val="2"/>
          </w:tcPr>
          <w:p>
            <w:pPr>
              <w:ind w:left="440"/>
              <w:spacing w:after="0"/>
              <w:rPr>
                <w:sz w:val="20"/>
                <w:szCs w:val="20"/>
                <w:color w:val="auto"/>
              </w:rPr>
            </w:pPr>
            <w:r>
              <w:rPr>
                <w:rFonts w:ascii="Arial" w:cs="Arial" w:eastAsia="Arial" w:hAnsi="Arial"/>
                <w:sz w:val="18"/>
                <w:szCs w:val="18"/>
                <w:color w:val="auto"/>
              </w:rPr>
              <w:t>Distribution services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1,030,031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1,030,031</w:t>
            </w:r>
          </w:p>
        </w:tc>
      </w:tr>
      <w:tr>
        <w:trPr>
          <w:trHeight w:val="27"/>
        </w:trPr>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Energy</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3,964,206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3,964,206</w:t>
            </w:r>
          </w:p>
        </w:tc>
      </w:tr>
      <w:tr>
        <w:trPr>
          <w:trHeight w:val="243"/>
        </w:trPr>
        <w:tc>
          <w:tcPr>
            <w:tcW w:w="4940" w:type="dxa"/>
            <w:vAlign w:val="bottom"/>
            <w:gridSpan w:val="2"/>
          </w:tcPr>
          <w:p>
            <w:pPr>
              <w:ind w:left="440"/>
              <w:spacing w:after="0"/>
              <w:rPr>
                <w:sz w:val="20"/>
                <w:szCs w:val="20"/>
                <w:color w:val="auto"/>
              </w:rPr>
            </w:pPr>
            <w:r>
              <w:rPr>
                <w:rFonts w:ascii="Arial" w:cs="Arial" w:eastAsia="Arial" w:hAnsi="Arial"/>
                <w:sz w:val="18"/>
                <w:szCs w:val="18"/>
                <w:color w:val="auto"/>
              </w:rPr>
              <w:t>Financials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6,572,398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6,572,398</w:t>
            </w:r>
          </w:p>
        </w:tc>
      </w:tr>
      <w:tr>
        <w:trPr>
          <w:trHeight w:val="27"/>
        </w:trPr>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Health care services</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3,626,725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3,626,725</w:t>
            </w:r>
          </w:p>
        </w:tc>
      </w:tr>
      <w:tr>
        <w:trPr>
          <w:trHeight w:val="243"/>
        </w:trPr>
        <w:tc>
          <w:tcPr>
            <w:tcW w:w="4940" w:type="dxa"/>
            <w:vAlign w:val="bottom"/>
            <w:gridSpan w:val="2"/>
          </w:tcPr>
          <w:p>
            <w:pPr>
              <w:ind w:left="440"/>
              <w:spacing w:after="0"/>
              <w:rPr>
                <w:sz w:val="20"/>
                <w:szCs w:val="20"/>
                <w:color w:val="auto"/>
              </w:rPr>
            </w:pPr>
            <w:r>
              <w:rPr>
                <w:rFonts w:ascii="Arial" w:cs="Arial" w:eastAsia="Arial" w:hAnsi="Arial"/>
                <w:sz w:val="18"/>
                <w:szCs w:val="18"/>
                <w:color w:val="auto"/>
              </w:rPr>
              <w:t>Industrials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2,903,779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2,903,779</w:t>
            </w:r>
          </w:p>
        </w:tc>
      </w:tr>
      <w:tr>
        <w:trPr>
          <w:trHeight w:val="27"/>
        </w:trPr>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Information technology</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4,665,832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4,665,832</w:t>
            </w:r>
          </w:p>
        </w:tc>
      </w:tr>
      <w:tr>
        <w:trPr>
          <w:trHeight w:val="243"/>
        </w:trPr>
        <w:tc>
          <w:tcPr>
            <w:tcW w:w="4940" w:type="dxa"/>
            <w:vAlign w:val="bottom"/>
            <w:gridSpan w:val="2"/>
          </w:tcPr>
          <w:p>
            <w:pPr>
              <w:ind w:left="440"/>
              <w:spacing w:after="0"/>
              <w:rPr>
                <w:sz w:val="20"/>
                <w:szCs w:val="20"/>
                <w:color w:val="auto"/>
              </w:rPr>
            </w:pPr>
            <w:r>
              <w:rPr>
                <w:rFonts w:ascii="Arial" w:cs="Arial" w:eastAsia="Arial" w:hAnsi="Arial"/>
                <w:sz w:val="18"/>
                <w:szCs w:val="18"/>
                <w:color w:val="auto"/>
              </w:rPr>
              <w:t>Materials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889,546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889,546</w:t>
            </w:r>
          </w:p>
        </w:tc>
      </w:tr>
      <w:tr>
        <w:trPr>
          <w:trHeight w:val="27"/>
        </w:trPr>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Telecommunication services</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774,295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774,295</w:t>
            </w:r>
          </w:p>
        </w:tc>
      </w:tr>
      <w:tr>
        <w:trPr>
          <w:trHeight w:val="243"/>
        </w:trPr>
        <w:tc>
          <w:tcPr>
            <w:tcW w:w="4940" w:type="dxa"/>
            <w:vAlign w:val="bottom"/>
            <w:gridSpan w:val="2"/>
          </w:tcPr>
          <w:p>
            <w:pPr>
              <w:ind w:left="440"/>
              <w:spacing w:after="0"/>
              <w:rPr>
                <w:sz w:val="20"/>
                <w:szCs w:val="20"/>
                <w:color w:val="auto"/>
              </w:rPr>
            </w:pPr>
            <w:r>
              <w:rPr>
                <w:rFonts w:ascii="Arial" w:cs="Arial" w:eastAsia="Arial" w:hAnsi="Arial"/>
                <w:sz w:val="18"/>
                <w:szCs w:val="18"/>
                <w:color w:val="auto"/>
              </w:rPr>
              <w:t>Utilities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1,164,455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1,164,455</w:t>
            </w:r>
          </w:p>
        </w:tc>
      </w:tr>
      <w:tr>
        <w:trPr>
          <w:trHeight w:val="27"/>
        </w:trPr>
        <w:tc>
          <w:tcPr>
            <w:tcW w:w="4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RAFI Enhanced Large Company Fund</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33,649,263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33,649,263</w:t>
            </w:r>
          </w:p>
        </w:tc>
      </w:tr>
      <w:tr>
        <w:trPr>
          <w:trHeight w:val="264"/>
        </w:trPr>
        <w:tc>
          <w:tcPr>
            <w:tcW w:w="466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r>
      <w:tr>
        <w:trPr>
          <w:trHeight w:val="275"/>
        </w:trPr>
        <w:tc>
          <w:tcPr>
            <w:tcW w:w="4940" w:type="dxa"/>
            <w:vAlign w:val="bottom"/>
            <w:tcBorders>
              <w:bottom w:val="single" w:sz="8" w:color="CCEEFF"/>
            </w:tcBorders>
            <w:gridSpan w:val="2"/>
            <w:shd w:val="clear" w:color="auto" w:fill="CCEEFF"/>
          </w:tcPr>
          <w:p>
            <w:pPr>
              <w:ind w:left="46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406,040,328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170,286,099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576,326,427</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360"/>
          </w:cols>
          <w:pgMar w:left="240" w:top="553" w:right="1299" w:bottom="10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360"/>
          </w:cols>
          <w:pgMar w:left="240" w:top="553" w:right="1299" w:bottom="1054"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WESCO Distribution,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Savings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2014 and 2013, and December 29, 2013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Investments (at fair value) representing 5% or more of the net assets available for benefits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60" w:type="dxa"/>
            <w:vAlign w:val="bottom"/>
            <w:gridSpan w:val="5"/>
          </w:tcPr>
          <w:p>
            <w:pPr>
              <w:ind w:left="72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20"/>
                <w:szCs w:val="20"/>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29,</w:t>
            </w:r>
          </w:p>
        </w:tc>
      </w:tr>
      <w:tr>
        <w:trPr>
          <w:trHeight w:val="27"/>
        </w:trPr>
        <w:tc>
          <w:tcPr>
            <w:tcW w:w="80" w:type="dxa"/>
            <w:vAlign w:val="bottom"/>
          </w:tcPr>
          <w:p>
            <w:pPr>
              <w:spacing w:after="0"/>
              <w:rPr>
                <w:sz w:val="2"/>
                <w:szCs w:val="2"/>
                <w:color w:val="auto"/>
              </w:rPr>
            </w:pPr>
          </w:p>
        </w:tc>
        <w:tc>
          <w:tcPr>
            <w:tcW w:w="6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8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r>
      <w:tr>
        <w:trPr>
          <w:trHeight w:val="27"/>
        </w:trPr>
        <w:tc>
          <w:tcPr>
            <w:tcW w:w="80" w:type="dxa"/>
            <w:vAlign w:val="bottom"/>
          </w:tcPr>
          <w:p>
            <w:pPr>
              <w:spacing w:after="0"/>
              <w:rPr>
                <w:sz w:val="2"/>
                <w:szCs w:val="2"/>
                <w:color w:val="auto"/>
              </w:rPr>
            </w:pPr>
          </w:p>
        </w:tc>
        <w:tc>
          <w:tcPr>
            <w:tcW w:w="6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0" w:type="dxa"/>
            <w:vAlign w:val="bottom"/>
          </w:tcPr>
          <w:p>
            <w:pPr>
              <w:spacing w:after="0"/>
              <w:rPr>
                <w:sz w:val="21"/>
                <w:szCs w:val="21"/>
                <w:color w:val="auto"/>
              </w:rPr>
            </w:pPr>
          </w:p>
        </w:tc>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AMCAP Fund (Class R-5)</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63,492,756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56,161,534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55,953,664</w:t>
            </w:r>
          </w:p>
        </w:tc>
      </w:tr>
      <w:tr>
        <w:trPr>
          <w:trHeight w:val="243"/>
        </w:trPr>
        <w:tc>
          <w:tcPr>
            <w:tcW w:w="80" w:type="dxa"/>
            <w:vAlign w:val="bottom"/>
          </w:tcPr>
          <w:p>
            <w:pPr>
              <w:spacing w:after="0"/>
              <w:rPr>
                <w:sz w:val="21"/>
                <w:szCs w:val="21"/>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American Balanced Fund (Class R-5)</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101,737,394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92,932,476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92,669,593</w:t>
            </w:r>
          </w:p>
        </w:tc>
      </w:tr>
      <w:tr>
        <w:trPr>
          <w:trHeight w:val="27"/>
        </w:trPr>
        <w:tc>
          <w:tcPr>
            <w:tcW w:w="80" w:type="dxa"/>
            <w:vAlign w:val="bottom"/>
          </w:tcPr>
          <w:p>
            <w:pPr>
              <w:spacing w:after="0"/>
              <w:rPr>
                <w:sz w:val="2"/>
                <w:szCs w:val="2"/>
                <w:color w:val="auto"/>
              </w:rPr>
            </w:pPr>
          </w:p>
        </w:tc>
        <w:tc>
          <w:tcPr>
            <w:tcW w:w="6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Artisan Mid Cap Investor Fund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50,360,066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r>
      <w:tr>
        <w:trPr>
          <w:trHeight w:val="243"/>
        </w:trPr>
        <w:tc>
          <w:tcPr>
            <w:tcW w:w="80" w:type="dxa"/>
            <w:vAlign w:val="bottom"/>
          </w:tcPr>
          <w:p>
            <w:pPr>
              <w:spacing w:after="0"/>
              <w:rPr>
                <w:sz w:val="21"/>
                <w:szCs w:val="21"/>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Columbia Acorn Fund (Class Z)</w:t>
            </w:r>
          </w:p>
        </w:tc>
        <w:tc>
          <w:tcPr>
            <w:tcW w:w="300" w:type="dxa"/>
            <w:vAlign w:val="bottom"/>
          </w:tcPr>
          <w:p>
            <w:pPr>
              <w:spacing w:after="0"/>
              <w:rPr>
                <w:sz w:val="21"/>
                <w:szCs w:val="21"/>
                <w:color w:val="auto"/>
              </w:rPr>
            </w:pPr>
          </w:p>
        </w:tc>
        <w:tc>
          <w:tcPr>
            <w:tcW w:w="1200" w:type="dxa"/>
            <w:vAlign w:val="bottom"/>
          </w:tcPr>
          <w:p>
            <w:pPr>
              <w:jc w:val="center"/>
              <w:ind w:right="2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56,667,904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56,418,478</w:t>
            </w:r>
          </w:p>
        </w:tc>
      </w:tr>
      <w:tr>
        <w:trPr>
          <w:trHeight w:val="27"/>
        </w:trPr>
        <w:tc>
          <w:tcPr>
            <w:tcW w:w="80" w:type="dxa"/>
            <w:vAlign w:val="bottom"/>
          </w:tcPr>
          <w:p>
            <w:pPr>
              <w:spacing w:after="0"/>
              <w:rPr>
                <w:sz w:val="2"/>
                <w:szCs w:val="2"/>
                <w:color w:val="auto"/>
              </w:rPr>
            </w:pPr>
          </w:p>
        </w:tc>
        <w:tc>
          <w:tcPr>
            <w:tcW w:w="6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JPMorgan Mid Cap Value Instl Fund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33,999,286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30,434,097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30,270,190</w:t>
            </w:r>
          </w:p>
        </w:tc>
      </w:tr>
      <w:tr>
        <w:trPr>
          <w:trHeight w:val="243"/>
        </w:trPr>
        <w:tc>
          <w:tcPr>
            <w:tcW w:w="80" w:type="dxa"/>
            <w:vAlign w:val="bottom"/>
          </w:tcPr>
          <w:p>
            <w:pPr>
              <w:spacing w:after="0"/>
              <w:rPr>
                <w:sz w:val="21"/>
                <w:szCs w:val="21"/>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Thornburg International Value Fund</w:t>
            </w:r>
          </w:p>
        </w:tc>
        <w:tc>
          <w:tcPr>
            <w:tcW w:w="300" w:type="dxa"/>
            <w:vAlign w:val="bottom"/>
          </w:tcPr>
          <w:p>
            <w:pPr>
              <w:spacing w:after="0"/>
              <w:rPr>
                <w:sz w:val="21"/>
                <w:szCs w:val="21"/>
                <w:color w:val="auto"/>
              </w:rPr>
            </w:pPr>
          </w:p>
        </w:tc>
        <w:tc>
          <w:tcPr>
            <w:tcW w:w="1200" w:type="dxa"/>
            <w:vAlign w:val="bottom"/>
          </w:tcPr>
          <w:p>
            <w:pPr>
              <w:jc w:val="center"/>
              <w:ind w:right="2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31,047,620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30,916,375</w:t>
            </w:r>
          </w:p>
        </w:tc>
      </w:tr>
      <w:tr>
        <w:trPr>
          <w:trHeight w:val="27"/>
        </w:trPr>
        <w:tc>
          <w:tcPr>
            <w:tcW w:w="80" w:type="dxa"/>
            <w:vAlign w:val="bottom"/>
          </w:tcPr>
          <w:p>
            <w:pPr>
              <w:spacing w:after="0"/>
              <w:rPr>
                <w:sz w:val="2"/>
                <w:szCs w:val="2"/>
                <w:color w:val="auto"/>
              </w:rPr>
            </w:pPr>
          </w:p>
        </w:tc>
        <w:tc>
          <w:tcPr>
            <w:tcW w:w="6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Stable Value Fund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132,536,862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136,902,354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136,636,836</w:t>
            </w:r>
          </w:p>
        </w:tc>
      </w:tr>
      <w:tr>
        <w:trPr>
          <w:trHeight w:val="324"/>
        </w:trPr>
        <w:tc>
          <w:tcPr>
            <w:tcW w:w="6740" w:type="dxa"/>
            <w:vAlign w:val="bottom"/>
            <w:gridSpan w:val="2"/>
          </w:tcPr>
          <w:p>
            <w:pPr>
              <w:spacing w:after="0"/>
              <w:rPr>
                <w:sz w:val="20"/>
                <w:szCs w:val="20"/>
                <w:color w:val="auto"/>
              </w:rPr>
            </w:pPr>
            <w:r>
              <w:rPr>
                <w:rFonts w:ascii="Arial" w:cs="Arial" w:eastAsia="Arial" w:hAnsi="Arial"/>
                <w:sz w:val="18"/>
                <w:szCs w:val="18"/>
                <w:color w:val="auto"/>
                <w:w w:val="99"/>
              </w:rPr>
              <w:t>* The Plan did not hold an investment in this fund as of the respective reporting date.</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198"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The Stable Value Fund</w:t>
      </w:r>
    </w:p>
    <w:p>
      <w:pPr>
        <w:spacing w:after="0" w:line="229" w:lineRule="exact"/>
        <w:rPr>
          <w:rFonts w:ascii="Arial" w:cs="Arial" w:eastAsia="Arial" w:hAnsi="Arial"/>
          <w:sz w:val="18"/>
          <w:szCs w:val="18"/>
          <w:b w:val="1"/>
          <w:bCs w:val="1"/>
          <w:color w:val="auto"/>
        </w:rPr>
      </w:pPr>
    </w:p>
    <w:p>
      <w:pPr>
        <w:jc w:val="both"/>
        <w:ind w:left="50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During 2007, the Plan began investing in a fully benefit-responsive synthetic guaranteed interest contract (“GIC”) with an insurance company as part of offering the Stable Value Fund (the “Fund”) investment option to participants. Contributions to this Fund are used to purchase units of a collective trust vehicle that is invested in high-quality U.S. bonds, including U.S. government treasuries, corporate debt securities, and other high-credit-quality asset-backed securities. The GIC issuer is contractually obligated to repay the principal and a specified interest rate that is guaranteed to the Plan. There are no reserves against contract value for credit risk of the contract issuer or otherwise.</w:t>
      </w:r>
    </w:p>
    <w:p>
      <w:pPr>
        <w:spacing w:after="0" w:line="172" w:lineRule="exact"/>
        <w:rPr>
          <w:rFonts w:ascii="Arial" w:cs="Arial" w:eastAsia="Arial" w:hAnsi="Arial"/>
          <w:sz w:val="18"/>
          <w:szCs w:val="18"/>
          <w:b w:val="1"/>
          <w:bCs w:val="1"/>
          <w:color w:val="auto"/>
        </w:rPr>
      </w:pPr>
    </w:p>
    <w:p>
      <w:pPr>
        <w:jc w:val="both"/>
        <w:ind w:left="5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Fund has entered into a wrap contract with an insurance company under which the insurance company provides a guarantee with respect to the availability of funds to make distributions from this investment option. This insurance contract is carried at contract value in the participants' accounts.</w:t>
      </w:r>
    </w:p>
    <w:p>
      <w:pPr>
        <w:spacing w:after="0" w:line="123" w:lineRule="exact"/>
        <w:rPr>
          <w:rFonts w:ascii="Arial" w:cs="Arial" w:eastAsia="Arial" w:hAnsi="Arial"/>
          <w:sz w:val="18"/>
          <w:szCs w:val="18"/>
          <w:b w:val="1"/>
          <w:bCs w:val="1"/>
          <w:color w:val="auto"/>
        </w:rPr>
      </w:pPr>
    </w:p>
    <w:p>
      <w:pPr>
        <w:jc w:val="both"/>
        <w:ind w:left="50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Participant accounts in the Fund are credited with interest at a fixed rate that is reset quarterly based on an agreed-upon formula as defined in the contract. The primary variables that could impact the future interest rates that are credited to the participant's accounts (“credited rates”) include (i) the amount and timing of participant contributions, (ii) transfers and withdrawals into/out of the contract, (iii) the current yield of the assets underlying the contract, (iv) the duration of the assets underlying the contract, and (v) the existing difference between fair value of the securities and the contract value of the assets within the insurance contract. The credited rate of security-backed contracts will track current market yields on a trailing basis. The rate reset feature allows the contract value to converge with the fair value of the underlying portfolio over time, assuming the portfolio continues to earn the current yield for a period of time equal to the current portfolio duration.</w:t>
      </w:r>
    </w:p>
    <w:p>
      <w:pPr>
        <w:spacing w:after="0" w:line="177" w:lineRule="exact"/>
        <w:rPr>
          <w:rFonts w:ascii="Arial" w:cs="Arial" w:eastAsia="Arial" w:hAnsi="Arial"/>
          <w:sz w:val="18"/>
          <w:szCs w:val="18"/>
          <w:b w:val="1"/>
          <w:bCs w:val="1"/>
          <w:color w:val="auto"/>
        </w:rPr>
      </w:pPr>
    </w:p>
    <w:p>
      <w:pPr>
        <w:jc w:val="both"/>
        <w:ind w:left="5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To the extent that the underlying portfolio has unrealized and/or realized losses, a positive adjustment is made when reconciling from fair value to contract value under contract value accounting. As a result, the future credited rate may be lower over time than the current market rates. Similarly, if the underlying portfolio generates unrealized and/or realized gains, a negative adjustment is made when reconciling from fair value to contract value, and in the future, the credited rate may be higher than the current market rates. The insurance contract cannot credit an interest rate that is less than zero percent.</w:t>
      </w:r>
    </w:p>
    <w:p>
      <w:pPr>
        <w:spacing w:after="0" w:line="188" w:lineRule="exact"/>
        <w:rPr>
          <w:rFonts w:ascii="Arial" w:cs="Arial" w:eastAsia="Arial" w:hAnsi="Arial"/>
          <w:sz w:val="18"/>
          <w:szCs w:val="18"/>
          <w:b w:val="1"/>
          <w:bCs w:val="1"/>
          <w:color w:val="auto"/>
        </w:rPr>
      </w:pPr>
    </w:p>
    <w:p>
      <w:pPr>
        <w:ind w:left="500" w:right="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Certain events limit the ability of the Plan to transact at contract value with the insurance company. Such events are limited to premature termination of the contract by the Plan or plan termination. The plan sponsor has not expressed any intention to take either of these actions.</w:t>
      </w:r>
    </w:p>
    <w:p>
      <w:pPr>
        <w:spacing w:after="0" w:line="146" w:lineRule="exact"/>
        <w:rPr>
          <w:rFonts w:ascii="Arial" w:cs="Arial" w:eastAsia="Arial" w:hAnsi="Arial"/>
          <w:sz w:val="18"/>
          <w:szCs w:val="18"/>
          <w:b w:val="1"/>
          <w:bCs w:val="1"/>
          <w:color w:val="auto"/>
        </w:rPr>
      </w:pPr>
    </w:p>
    <w:p>
      <w:pPr>
        <w:jc w:val="both"/>
        <w:ind w:left="5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described in Note 2, because the synthetic GIC is fully benefit-responsive, contract value is the relevant measurement attribute for that portion of the net assets available for benefits attributable to the synthetic GICs. Participants may ordinarily direct the withdrawal or transfer of all or a portion of their investment at contract value.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53"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WESCO Distribution,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Savings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2014 and 2013, and December 29, 2013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The average yields earned by the Fund are as follows:</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78"/>
        </w:trPr>
        <w:tc>
          <w:tcPr>
            <w:tcW w:w="8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960" w:type="dxa"/>
            <w:vAlign w:val="bottom"/>
            <w:gridSpan w:val="4"/>
          </w:tcPr>
          <w:p>
            <w:pPr>
              <w:ind w:left="900"/>
              <w:spacing w:after="0"/>
              <w:rPr>
                <w:sz w:val="20"/>
                <w:szCs w:val="20"/>
                <w:color w:val="auto"/>
              </w:rPr>
            </w:pPr>
            <w:r>
              <w:rPr>
                <w:rFonts w:ascii="Arial" w:cs="Arial" w:eastAsia="Arial" w:hAnsi="Arial"/>
                <w:sz w:val="18"/>
                <w:szCs w:val="18"/>
                <w:b w:val="1"/>
                <w:bCs w:val="1"/>
                <w:color w:val="auto"/>
              </w:rPr>
              <w:t>December 31,</w:t>
            </w: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December 29,</w:t>
            </w:r>
          </w:p>
        </w:tc>
      </w:tr>
      <w:tr>
        <w:trPr>
          <w:trHeight w:val="27"/>
        </w:trPr>
        <w:tc>
          <w:tcPr>
            <w:tcW w:w="8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84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Average yield for synthetic GICs</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84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4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Based on actual earnings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2.05%</w:t>
            </w:r>
          </w:p>
        </w:tc>
      </w:tr>
      <w:tr>
        <w:trPr>
          <w:trHeight w:val="243"/>
        </w:trPr>
        <w:tc>
          <w:tcPr>
            <w:tcW w:w="840" w:type="dxa"/>
            <w:vAlign w:val="bottom"/>
          </w:tcPr>
          <w:p>
            <w:pPr>
              <w:spacing w:after="0"/>
              <w:rPr>
                <w:sz w:val="21"/>
                <w:szCs w:val="21"/>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Based on interest rate credited to participants</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2.32%</w:t>
            </w:r>
          </w:p>
        </w:tc>
        <w:tc>
          <w:tcPr>
            <w:tcW w:w="10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2.36%</w:t>
            </w:r>
          </w:p>
        </w:tc>
        <w:tc>
          <w:tcPr>
            <w:tcW w:w="10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2.35%</w:t>
            </w:r>
          </w:p>
        </w:tc>
      </w:tr>
    </w:tbl>
    <w:p>
      <w:pPr>
        <w:spacing w:after="0" w:line="225"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Promissory Notes From Participants</w:t>
      </w:r>
    </w:p>
    <w:p>
      <w:pPr>
        <w:spacing w:after="0" w:line="229" w:lineRule="exact"/>
        <w:rPr>
          <w:rFonts w:ascii="Arial" w:cs="Arial" w:eastAsia="Arial" w:hAnsi="Arial"/>
          <w:sz w:val="18"/>
          <w:szCs w:val="18"/>
          <w:b w:val="1"/>
          <w:bCs w:val="1"/>
          <w:color w:val="auto"/>
        </w:rPr>
      </w:pPr>
    </w:p>
    <w:p>
      <w:pPr>
        <w:jc w:val="both"/>
        <w:ind w:left="50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interest rate applied to participant loans is established each month by the Administrative and Investment Committee at 1% above the prime interest rate. The interest rate on loans outstanding ranged between 4.25% and 9.25% for the year ended December 31, 2014 and the short plan year ended December 31, 2013. Principal and interest payments are generally made through monthly payroll deductions and are credited to the participant's individual account. Loans of approximately $7,787,000 were made from the Plan and loan principal repayments of approximately $7,253,000 were received by the Plan during the year ended December 31, 2014. Loans of approximately $70,000 were made from the Plan during the short plan year ended December 31, 2013. The Plan did not receive any loan principal repayments during the short plan year ended December 31, 2013. Interest on the promissory notes of approximately $587,000 was earned by the Plan for the year ended December 31, 2014. The Plan did not accrue any interest on the promissory notes during the short plan year ended December 31, 2013.</w:t>
      </w:r>
    </w:p>
    <w:p>
      <w:pPr>
        <w:spacing w:after="0" w:line="174" w:lineRule="exact"/>
        <w:rPr>
          <w:rFonts w:ascii="Arial" w:cs="Arial" w:eastAsia="Arial" w:hAnsi="Arial"/>
          <w:sz w:val="18"/>
          <w:szCs w:val="18"/>
          <w:b w:val="1"/>
          <w:bCs w:val="1"/>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Party-In-Interest</w:t>
      </w:r>
    </w:p>
    <w:p>
      <w:pPr>
        <w:spacing w:after="0" w:line="229" w:lineRule="exact"/>
        <w:rPr>
          <w:rFonts w:ascii="Arial" w:cs="Arial" w:eastAsia="Arial" w:hAnsi="Arial"/>
          <w:sz w:val="18"/>
          <w:szCs w:val="18"/>
          <w:b w:val="1"/>
          <w:bCs w:val="1"/>
          <w:color w:val="auto"/>
        </w:rPr>
      </w:pPr>
    </w:p>
    <w:p>
      <w:pPr>
        <w:jc w:val="both"/>
        <w:ind w:left="50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Participants of the Plan may elect to invest in WESCO International, Inc. common stock within the WESCO Pooled Stock Fund. WESCO International, Inc. owns 100% of the Company. Therefore, these transactions qualify as party-in-interest transactions. Purchases and sales proceeds within the WESCO Pooled Stock Fund for the year ended December 31, 2014 were approximately $3,470,000 and $4,286,000, respectively, and purchases and sales proceeds for the short plan year ended December 31, 2013 were approximately $3,000 and $1,000, respectively.</w:t>
      </w:r>
    </w:p>
    <w:p>
      <w:pPr>
        <w:spacing w:after="0" w:line="150" w:lineRule="exact"/>
        <w:rPr>
          <w:rFonts w:ascii="Arial" w:cs="Arial" w:eastAsia="Arial" w:hAnsi="Arial"/>
          <w:sz w:val="18"/>
          <w:szCs w:val="18"/>
          <w:b w:val="1"/>
          <w:bCs w:val="1"/>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Plan Transfers</w:t>
      </w:r>
    </w:p>
    <w:p>
      <w:pPr>
        <w:spacing w:after="0" w:line="229" w:lineRule="exact"/>
        <w:rPr>
          <w:rFonts w:ascii="Arial" w:cs="Arial" w:eastAsia="Arial" w:hAnsi="Arial"/>
          <w:sz w:val="18"/>
          <w:szCs w:val="18"/>
          <w:b w:val="1"/>
          <w:bCs w:val="1"/>
          <w:color w:val="auto"/>
        </w:rPr>
      </w:pPr>
    </w:p>
    <w:p>
      <w:pPr>
        <w:jc w:val="both"/>
        <w:ind w:left="50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On June 18, 2014, the Plan's Administrative and Investment Committee executed the eighth amendment to the Plan (the "Eighth Amendment") to merge the Talcup, Inc. Employee Savings Plan Local 243 (the "Talcup Union Plan") into the WESCO Distribution, Inc. Retirement Savings Plan. The participants in the Talcup Union Plan were certain employees of RS Electronics. The Company, through a wholly-owned subsidiary, acquired RS Electronics on January 3, 2012. Effective August 1, 2014, participants in the Talcup Union Plan became participants in the WESCO Distribution, Inc. Retirement Savings Plan. Talcup Union Plan assets of approximately $100,000 were transfered into the WESCO Distribution, Inc. Retirement Savings Plan on such date. The terms of the Eighth Amendment provide that eligible employees who were transferred to the Plan received vesting service credit for their service under the Talcup Union Plan prior to the transfer and employees whose accounts are merged into the Plan shall be fully vested in such transferred accounts and in their new accounts under the Plan.</w:t>
      </w:r>
    </w:p>
    <w:p>
      <w:pPr>
        <w:spacing w:after="0" w:line="178" w:lineRule="exact"/>
        <w:rPr>
          <w:rFonts w:ascii="Arial" w:cs="Arial" w:eastAsia="Arial" w:hAnsi="Arial"/>
          <w:sz w:val="18"/>
          <w:szCs w:val="18"/>
          <w:b w:val="1"/>
          <w:bCs w:val="1"/>
          <w:color w:val="auto"/>
        </w:rPr>
      </w:pPr>
    </w:p>
    <w:p>
      <w:pPr>
        <w:jc w:val="both"/>
        <w:ind w:left="5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acquired Hi-Line Utility Supply ("Hi-Line") on June 11, 2014. As a result of this acquisition, approximately 30 employees were accepted into the Plan. Such employees did not rollover any amounts from the retirement savings plan maintained by Hi-Line's plan administrator into the Plan during the year ended December 31, 2014.</w:t>
      </w:r>
    </w:p>
    <w:p>
      <w:pPr>
        <w:spacing w:after="0" w:line="177" w:lineRule="exact"/>
        <w:rPr>
          <w:rFonts w:ascii="Arial" w:cs="Arial" w:eastAsia="Arial" w:hAnsi="Arial"/>
          <w:sz w:val="18"/>
          <w:szCs w:val="18"/>
          <w:b w:val="1"/>
          <w:bCs w:val="1"/>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29" w:lineRule="exact"/>
        <w:rPr>
          <w:rFonts w:ascii="Arial" w:cs="Arial" w:eastAsia="Arial" w:hAnsi="Arial"/>
          <w:sz w:val="18"/>
          <w:szCs w:val="18"/>
          <w:b w:val="1"/>
          <w:bCs w:val="1"/>
          <w:color w:val="auto"/>
        </w:rPr>
      </w:pPr>
    </w:p>
    <w:p>
      <w:pPr>
        <w:jc w:val="both"/>
        <w:ind w:left="5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plan sponsor evaluated subsequent events and transactions for potential recognition or disclosure in the financial statements through June 29, 2015, the day the financial statements were approved and authorized for issue, and concluded that all events that would require recognition or disclosure are appropriately reflected in these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53" w:right="239" w:bottom="1440" w:gutter="0" w:footer="0" w:header="0"/>
        </w:sectPr>
      </w:pPr>
    </w:p>
    <w:bookmarkStart w:id="19" w:name="page20"/>
    <w:bookmarkEnd w:id="19"/>
    <w:p>
      <w:pPr>
        <w:ind w:left="40"/>
        <w:spacing w:after="0"/>
        <w:rPr>
          <w:sz w:val="20"/>
          <w:szCs w:val="20"/>
          <w:color w:val="auto"/>
        </w:rPr>
      </w:pPr>
      <w:r>
        <w:rPr>
          <w:rFonts w:ascii="Arial" w:cs="Arial" w:eastAsia="Arial" w:hAnsi="Arial"/>
          <w:sz w:val="16"/>
          <w:szCs w:val="16"/>
          <w:b w:val="1"/>
          <w:bCs w:val="1"/>
          <w:color w:val="auto"/>
        </w:rPr>
        <w:t>WESCO Distribution, Inc.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Retirement Savings Plan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Schedule H (Form 5500), line 4(i) - Schedule of Assets (Held at End of Year)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EIN 25-1723345, Plan Number 001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2014</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4460" w:type="dxa"/>
            <w:vAlign w:val="bottom"/>
          </w:tcPr>
          <w:p>
            <w:pPr>
              <w:jc w:val="center"/>
              <w:ind w:left="720"/>
              <w:spacing w:after="0"/>
              <w:rPr>
                <w:sz w:val="20"/>
                <w:szCs w:val="20"/>
                <w:color w:val="auto"/>
              </w:rPr>
            </w:pPr>
            <w:r>
              <w:rPr>
                <w:rFonts w:ascii="Arial" w:cs="Arial" w:eastAsia="Arial" w:hAnsi="Arial"/>
                <w:sz w:val="14"/>
                <w:szCs w:val="14"/>
                <w:b w:val="1"/>
                <w:bCs w:val="1"/>
                <w:color w:val="auto"/>
              </w:rPr>
              <w:t>(b)</w:t>
            </w:r>
          </w:p>
        </w:tc>
        <w:tc>
          <w:tcPr>
            <w:tcW w:w="5260" w:type="dxa"/>
            <w:vAlign w:val="bottom"/>
          </w:tcPr>
          <w:p>
            <w:pPr>
              <w:jc w:val="center"/>
              <w:ind w:left="700"/>
              <w:spacing w:after="0"/>
              <w:rPr>
                <w:sz w:val="20"/>
                <w:szCs w:val="20"/>
                <w:color w:val="auto"/>
              </w:rPr>
            </w:pPr>
            <w:r>
              <w:rPr>
                <w:rFonts w:ascii="Arial" w:cs="Arial" w:eastAsia="Arial" w:hAnsi="Arial"/>
                <w:sz w:val="14"/>
                <w:szCs w:val="14"/>
                <w:b w:val="1"/>
                <w:bCs w:val="1"/>
                <w:color w:val="auto"/>
                <w:w w:val="93"/>
              </w:rPr>
              <w:t>(c)</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(d)</w:t>
            </w:r>
          </w:p>
        </w:tc>
      </w:tr>
      <w:tr>
        <w:trPr>
          <w:trHeight w:val="270"/>
        </w:trPr>
        <w:tc>
          <w:tcPr>
            <w:tcW w:w="460" w:type="dxa"/>
            <w:vAlign w:val="bottom"/>
          </w:tcPr>
          <w:p>
            <w:pPr>
              <w:spacing w:after="0"/>
              <w:rPr>
                <w:sz w:val="23"/>
                <w:szCs w:val="23"/>
                <w:color w:val="auto"/>
              </w:rPr>
            </w:pPr>
          </w:p>
        </w:tc>
        <w:tc>
          <w:tcPr>
            <w:tcW w:w="4460" w:type="dxa"/>
            <w:vAlign w:val="bottom"/>
          </w:tcPr>
          <w:p>
            <w:pPr>
              <w:spacing w:after="0"/>
              <w:rPr>
                <w:sz w:val="23"/>
                <w:szCs w:val="23"/>
                <w:color w:val="auto"/>
              </w:rPr>
            </w:pPr>
          </w:p>
        </w:tc>
        <w:tc>
          <w:tcPr>
            <w:tcW w:w="5260" w:type="dxa"/>
            <w:vAlign w:val="bottom"/>
          </w:tcPr>
          <w:p>
            <w:pPr>
              <w:jc w:val="center"/>
              <w:ind w:left="720"/>
              <w:spacing w:after="0"/>
              <w:rPr>
                <w:sz w:val="20"/>
                <w:szCs w:val="20"/>
                <w:color w:val="auto"/>
              </w:rPr>
            </w:pPr>
            <w:r>
              <w:rPr>
                <w:rFonts w:ascii="Arial" w:cs="Arial" w:eastAsia="Arial" w:hAnsi="Arial"/>
                <w:sz w:val="14"/>
                <w:szCs w:val="14"/>
                <w:b w:val="1"/>
                <w:bCs w:val="1"/>
                <w:color w:val="auto"/>
                <w:w w:val="91"/>
              </w:rPr>
              <w:t>Description of Investment</w:t>
            </w:r>
          </w:p>
        </w:tc>
        <w:tc>
          <w:tcPr>
            <w:tcW w:w="1240" w:type="dxa"/>
            <w:vAlign w:val="bottom"/>
          </w:tcPr>
          <w:p>
            <w:pPr>
              <w:spacing w:after="0"/>
              <w:rPr>
                <w:sz w:val="23"/>
                <w:szCs w:val="23"/>
                <w:color w:val="auto"/>
              </w:rPr>
            </w:pPr>
          </w:p>
        </w:tc>
      </w:tr>
      <w:tr>
        <w:trPr>
          <w:trHeight w:val="270"/>
        </w:trPr>
        <w:tc>
          <w:tcPr>
            <w:tcW w:w="460" w:type="dxa"/>
            <w:vAlign w:val="bottom"/>
          </w:tcPr>
          <w:p>
            <w:pPr>
              <w:spacing w:after="0"/>
              <w:rPr>
                <w:sz w:val="23"/>
                <w:szCs w:val="23"/>
                <w:color w:val="auto"/>
              </w:rPr>
            </w:pPr>
          </w:p>
        </w:tc>
        <w:tc>
          <w:tcPr>
            <w:tcW w:w="4460" w:type="dxa"/>
            <w:vAlign w:val="bottom"/>
          </w:tcPr>
          <w:p>
            <w:pPr>
              <w:jc w:val="center"/>
              <w:ind w:left="720"/>
              <w:spacing w:after="0"/>
              <w:rPr>
                <w:sz w:val="20"/>
                <w:szCs w:val="20"/>
                <w:color w:val="auto"/>
              </w:rPr>
            </w:pPr>
            <w:r>
              <w:rPr>
                <w:rFonts w:ascii="Arial" w:cs="Arial" w:eastAsia="Arial" w:hAnsi="Arial"/>
                <w:sz w:val="14"/>
                <w:szCs w:val="14"/>
                <w:b w:val="1"/>
                <w:bCs w:val="1"/>
                <w:color w:val="auto"/>
                <w:w w:val="92"/>
              </w:rPr>
              <w:t>Identity of Issue,</w:t>
            </w:r>
          </w:p>
        </w:tc>
        <w:tc>
          <w:tcPr>
            <w:tcW w:w="5260" w:type="dxa"/>
            <w:vAlign w:val="bottom"/>
          </w:tcPr>
          <w:p>
            <w:pPr>
              <w:jc w:val="center"/>
              <w:ind w:left="720"/>
              <w:spacing w:after="0"/>
              <w:rPr>
                <w:sz w:val="20"/>
                <w:szCs w:val="20"/>
                <w:color w:val="auto"/>
              </w:rPr>
            </w:pPr>
            <w:r>
              <w:rPr>
                <w:rFonts w:ascii="Arial" w:cs="Arial" w:eastAsia="Arial" w:hAnsi="Arial"/>
                <w:sz w:val="14"/>
                <w:szCs w:val="14"/>
                <w:b w:val="1"/>
                <w:bCs w:val="1"/>
                <w:color w:val="auto"/>
                <w:w w:val="97"/>
              </w:rPr>
              <w:t>Including Maturity Date,</w:t>
            </w:r>
          </w:p>
        </w:tc>
        <w:tc>
          <w:tcPr>
            <w:tcW w:w="1240" w:type="dxa"/>
            <w:vAlign w:val="bottom"/>
          </w:tcPr>
          <w:p>
            <w:pPr>
              <w:spacing w:after="0"/>
              <w:rPr>
                <w:sz w:val="23"/>
                <w:szCs w:val="23"/>
                <w:color w:val="auto"/>
              </w:rPr>
            </w:pPr>
          </w:p>
        </w:tc>
      </w:tr>
      <w:tr>
        <w:trPr>
          <w:trHeight w:val="270"/>
        </w:trPr>
        <w:tc>
          <w:tcPr>
            <w:tcW w:w="460" w:type="dxa"/>
            <w:vAlign w:val="bottom"/>
          </w:tcPr>
          <w:p>
            <w:pPr>
              <w:spacing w:after="0"/>
              <w:rPr>
                <w:sz w:val="23"/>
                <w:szCs w:val="23"/>
                <w:color w:val="auto"/>
              </w:rPr>
            </w:pPr>
          </w:p>
        </w:tc>
        <w:tc>
          <w:tcPr>
            <w:tcW w:w="4460" w:type="dxa"/>
            <w:vAlign w:val="bottom"/>
          </w:tcPr>
          <w:p>
            <w:pPr>
              <w:jc w:val="center"/>
              <w:ind w:left="740"/>
              <w:spacing w:after="0"/>
              <w:rPr>
                <w:sz w:val="20"/>
                <w:szCs w:val="20"/>
                <w:color w:val="auto"/>
              </w:rPr>
            </w:pPr>
            <w:r>
              <w:rPr>
                <w:rFonts w:ascii="Arial" w:cs="Arial" w:eastAsia="Arial" w:hAnsi="Arial"/>
                <w:sz w:val="14"/>
                <w:szCs w:val="14"/>
                <w:b w:val="1"/>
                <w:bCs w:val="1"/>
                <w:color w:val="auto"/>
                <w:w w:val="92"/>
              </w:rPr>
              <w:t>Borrower, Lessor or</w:t>
            </w:r>
          </w:p>
        </w:tc>
        <w:tc>
          <w:tcPr>
            <w:tcW w:w="5260" w:type="dxa"/>
            <w:vAlign w:val="bottom"/>
          </w:tcPr>
          <w:p>
            <w:pPr>
              <w:jc w:val="center"/>
              <w:ind w:left="700"/>
              <w:spacing w:after="0"/>
              <w:rPr>
                <w:sz w:val="20"/>
                <w:szCs w:val="20"/>
                <w:color w:val="auto"/>
              </w:rPr>
            </w:pPr>
            <w:r>
              <w:rPr>
                <w:rFonts w:ascii="Arial" w:cs="Arial" w:eastAsia="Arial" w:hAnsi="Arial"/>
                <w:sz w:val="14"/>
                <w:szCs w:val="14"/>
                <w:b w:val="1"/>
                <w:bCs w:val="1"/>
                <w:color w:val="auto"/>
                <w:w w:val="94"/>
              </w:rPr>
              <w:t>Rate of Interest, Collateral,</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8"/>
              </w:rPr>
              <w:t>Current</w:t>
            </w:r>
          </w:p>
        </w:tc>
      </w:tr>
      <w:tr>
        <w:trPr>
          <w:trHeight w:val="276"/>
        </w:trPr>
        <w:tc>
          <w:tcPr>
            <w:tcW w:w="460" w:type="dxa"/>
            <w:vAlign w:val="bottom"/>
            <w:tcBorders>
              <w:bottom w:val="single" w:sz="8" w:color="CCEEFF"/>
            </w:tcBorders>
          </w:tcPr>
          <w:p>
            <w:pPr>
              <w:spacing w:after="0"/>
              <w:rPr>
                <w:sz w:val="24"/>
                <w:szCs w:val="24"/>
                <w:color w:val="auto"/>
              </w:rPr>
            </w:pPr>
          </w:p>
        </w:tc>
        <w:tc>
          <w:tcPr>
            <w:tcW w:w="4460" w:type="dxa"/>
            <w:vAlign w:val="bottom"/>
            <w:tcBorders>
              <w:bottom w:val="single" w:sz="8" w:color="auto"/>
            </w:tcBorders>
          </w:tcPr>
          <w:p>
            <w:pPr>
              <w:jc w:val="center"/>
              <w:ind w:left="740"/>
              <w:spacing w:after="0"/>
              <w:rPr>
                <w:sz w:val="20"/>
                <w:szCs w:val="20"/>
                <w:color w:val="auto"/>
              </w:rPr>
            </w:pPr>
            <w:r>
              <w:rPr>
                <w:rFonts w:ascii="Arial" w:cs="Arial" w:eastAsia="Arial" w:hAnsi="Arial"/>
                <w:sz w:val="14"/>
                <w:szCs w:val="14"/>
                <w:b w:val="1"/>
                <w:bCs w:val="1"/>
                <w:color w:val="auto"/>
                <w:w w:val="98"/>
              </w:rPr>
              <w:t>Similar Party</w:t>
            </w:r>
          </w:p>
        </w:tc>
        <w:tc>
          <w:tcPr>
            <w:tcW w:w="5260" w:type="dxa"/>
            <w:vAlign w:val="bottom"/>
            <w:tcBorders>
              <w:bottom w:val="single" w:sz="8" w:color="auto"/>
            </w:tcBorders>
          </w:tcPr>
          <w:p>
            <w:pPr>
              <w:jc w:val="center"/>
              <w:ind w:left="720"/>
              <w:spacing w:after="0"/>
              <w:rPr>
                <w:sz w:val="20"/>
                <w:szCs w:val="20"/>
                <w:color w:val="auto"/>
              </w:rPr>
            </w:pPr>
            <w:r>
              <w:rPr>
                <w:rFonts w:ascii="Arial" w:cs="Arial" w:eastAsia="Arial" w:hAnsi="Arial"/>
                <w:sz w:val="14"/>
                <w:szCs w:val="14"/>
                <w:b w:val="1"/>
                <w:bCs w:val="1"/>
                <w:color w:val="auto"/>
                <w:w w:val="95"/>
              </w:rPr>
              <w:t>Par, or Maturity Value</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r>
      <w:tr>
        <w:trPr>
          <w:trHeight w:val="236"/>
        </w:trPr>
        <w:tc>
          <w:tcPr>
            <w:tcW w:w="46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AMCAP FUND</w:t>
            </w:r>
          </w:p>
        </w:tc>
        <w:tc>
          <w:tcPr>
            <w:tcW w:w="52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AMCAP Fund (Class R-5)</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$63,492,756</w:t>
            </w:r>
          </w:p>
        </w:tc>
      </w:tr>
      <w:tr>
        <w:trPr>
          <w:trHeight w:val="237"/>
        </w:trPr>
        <w:tc>
          <w:tcPr>
            <w:tcW w:w="460" w:type="dxa"/>
            <w:vAlign w:val="bottom"/>
          </w:tcPr>
          <w:p>
            <w:pPr>
              <w:spacing w:after="0"/>
              <w:rPr>
                <w:sz w:val="20"/>
                <w:szCs w:val="20"/>
                <w:color w:val="auto"/>
              </w:rPr>
            </w:pPr>
          </w:p>
        </w:tc>
        <w:tc>
          <w:tcPr>
            <w:tcW w:w="4460" w:type="dxa"/>
            <w:vAlign w:val="bottom"/>
          </w:tcPr>
          <w:p>
            <w:pPr>
              <w:ind w:left="40"/>
              <w:spacing w:after="0"/>
              <w:rPr>
                <w:sz w:val="20"/>
                <w:szCs w:val="20"/>
                <w:color w:val="auto"/>
              </w:rPr>
            </w:pPr>
            <w:r>
              <w:rPr>
                <w:rFonts w:ascii="Arial" w:cs="Arial" w:eastAsia="Arial" w:hAnsi="Arial"/>
                <w:sz w:val="16"/>
                <w:szCs w:val="16"/>
                <w:color w:val="auto"/>
              </w:rPr>
              <w:t>AMERICAN FUNDS</w:t>
            </w:r>
          </w:p>
        </w:tc>
        <w:tc>
          <w:tcPr>
            <w:tcW w:w="5260" w:type="dxa"/>
            <w:vAlign w:val="bottom"/>
          </w:tcPr>
          <w:p>
            <w:pPr>
              <w:ind w:left="820"/>
              <w:spacing w:after="0"/>
              <w:rPr>
                <w:sz w:val="20"/>
                <w:szCs w:val="20"/>
                <w:color w:val="auto"/>
              </w:rPr>
            </w:pPr>
            <w:r>
              <w:rPr>
                <w:rFonts w:ascii="Arial" w:cs="Arial" w:eastAsia="Arial" w:hAnsi="Arial"/>
                <w:sz w:val="16"/>
                <w:szCs w:val="16"/>
                <w:color w:val="auto"/>
              </w:rPr>
              <w:t>American Balanced Fund (Class R-5)</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101,737,394</w:t>
            </w:r>
          </w:p>
        </w:tc>
      </w:tr>
      <w:tr>
        <w:trPr>
          <w:trHeight w:val="33"/>
        </w:trPr>
        <w:tc>
          <w:tcPr>
            <w:tcW w:w="4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BARON FUNDS</w:t>
            </w:r>
          </w:p>
        </w:tc>
        <w:tc>
          <w:tcPr>
            <w:tcW w:w="52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Baron Small Cap Instl Fund</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8,733,094</w:t>
            </w:r>
          </w:p>
        </w:tc>
      </w:tr>
      <w:tr>
        <w:trPr>
          <w:trHeight w:val="237"/>
        </w:trPr>
        <w:tc>
          <w:tcPr>
            <w:tcW w:w="460" w:type="dxa"/>
            <w:vAlign w:val="bottom"/>
          </w:tcPr>
          <w:p>
            <w:pPr>
              <w:spacing w:after="0"/>
              <w:rPr>
                <w:sz w:val="20"/>
                <w:szCs w:val="20"/>
                <w:color w:val="auto"/>
              </w:rPr>
            </w:pPr>
          </w:p>
        </w:tc>
        <w:tc>
          <w:tcPr>
            <w:tcW w:w="4460" w:type="dxa"/>
            <w:vAlign w:val="bottom"/>
          </w:tcPr>
          <w:p>
            <w:pPr>
              <w:ind w:left="40"/>
              <w:spacing w:after="0"/>
              <w:rPr>
                <w:sz w:val="20"/>
                <w:szCs w:val="20"/>
                <w:color w:val="auto"/>
              </w:rPr>
            </w:pPr>
            <w:r>
              <w:rPr>
                <w:rFonts w:ascii="Arial" w:cs="Arial" w:eastAsia="Arial" w:hAnsi="Arial"/>
                <w:sz w:val="16"/>
                <w:szCs w:val="16"/>
                <w:color w:val="auto"/>
              </w:rPr>
              <w:t>ARTISAN FUNDS</w:t>
            </w:r>
          </w:p>
        </w:tc>
        <w:tc>
          <w:tcPr>
            <w:tcW w:w="5260" w:type="dxa"/>
            <w:vAlign w:val="bottom"/>
          </w:tcPr>
          <w:p>
            <w:pPr>
              <w:ind w:left="820"/>
              <w:spacing w:after="0"/>
              <w:rPr>
                <w:sz w:val="20"/>
                <w:szCs w:val="20"/>
                <w:color w:val="auto"/>
              </w:rPr>
            </w:pPr>
            <w:r>
              <w:rPr>
                <w:rFonts w:ascii="Arial" w:cs="Arial" w:eastAsia="Arial" w:hAnsi="Arial"/>
                <w:sz w:val="16"/>
                <w:szCs w:val="16"/>
                <w:color w:val="auto"/>
              </w:rPr>
              <w:t>Artisan Mid Cap Investor Fund</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50,360,066</w:t>
            </w:r>
          </w:p>
        </w:tc>
      </w:tr>
      <w:tr>
        <w:trPr>
          <w:trHeight w:val="33"/>
        </w:trPr>
        <w:tc>
          <w:tcPr>
            <w:tcW w:w="4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DIAMOND HILL FUNDS</w:t>
            </w:r>
          </w:p>
        </w:tc>
        <w:tc>
          <w:tcPr>
            <w:tcW w:w="52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Diamond Hill Small Cap Fund</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7,177,152</w:t>
            </w:r>
          </w:p>
        </w:tc>
      </w:tr>
      <w:tr>
        <w:trPr>
          <w:trHeight w:val="237"/>
        </w:trPr>
        <w:tc>
          <w:tcPr>
            <w:tcW w:w="460" w:type="dxa"/>
            <w:vAlign w:val="bottom"/>
          </w:tcPr>
          <w:p>
            <w:pPr>
              <w:spacing w:after="0"/>
              <w:rPr>
                <w:sz w:val="20"/>
                <w:szCs w:val="20"/>
                <w:color w:val="auto"/>
              </w:rPr>
            </w:pPr>
          </w:p>
        </w:tc>
        <w:tc>
          <w:tcPr>
            <w:tcW w:w="4460" w:type="dxa"/>
            <w:vAlign w:val="bottom"/>
          </w:tcPr>
          <w:p>
            <w:pPr>
              <w:ind w:left="40"/>
              <w:spacing w:after="0"/>
              <w:rPr>
                <w:sz w:val="20"/>
                <w:szCs w:val="20"/>
                <w:color w:val="auto"/>
              </w:rPr>
            </w:pPr>
            <w:r>
              <w:rPr>
                <w:rFonts w:ascii="Arial" w:cs="Arial" w:eastAsia="Arial" w:hAnsi="Arial"/>
                <w:sz w:val="16"/>
                <w:szCs w:val="16"/>
                <w:color w:val="auto"/>
              </w:rPr>
              <w:t>JPMORGAN</w:t>
            </w:r>
          </w:p>
        </w:tc>
        <w:tc>
          <w:tcPr>
            <w:tcW w:w="5260" w:type="dxa"/>
            <w:vAlign w:val="bottom"/>
          </w:tcPr>
          <w:p>
            <w:pPr>
              <w:ind w:left="820"/>
              <w:spacing w:after="0"/>
              <w:rPr>
                <w:sz w:val="20"/>
                <w:szCs w:val="20"/>
                <w:color w:val="auto"/>
              </w:rPr>
            </w:pPr>
            <w:r>
              <w:rPr>
                <w:rFonts w:ascii="Arial" w:cs="Arial" w:eastAsia="Arial" w:hAnsi="Arial"/>
                <w:sz w:val="16"/>
                <w:szCs w:val="16"/>
                <w:color w:val="auto"/>
              </w:rPr>
              <w:t>JPMorgan Mid Cap Value Instl Fund</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33,999,286</w:t>
            </w:r>
          </w:p>
        </w:tc>
      </w:tr>
      <w:tr>
        <w:trPr>
          <w:trHeight w:val="33"/>
        </w:trPr>
        <w:tc>
          <w:tcPr>
            <w:tcW w:w="4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LAZARD FUNDS</w:t>
            </w:r>
          </w:p>
        </w:tc>
        <w:tc>
          <w:tcPr>
            <w:tcW w:w="52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Lazard International Strategic Eq Instl Fund</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28,485,340</w:t>
            </w:r>
          </w:p>
        </w:tc>
      </w:tr>
      <w:tr>
        <w:trPr>
          <w:trHeight w:val="237"/>
        </w:trPr>
        <w:tc>
          <w:tcPr>
            <w:tcW w:w="460" w:type="dxa"/>
            <w:vAlign w:val="bottom"/>
          </w:tcPr>
          <w:p>
            <w:pPr>
              <w:spacing w:after="0"/>
              <w:rPr>
                <w:sz w:val="20"/>
                <w:szCs w:val="20"/>
                <w:color w:val="auto"/>
              </w:rPr>
            </w:pPr>
          </w:p>
        </w:tc>
        <w:tc>
          <w:tcPr>
            <w:tcW w:w="4460" w:type="dxa"/>
            <w:vAlign w:val="bottom"/>
          </w:tcPr>
          <w:p>
            <w:pPr>
              <w:ind w:left="40"/>
              <w:spacing w:after="0"/>
              <w:rPr>
                <w:sz w:val="20"/>
                <w:szCs w:val="20"/>
                <w:color w:val="auto"/>
              </w:rPr>
            </w:pPr>
            <w:r>
              <w:rPr>
                <w:rFonts w:ascii="Arial" w:cs="Arial" w:eastAsia="Arial" w:hAnsi="Arial"/>
                <w:sz w:val="16"/>
                <w:szCs w:val="16"/>
                <w:color w:val="auto"/>
              </w:rPr>
              <w:t>MFS FAMILY OF FUNDS</w:t>
            </w:r>
          </w:p>
        </w:tc>
        <w:tc>
          <w:tcPr>
            <w:tcW w:w="5260" w:type="dxa"/>
            <w:vAlign w:val="bottom"/>
          </w:tcPr>
          <w:p>
            <w:pPr>
              <w:ind w:left="820"/>
              <w:spacing w:after="0"/>
              <w:rPr>
                <w:sz w:val="20"/>
                <w:szCs w:val="20"/>
                <w:color w:val="auto"/>
              </w:rPr>
            </w:pPr>
            <w:r>
              <w:rPr>
                <w:rFonts w:ascii="Arial" w:cs="Arial" w:eastAsia="Arial" w:hAnsi="Arial"/>
                <w:sz w:val="16"/>
                <w:szCs w:val="16"/>
                <w:color w:val="auto"/>
              </w:rPr>
              <w:t>MFS Value Fund (Class R-4)</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26,499,418</w:t>
            </w:r>
          </w:p>
        </w:tc>
      </w:tr>
      <w:tr>
        <w:trPr>
          <w:trHeight w:val="33"/>
        </w:trPr>
        <w:tc>
          <w:tcPr>
            <w:tcW w:w="4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NEUBERGER BERMAN</w:t>
            </w:r>
          </w:p>
        </w:tc>
        <w:tc>
          <w:tcPr>
            <w:tcW w:w="52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Neuberger Berman Real Estate Fund</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2,221,252</w:t>
            </w:r>
          </w:p>
        </w:tc>
      </w:tr>
      <w:tr>
        <w:trPr>
          <w:trHeight w:val="237"/>
        </w:trPr>
        <w:tc>
          <w:tcPr>
            <w:tcW w:w="460" w:type="dxa"/>
            <w:vAlign w:val="bottom"/>
          </w:tcPr>
          <w:p>
            <w:pPr>
              <w:spacing w:after="0"/>
              <w:rPr>
                <w:sz w:val="20"/>
                <w:szCs w:val="20"/>
                <w:color w:val="auto"/>
              </w:rPr>
            </w:pPr>
          </w:p>
        </w:tc>
        <w:tc>
          <w:tcPr>
            <w:tcW w:w="4460" w:type="dxa"/>
            <w:vAlign w:val="bottom"/>
          </w:tcPr>
          <w:p>
            <w:pPr>
              <w:ind w:left="40"/>
              <w:spacing w:after="0"/>
              <w:rPr>
                <w:sz w:val="20"/>
                <w:szCs w:val="20"/>
                <w:color w:val="auto"/>
              </w:rPr>
            </w:pPr>
            <w:r>
              <w:rPr>
                <w:rFonts w:ascii="Arial" w:cs="Arial" w:eastAsia="Arial" w:hAnsi="Arial"/>
                <w:sz w:val="16"/>
                <w:szCs w:val="16"/>
                <w:color w:val="auto"/>
              </w:rPr>
              <w:t>NATIXIS FUNDS</w:t>
            </w:r>
          </w:p>
        </w:tc>
        <w:tc>
          <w:tcPr>
            <w:tcW w:w="5260" w:type="dxa"/>
            <w:vAlign w:val="bottom"/>
          </w:tcPr>
          <w:p>
            <w:pPr>
              <w:ind w:left="820"/>
              <w:spacing w:after="0"/>
              <w:rPr>
                <w:sz w:val="20"/>
                <w:szCs w:val="20"/>
                <w:color w:val="auto"/>
              </w:rPr>
            </w:pPr>
            <w:r>
              <w:rPr>
                <w:rFonts w:ascii="Arial" w:cs="Arial" w:eastAsia="Arial" w:hAnsi="Arial"/>
                <w:sz w:val="16"/>
                <w:szCs w:val="16"/>
                <w:color w:val="auto"/>
              </w:rPr>
              <w:t>Loomis Sayles Investment Grade Bond Fund</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26,950,746</w:t>
            </w:r>
          </w:p>
        </w:tc>
      </w:tr>
      <w:tr>
        <w:trPr>
          <w:trHeight w:val="33"/>
        </w:trPr>
        <w:tc>
          <w:tcPr>
            <w:tcW w:w="4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FRANKLIN TEMPLETON INVESTMENTS</w:t>
            </w:r>
          </w:p>
        </w:tc>
        <w:tc>
          <w:tcPr>
            <w:tcW w:w="52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Templeton Global Bond Fund</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5,366,495</w:t>
            </w:r>
          </w:p>
        </w:tc>
      </w:tr>
      <w:tr>
        <w:trPr>
          <w:trHeight w:val="237"/>
        </w:trPr>
        <w:tc>
          <w:tcPr>
            <w:tcW w:w="460" w:type="dxa"/>
            <w:vAlign w:val="bottom"/>
          </w:tcPr>
          <w:p>
            <w:pPr>
              <w:spacing w:after="0"/>
              <w:rPr>
                <w:sz w:val="20"/>
                <w:szCs w:val="20"/>
                <w:color w:val="auto"/>
              </w:rPr>
            </w:pPr>
          </w:p>
        </w:tc>
        <w:tc>
          <w:tcPr>
            <w:tcW w:w="4460" w:type="dxa"/>
            <w:vAlign w:val="bottom"/>
          </w:tcPr>
          <w:p>
            <w:pPr>
              <w:ind w:left="40"/>
              <w:spacing w:after="0"/>
              <w:rPr>
                <w:sz w:val="20"/>
                <w:szCs w:val="20"/>
                <w:color w:val="auto"/>
              </w:rPr>
            </w:pPr>
            <w:r>
              <w:rPr>
                <w:rFonts w:ascii="Arial" w:cs="Arial" w:eastAsia="Arial" w:hAnsi="Arial"/>
                <w:sz w:val="16"/>
                <w:szCs w:val="16"/>
                <w:color w:val="auto"/>
              </w:rPr>
              <w:t>MANNING &amp; NAPIER TARGET FUNDS</w:t>
            </w:r>
          </w:p>
        </w:tc>
        <w:tc>
          <w:tcPr>
            <w:tcW w:w="5260" w:type="dxa"/>
            <w:vAlign w:val="bottom"/>
          </w:tcPr>
          <w:p>
            <w:pPr>
              <w:ind w:left="820"/>
              <w:spacing w:after="0"/>
              <w:rPr>
                <w:sz w:val="20"/>
                <w:szCs w:val="20"/>
                <w:color w:val="auto"/>
              </w:rPr>
            </w:pPr>
            <w:r>
              <w:rPr>
                <w:rFonts w:ascii="Arial" w:cs="Arial" w:eastAsia="Arial" w:hAnsi="Arial"/>
                <w:sz w:val="16"/>
                <w:szCs w:val="16"/>
                <w:color w:val="auto"/>
              </w:rPr>
              <w:t>Manning &amp; Napier Target Income</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2,043,381</w:t>
            </w:r>
          </w:p>
        </w:tc>
      </w:tr>
      <w:tr>
        <w:trPr>
          <w:trHeight w:val="33"/>
        </w:trPr>
        <w:tc>
          <w:tcPr>
            <w:tcW w:w="4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MANNING &amp; NAPIER TARGET FUNDS</w:t>
            </w:r>
          </w:p>
        </w:tc>
        <w:tc>
          <w:tcPr>
            <w:tcW w:w="52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Manning &amp; Napier Target 2015</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2,029,518</w:t>
            </w:r>
          </w:p>
        </w:tc>
      </w:tr>
      <w:tr>
        <w:trPr>
          <w:trHeight w:val="237"/>
        </w:trPr>
        <w:tc>
          <w:tcPr>
            <w:tcW w:w="460" w:type="dxa"/>
            <w:vAlign w:val="bottom"/>
          </w:tcPr>
          <w:p>
            <w:pPr>
              <w:spacing w:after="0"/>
              <w:rPr>
                <w:sz w:val="20"/>
                <w:szCs w:val="20"/>
                <w:color w:val="auto"/>
              </w:rPr>
            </w:pPr>
          </w:p>
        </w:tc>
        <w:tc>
          <w:tcPr>
            <w:tcW w:w="4460" w:type="dxa"/>
            <w:vAlign w:val="bottom"/>
          </w:tcPr>
          <w:p>
            <w:pPr>
              <w:ind w:left="40"/>
              <w:spacing w:after="0"/>
              <w:rPr>
                <w:sz w:val="20"/>
                <w:szCs w:val="20"/>
                <w:color w:val="auto"/>
              </w:rPr>
            </w:pPr>
            <w:r>
              <w:rPr>
                <w:rFonts w:ascii="Arial" w:cs="Arial" w:eastAsia="Arial" w:hAnsi="Arial"/>
                <w:sz w:val="16"/>
                <w:szCs w:val="16"/>
                <w:color w:val="auto"/>
              </w:rPr>
              <w:t>MANNING &amp; NAPIER TARGET FUNDS</w:t>
            </w:r>
          </w:p>
        </w:tc>
        <w:tc>
          <w:tcPr>
            <w:tcW w:w="5260" w:type="dxa"/>
            <w:vAlign w:val="bottom"/>
          </w:tcPr>
          <w:p>
            <w:pPr>
              <w:ind w:left="820"/>
              <w:spacing w:after="0"/>
              <w:rPr>
                <w:sz w:val="20"/>
                <w:szCs w:val="20"/>
                <w:color w:val="auto"/>
              </w:rPr>
            </w:pPr>
            <w:r>
              <w:rPr>
                <w:rFonts w:ascii="Arial" w:cs="Arial" w:eastAsia="Arial" w:hAnsi="Arial"/>
                <w:sz w:val="16"/>
                <w:szCs w:val="16"/>
                <w:color w:val="auto"/>
              </w:rPr>
              <w:t>Manning &amp; Napier Target 2020</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7,965,865</w:t>
            </w:r>
          </w:p>
        </w:tc>
      </w:tr>
      <w:tr>
        <w:trPr>
          <w:trHeight w:val="33"/>
        </w:trPr>
        <w:tc>
          <w:tcPr>
            <w:tcW w:w="4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MANNING &amp; NAPIER TARGET FUNDS</w:t>
            </w:r>
          </w:p>
        </w:tc>
        <w:tc>
          <w:tcPr>
            <w:tcW w:w="52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Manning &amp; Napier Target 2025</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6,558,715</w:t>
            </w:r>
          </w:p>
        </w:tc>
      </w:tr>
      <w:tr>
        <w:trPr>
          <w:trHeight w:val="237"/>
        </w:trPr>
        <w:tc>
          <w:tcPr>
            <w:tcW w:w="460" w:type="dxa"/>
            <w:vAlign w:val="bottom"/>
          </w:tcPr>
          <w:p>
            <w:pPr>
              <w:spacing w:after="0"/>
              <w:rPr>
                <w:sz w:val="20"/>
                <w:szCs w:val="20"/>
                <w:color w:val="auto"/>
              </w:rPr>
            </w:pPr>
          </w:p>
        </w:tc>
        <w:tc>
          <w:tcPr>
            <w:tcW w:w="4460" w:type="dxa"/>
            <w:vAlign w:val="bottom"/>
          </w:tcPr>
          <w:p>
            <w:pPr>
              <w:ind w:left="40"/>
              <w:spacing w:after="0"/>
              <w:rPr>
                <w:sz w:val="20"/>
                <w:szCs w:val="20"/>
                <w:color w:val="auto"/>
              </w:rPr>
            </w:pPr>
            <w:r>
              <w:rPr>
                <w:rFonts w:ascii="Arial" w:cs="Arial" w:eastAsia="Arial" w:hAnsi="Arial"/>
                <w:sz w:val="16"/>
                <w:szCs w:val="16"/>
                <w:color w:val="auto"/>
              </w:rPr>
              <w:t>MANNING &amp; NAPIER TARGET FUNDS</w:t>
            </w:r>
          </w:p>
        </w:tc>
        <w:tc>
          <w:tcPr>
            <w:tcW w:w="5260" w:type="dxa"/>
            <w:vAlign w:val="bottom"/>
          </w:tcPr>
          <w:p>
            <w:pPr>
              <w:ind w:left="820"/>
              <w:spacing w:after="0"/>
              <w:rPr>
                <w:sz w:val="20"/>
                <w:szCs w:val="20"/>
                <w:color w:val="auto"/>
              </w:rPr>
            </w:pPr>
            <w:r>
              <w:rPr>
                <w:rFonts w:ascii="Arial" w:cs="Arial" w:eastAsia="Arial" w:hAnsi="Arial"/>
                <w:sz w:val="16"/>
                <w:szCs w:val="16"/>
                <w:color w:val="auto"/>
              </w:rPr>
              <w:t>Manning &amp; Napier Target 2030</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5,336,041</w:t>
            </w:r>
          </w:p>
        </w:tc>
      </w:tr>
      <w:tr>
        <w:trPr>
          <w:trHeight w:val="33"/>
        </w:trPr>
        <w:tc>
          <w:tcPr>
            <w:tcW w:w="4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MANNING &amp; NAPIER TARGET FUNDS</w:t>
            </w:r>
          </w:p>
        </w:tc>
        <w:tc>
          <w:tcPr>
            <w:tcW w:w="52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Manning &amp; Napier Target 2035</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5,875,664</w:t>
            </w:r>
          </w:p>
        </w:tc>
      </w:tr>
      <w:tr>
        <w:trPr>
          <w:trHeight w:val="237"/>
        </w:trPr>
        <w:tc>
          <w:tcPr>
            <w:tcW w:w="460" w:type="dxa"/>
            <w:vAlign w:val="bottom"/>
          </w:tcPr>
          <w:p>
            <w:pPr>
              <w:spacing w:after="0"/>
              <w:rPr>
                <w:sz w:val="20"/>
                <w:szCs w:val="20"/>
                <w:color w:val="auto"/>
              </w:rPr>
            </w:pPr>
          </w:p>
        </w:tc>
        <w:tc>
          <w:tcPr>
            <w:tcW w:w="4460" w:type="dxa"/>
            <w:vAlign w:val="bottom"/>
          </w:tcPr>
          <w:p>
            <w:pPr>
              <w:ind w:left="40"/>
              <w:spacing w:after="0"/>
              <w:rPr>
                <w:sz w:val="20"/>
                <w:szCs w:val="20"/>
                <w:color w:val="auto"/>
              </w:rPr>
            </w:pPr>
            <w:r>
              <w:rPr>
                <w:rFonts w:ascii="Arial" w:cs="Arial" w:eastAsia="Arial" w:hAnsi="Arial"/>
                <w:sz w:val="16"/>
                <w:szCs w:val="16"/>
                <w:color w:val="auto"/>
              </w:rPr>
              <w:t>MANNING &amp; NAPIER TARGET FUNDS</w:t>
            </w:r>
          </w:p>
        </w:tc>
        <w:tc>
          <w:tcPr>
            <w:tcW w:w="5260" w:type="dxa"/>
            <w:vAlign w:val="bottom"/>
          </w:tcPr>
          <w:p>
            <w:pPr>
              <w:ind w:left="820"/>
              <w:spacing w:after="0"/>
              <w:rPr>
                <w:sz w:val="20"/>
                <w:szCs w:val="20"/>
                <w:color w:val="auto"/>
              </w:rPr>
            </w:pPr>
            <w:r>
              <w:rPr>
                <w:rFonts w:ascii="Arial" w:cs="Arial" w:eastAsia="Arial" w:hAnsi="Arial"/>
                <w:sz w:val="16"/>
                <w:szCs w:val="16"/>
                <w:color w:val="auto"/>
              </w:rPr>
              <w:t>Manning &amp; Napier Target 2040</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2,380,407</w:t>
            </w:r>
          </w:p>
        </w:tc>
      </w:tr>
      <w:tr>
        <w:trPr>
          <w:trHeight w:val="33"/>
        </w:trPr>
        <w:tc>
          <w:tcPr>
            <w:tcW w:w="4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MANNING &amp; NAPIER TARGET FUNDS</w:t>
            </w:r>
          </w:p>
        </w:tc>
        <w:tc>
          <w:tcPr>
            <w:tcW w:w="52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Manning &amp; Napier Target 2045</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1,494,043</w:t>
            </w:r>
          </w:p>
        </w:tc>
      </w:tr>
      <w:tr>
        <w:trPr>
          <w:trHeight w:val="237"/>
        </w:trPr>
        <w:tc>
          <w:tcPr>
            <w:tcW w:w="460" w:type="dxa"/>
            <w:vAlign w:val="bottom"/>
          </w:tcPr>
          <w:p>
            <w:pPr>
              <w:spacing w:after="0"/>
              <w:rPr>
                <w:sz w:val="20"/>
                <w:szCs w:val="20"/>
                <w:color w:val="auto"/>
              </w:rPr>
            </w:pPr>
          </w:p>
        </w:tc>
        <w:tc>
          <w:tcPr>
            <w:tcW w:w="4460" w:type="dxa"/>
            <w:vAlign w:val="bottom"/>
          </w:tcPr>
          <w:p>
            <w:pPr>
              <w:ind w:left="40"/>
              <w:spacing w:after="0"/>
              <w:rPr>
                <w:sz w:val="20"/>
                <w:szCs w:val="20"/>
                <w:color w:val="auto"/>
              </w:rPr>
            </w:pPr>
            <w:r>
              <w:rPr>
                <w:rFonts w:ascii="Arial" w:cs="Arial" w:eastAsia="Arial" w:hAnsi="Arial"/>
                <w:sz w:val="16"/>
                <w:szCs w:val="16"/>
                <w:color w:val="auto"/>
              </w:rPr>
              <w:t>MANNING &amp; NAPIER TARGET FUNDS</w:t>
            </w:r>
          </w:p>
        </w:tc>
        <w:tc>
          <w:tcPr>
            <w:tcW w:w="5260" w:type="dxa"/>
            <w:vAlign w:val="bottom"/>
          </w:tcPr>
          <w:p>
            <w:pPr>
              <w:ind w:left="820"/>
              <w:spacing w:after="0"/>
              <w:rPr>
                <w:sz w:val="20"/>
                <w:szCs w:val="20"/>
                <w:color w:val="auto"/>
              </w:rPr>
            </w:pPr>
            <w:r>
              <w:rPr>
                <w:rFonts w:ascii="Arial" w:cs="Arial" w:eastAsia="Arial" w:hAnsi="Arial"/>
                <w:sz w:val="16"/>
                <w:szCs w:val="16"/>
                <w:color w:val="auto"/>
              </w:rPr>
              <w:t>Manning &amp; Napier Target 2050</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966,305</w:t>
            </w:r>
          </w:p>
        </w:tc>
      </w:tr>
      <w:tr>
        <w:trPr>
          <w:trHeight w:val="33"/>
        </w:trPr>
        <w:tc>
          <w:tcPr>
            <w:tcW w:w="4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60" w:type="dxa"/>
            <w:vAlign w:val="bottom"/>
            <w:tcBorders>
              <w:bottom w:val="single" w:sz="8" w:color="CCEEFF"/>
            </w:tcBorders>
            <w:shd w:val="clear" w:color="auto" w:fill="CCEEFF"/>
          </w:tcPr>
          <w:p>
            <w:pPr>
              <w:spacing w:after="0"/>
              <w:rPr>
                <w:sz w:val="23"/>
                <w:szCs w:val="23"/>
                <w:color w:val="auto"/>
              </w:rPr>
            </w:pPr>
          </w:p>
        </w:tc>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MANNING &amp; NAPIER TARGET FUNDS</w:t>
            </w:r>
          </w:p>
        </w:tc>
        <w:tc>
          <w:tcPr>
            <w:tcW w:w="52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Manning &amp; Napier Target 2055</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470,736</w:t>
            </w:r>
          </w:p>
        </w:tc>
      </w:tr>
      <w:tr>
        <w:trPr>
          <w:trHeight w:val="284"/>
        </w:trPr>
        <w:tc>
          <w:tcPr>
            <w:tcW w:w="460" w:type="dxa"/>
            <w:vAlign w:val="bottom"/>
            <w:tcBorders>
              <w:bottom w:val="single" w:sz="8" w:color="CCEEFF"/>
            </w:tcBorders>
          </w:tcPr>
          <w:p>
            <w:pPr>
              <w:spacing w:after="0"/>
              <w:rPr>
                <w:sz w:val="24"/>
                <w:szCs w:val="24"/>
                <w:color w:val="auto"/>
              </w:rPr>
            </w:pPr>
          </w:p>
        </w:tc>
        <w:tc>
          <w:tcPr>
            <w:tcW w:w="446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Registered Investment Companies Total</w:t>
            </w:r>
          </w:p>
        </w:tc>
        <w:tc>
          <w:tcPr>
            <w:tcW w:w="526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390,143,674</w:t>
            </w:r>
          </w:p>
        </w:tc>
      </w:tr>
      <w:tr>
        <w:trPr>
          <w:trHeight w:val="230"/>
        </w:trPr>
        <w:tc>
          <w:tcPr>
            <w:tcW w:w="460" w:type="dxa"/>
            <w:vAlign w:val="bottom"/>
            <w:shd w:val="clear" w:color="auto" w:fill="CCEEFF"/>
          </w:tcPr>
          <w:p>
            <w:pPr>
              <w:spacing w:after="0"/>
              <w:rPr>
                <w:sz w:val="20"/>
                <w:szCs w:val="20"/>
                <w:color w:val="auto"/>
              </w:rPr>
            </w:pPr>
          </w:p>
        </w:tc>
        <w:tc>
          <w:tcPr>
            <w:tcW w:w="4460" w:type="dxa"/>
            <w:vAlign w:val="bottom"/>
            <w:shd w:val="clear" w:color="auto" w:fill="CCEEFF"/>
          </w:tcPr>
          <w:p>
            <w:pPr>
              <w:spacing w:after="0"/>
              <w:rPr>
                <w:sz w:val="20"/>
                <w:szCs w:val="20"/>
                <w:color w:val="auto"/>
              </w:rPr>
            </w:pPr>
          </w:p>
        </w:tc>
        <w:tc>
          <w:tcPr>
            <w:tcW w:w="5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43"/>
        </w:trPr>
        <w:tc>
          <w:tcPr>
            <w:tcW w:w="46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4460" w:type="dxa"/>
            <w:vAlign w:val="bottom"/>
          </w:tcPr>
          <w:p>
            <w:pPr>
              <w:ind w:left="40"/>
              <w:spacing w:after="0"/>
              <w:rPr>
                <w:sz w:val="20"/>
                <w:szCs w:val="20"/>
                <w:color w:val="auto"/>
              </w:rPr>
            </w:pPr>
            <w:r>
              <w:rPr>
                <w:rFonts w:ascii="Arial" w:cs="Arial" w:eastAsia="Arial" w:hAnsi="Arial"/>
                <w:sz w:val="16"/>
                <w:szCs w:val="16"/>
                <w:color w:val="auto"/>
              </w:rPr>
              <w:t>WESCO INTERNATIONAL INC</w:t>
            </w:r>
          </w:p>
        </w:tc>
        <w:tc>
          <w:tcPr>
            <w:tcW w:w="5260" w:type="dxa"/>
            <w:vAlign w:val="bottom"/>
          </w:tcPr>
          <w:p>
            <w:pPr>
              <w:ind w:left="820"/>
              <w:spacing w:after="0"/>
              <w:rPr>
                <w:sz w:val="20"/>
                <w:szCs w:val="20"/>
                <w:color w:val="auto"/>
              </w:rPr>
            </w:pPr>
            <w:r>
              <w:rPr>
                <w:rFonts w:ascii="Arial" w:cs="Arial" w:eastAsia="Arial" w:hAnsi="Arial"/>
                <w:sz w:val="16"/>
                <w:szCs w:val="16"/>
                <w:color w:val="auto"/>
              </w:rPr>
              <w:t>WESCO International Pooled Stock Fund</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19,159,861</w:t>
            </w:r>
          </w:p>
        </w:tc>
      </w:tr>
      <w:tr>
        <w:trPr>
          <w:trHeight w:val="27"/>
        </w:trPr>
        <w:tc>
          <w:tcPr>
            <w:tcW w:w="4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Wells Fargo</w:t>
            </w:r>
          </w:p>
        </w:tc>
        <w:tc>
          <w:tcPr>
            <w:tcW w:w="52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Cash and Cash Equivalents</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1,366,488</w:t>
            </w:r>
          </w:p>
        </w:tc>
      </w:tr>
      <w:tr>
        <w:trPr>
          <w:trHeight w:val="237"/>
        </w:trPr>
        <w:tc>
          <w:tcPr>
            <w:tcW w:w="460" w:type="dxa"/>
            <w:vAlign w:val="bottom"/>
          </w:tcPr>
          <w:p>
            <w:pPr>
              <w:spacing w:after="0"/>
              <w:rPr>
                <w:sz w:val="20"/>
                <w:szCs w:val="20"/>
                <w:color w:val="auto"/>
              </w:rPr>
            </w:pPr>
          </w:p>
        </w:tc>
        <w:tc>
          <w:tcPr>
            <w:tcW w:w="4460" w:type="dxa"/>
            <w:vAlign w:val="bottom"/>
          </w:tcPr>
          <w:p>
            <w:pPr>
              <w:ind w:left="40"/>
              <w:spacing w:after="0"/>
              <w:rPr>
                <w:sz w:val="20"/>
                <w:szCs w:val="20"/>
                <w:color w:val="auto"/>
              </w:rPr>
            </w:pPr>
            <w:r>
              <w:rPr>
                <w:rFonts w:ascii="Arial" w:cs="Arial" w:eastAsia="Arial" w:hAnsi="Arial"/>
                <w:sz w:val="16"/>
                <w:szCs w:val="16"/>
                <w:color w:val="auto"/>
              </w:rPr>
              <w:t>Various</w:t>
            </w:r>
          </w:p>
        </w:tc>
        <w:tc>
          <w:tcPr>
            <w:tcW w:w="5260" w:type="dxa"/>
            <w:vAlign w:val="bottom"/>
          </w:tcPr>
          <w:p>
            <w:pPr>
              <w:ind w:left="820"/>
              <w:spacing w:after="0"/>
              <w:rPr>
                <w:sz w:val="20"/>
                <w:szCs w:val="20"/>
                <w:color w:val="auto"/>
              </w:rPr>
            </w:pPr>
            <w:r>
              <w:rPr>
                <w:rFonts w:ascii="Arial" w:cs="Arial" w:eastAsia="Arial" w:hAnsi="Arial"/>
                <w:sz w:val="16"/>
                <w:szCs w:val="16"/>
                <w:color w:val="auto"/>
              </w:rPr>
              <w:t>Common Stock</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4,662,081</w:t>
            </w:r>
          </w:p>
        </w:tc>
      </w:tr>
      <w:tr>
        <w:trPr>
          <w:trHeight w:val="33"/>
        </w:trPr>
        <w:tc>
          <w:tcPr>
            <w:tcW w:w="4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60" w:type="dxa"/>
            <w:vAlign w:val="bottom"/>
            <w:tcBorders>
              <w:bottom w:val="single" w:sz="8" w:color="CCEEFF"/>
            </w:tcBorders>
            <w:shd w:val="clear" w:color="auto" w:fill="CCEEFF"/>
          </w:tcPr>
          <w:p>
            <w:pPr>
              <w:spacing w:after="0"/>
              <w:rPr>
                <w:sz w:val="23"/>
                <w:szCs w:val="23"/>
                <w:color w:val="auto"/>
              </w:rPr>
            </w:pPr>
          </w:p>
        </w:tc>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Various</w:t>
            </w:r>
          </w:p>
        </w:tc>
        <w:tc>
          <w:tcPr>
            <w:tcW w:w="52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Mutual Funds</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2,041,571</w:t>
            </w:r>
          </w:p>
        </w:tc>
      </w:tr>
      <w:tr>
        <w:trPr>
          <w:trHeight w:val="284"/>
        </w:trPr>
        <w:tc>
          <w:tcPr>
            <w:tcW w:w="460" w:type="dxa"/>
            <w:vAlign w:val="bottom"/>
            <w:tcBorders>
              <w:bottom w:val="single" w:sz="8" w:color="CCEEFF"/>
            </w:tcBorders>
          </w:tcPr>
          <w:p>
            <w:pPr>
              <w:spacing w:after="0"/>
              <w:rPr>
                <w:sz w:val="24"/>
                <w:szCs w:val="24"/>
                <w:color w:val="auto"/>
              </w:rPr>
            </w:pPr>
          </w:p>
        </w:tc>
        <w:tc>
          <w:tcPr>
            <w:tcW w:w="446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Stock Funds and Self-Directed Accounts Total</w:t>
            </w:r>
          </w:p>
        </w:tc>
        <w:tc>
          <w:tcPr>
            <w:tcW w:w="526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27,230,001</w:t>
            </w:r>
          </w:p>
        </w:tc>
      </w:tr>
      <w:tr>
        <w:trPr>
          <w:trHeight w:val="230"/>
        </w:trPr>
        <w:tc>
          <w:tcPr>
            <w:tcW w:w="460" w:type="dxa"/>
            <w:vAlign w:val="bottom"/>
            <w:shd w:val="clear" w:color="auto" w:fill="CCEEFF"/>
          </w:tcPr>
          <w:p>
            <w:pPr>
              <w:spacing w:after="0"/>
              <w:rPr>
                <w:sz w:val="20"/>
                <w:szCs w:val="20"/>
                <w:color w:val="auto"/>
              </w:rPr>
            </w:pPr>
          </w:p>
        </w:tc>
        <w:tc>
          <w:tcPr>
            <w:tcW w:w="4460" w:type="dxa"/>
            <w:vAlign w:val="bottom"/>
            <w:shd w:val="clear" w:color="auto" w:fill="CCEEFF"/>
          </w:tcPr>
          <w:p>
            <w:pPr>
              <w:spacing w:after="0"/>
              <w:rPr>
                <w:sz w:val="20"/>
                <w:szCs w:val="20"/>
                <w:color w:val="auto"/>
              </w:rPr>
            </w:pPr>
          </w:p>
        </w:tc>
        <w:tc>
          <w:tcPr>
            <w:tcW w:w="5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37"/>
        </w:trPr>
        <w:tc>
          <w:tcPr>
            <w:tcW w:w="460" w:type="dxa"/>
            <w:vAlign w:val="bottom"/>
          </w:tcPr>
          <w:p>
            <w:pPr>
              <w:spacing w:after="0"/>
              <w:rPr>
                <w:sz w:val="20"/>
                <w:szCs w:val="20"/>
                <w:color w:val="auto"/>
              </w:rPr>
            </w:pPr>
          </w:p>
        </w:tc>
        <w:tc>
          <w:tcPr>
            <w:tcW w:w="4460" w:type="dxa"/>
            <w:vAlign w:val="bottom"/>
          </w:tcPr>
          <w:p>
            <w:pPr>
              <w:ind w:left="40"/>
              <w:spacing w:after="0"/>
              <w:rPr>
                <w:sz w:val="20"/>
                <w:szCs w:val="20"/>
                <w:color w:val="auto"/>
              </w:rPr>
            </w:pPr>
            <w:r>
              <w:rPr>
                <w:rFonts w:ascii="Arial" w:cs="Arial" w:eastAsia="Arial" w:hAnsi="Arial"/>
                <w:sz w:val="16"/>
                <w:szCs w:val="16"/>
                <w:color w:val="auto"/>
              </w:rPr>
              <w:t>Institutional Enhanced Index Fixed</w:t>
            </w:r>
          </w:p>
        </w:tc>
        <w:tc>
          <w:tcPr>
            <w:tcW w:w="52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4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60" w:type="dxa"/>
            <w:vAlign w:val="bottom"/>
          </w:tcPr>
          <w:p>
            <w:pPr>
              <w:spacing w:after="0"/>
              <w:rPr>
                <w:sz w:val="23"/>
                <w:szCs w:val="23"/>
                <w:color w:val="auto"/>
              </w:rPr>
            </w:pPr>
          </w:p>
        </w:tc>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Prudential Income Fund</w:t>
            </w:r>
          </w:p>
        </w:tc>
        <w:tc>
          <w:tcPr>
            <w:tcW w:w="52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Common Collective Trust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132,536,862</w:t>
            </w:r>
          </w:p>
        </w:tc>
      </w:tr>
      <w:tr>
        <w:trPr>
          <w:trHeight w:val="284"/>
        </w:trPr>
        <w:tc>
          <w:tcPr>
            <w:tcW w:w="460" w:type="dxa"/>
            <w:vAlign w:val="bottom"/>
          </w:tcPr>
          <w:p>
            <w:pPr>
              <w:spacing w:after="0"/>
              <w:rPr>
                <w:sz w:val="24"/>
                <w:szCs w:val="24"/>
                <w:color w:val="auto"/>
              </w:rPr>
            </w:pPr>
          </w:p>
        </w:tc>
        <w:tc>
          <w:tcPr>
            <w:tcW w:w="44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Stable Value Fund Total</w:t>
            </w:r>
          </w:p>
        </w:tc>
        <w:tc>
          <w:tcPr>
            <w:tcW w:w="526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132,536,862</w:t>
            </w:r>
          </w:p>
        </w:tc>
      </w:tr>
      <w:tr>
        <w:trPr>
          <w:trHeight w:val="230"/>
        </w:trPr>
        <w:tc>
          <w:tcPr>
            <w:tcW w:w="460" w:type="dxa"/>
            <w:vAlign w:val="bottom"/>
          </w:tcPr>
          <w:p>
            <w:pPr>
              <w:spacing w:after="0"/>
              <w:rPr>
                <w:sz w:val="20"/>
                <w:szCs w:val="20"/>
                <w:color w:val="auto"/>
              </w:rPr>
            </w:pPr>
          </w:p>
        </w:tc>
        <w:tc>
          <w:tcPr>
            <w:tcW w:w="4460" w:type="dxa"/>
            <w:vAlign w:val="bottom"/>
            <w:shd w:val="clear" w:color="auto" w:fill="CCEEFF"/>
          </w:tcPr>
          <w:p>
            <w:pPr>
              <w:spacing w:after="0"/>
              <w:rPr>
                <w:sz w:val="20"/>
                <w:szCs w:val="20"/>
                <w:color w:val="auto"/>
              </w:rPr>
            </w:pPr>
          </w:p>
        </w:tc>
        <w:tc>
          <w:tcPr>
            <w:tcW w:w="5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37"/>
        </w:trPr>
        <w:tc>
          <w:tcPr>
            <w:tcW w:w="460" w:type="dxa"/>
            <w:vAlign w:val="bottom"/>
          </w:tcPr>
          <w:p>
            <w:pPr>
              <w:spacing w:after="0"/>
              <w:rPr>
                <w:sz w:val="20"/>
                <w:szCs w:val="20"/>
                <w:color w:val="auto"/>
              </w:rPr>
            </w:pPr>
          </w:p>
        </w:tc>
        <w:tc>
          <w:tcPr>
            <w:tcW w:w="4460" w:type="dxa"/>
            <w:vAlign w:val="bottom"/>
          </w:tcPr>
          <w:p>
            <w:pPr>
              <w:ind w:left="40"/>
              <w:spacing w:after="0"/>
              <w:rPr>
                <w:sz w:val="20"/>
                <w:szCs w:val="20"/>
                <w:color w:val="auto"/>
              </w:rPr>
            </w:pPr>
            <w:r>
              <w:rPr>
                <w:rFonts w:ascii="Arial" w:cs="Arial" w:eastAsia="Arial" w:hAnsi="Arial"/>
                <w:sz w:val="16"/>
                <w:szCs w:val="16"/>
                <w:color w:val="auto"/>
              </w:rPr>
              <w:t>CASH</w:t>
            </w:r>
          </w:p>
        </w:tc>
        <w:tc>
          <w:tcPr>
            <w:tcW w:w="5260" w:type="dxa"/>
            <w:vAlign w:val="bottom"/>
          </w:tcPr>
          <w:p>
            <w:pPr>
              <w:ind w:left="820"/>
              <w:spacing w:after="0"/>
              <w:rPr>
                <w:sz w:val="20"/>
                <w:szCs w:val="20"/>
                <w:color w:val="auto"/>
              </w:rPr>
            </w:pPr>
            <w:r>
              <w:rPr>
                <w:rFonts w:ascii="Arial" w:cs="Arial" w:eastAsia="Arial" w:hAnsi="Arial"/>
                <w:sz w:val="16"/>
                <w:szCs w:val="16"/>
                <w:color w:val="auto"/>
              </w:rPr>
              <w:t>Cash and Cash Equivalents</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223</w:t>
            </w:r>
          </w:p>
        </w:tc>
      </w:tr>
      <w:tr>
        <w:trPr>
          <w:trHeight w:val="33"/>
        </w:trPr>
        <w:tc>
          <w:tcPr>
            <w:tcW w:w="4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 INCOME ACCRUAL</w:t>
            </w:r>
          </w:p>
        </w:tc>
        <w:tc>
          <w:tcPr>
            <w:tcW w:w="52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Cash and Cash Equivalents</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47,700</w:t>
            </w:r>
          </w:p>
        </w:tc>
      </w:tr>
      <w:tr>
        <w:trPr>
          <w:trHeight w:val="237"/>
        </w:trPr>
        <w:tc>
          <w:tcPr>
            <w:tcW w:w="460" w:type="dxa"/>
            <w:vAlign w:val="bottom"/>
          </w:tcPr>
          <w:p>
            <w:pPr>
              <w:spacing w:after="0"/>
              <w:rPr>
                <w:sz w:val="20"/>
                <w:szCs w:val="20"/>
                <w:color w:val="auto"/>
              </w:rPr>
            </w:pPr>
          </w:p>
        </w:tc>
        <w:tc>
          <w:tcPr>
            <w:tcW w:w="4460" w:type="dxa"/>
            <w:vAlign w:val="bottom"/>
          </w:tcPr>
          <w:p>
            <w:pPr>
              <w:ind w:left="40"/>
              <w:spacing w:after="0"/>
              <w:rPr>
                <w:sz w:val="20"/>
                <w:szCs w:val="20"/>
                <w:color w:val="auto"/>
              </w:rPr>
            </w:pPr>
            <w:r>
              <w:rPr>
                <w:rFonts w:ascii="Arial" w:cs="Arial" w:eastAsia="Arial" w:hAnsi="Arial"/>
                <w:sz w:val="16"/>
                <w:szCs w:val="16"/>
                <w:color w:val="auto"/>
              </w:rPr>
              <w:t>WELLS FARGO ADVANTAGE HERITAGE MONEY</w:t>
            </w:r>
          </w:p>
        </w:tc>
        <w:tc>
          <w:tcPr>
            <w:tcW w:w="5260" w:type="dxa"/>
            <w:vAlign w:val="bottom"/>
          </w:tcPr>
          <w:p>
            <w:pPr>
              <w:ind w:left="820"/>
              <w:spacing w:after="0"/>
              <w:rPr>
                <w:sz w:val="20"/>
                <w:szCs w:val="20"/>
                <w:color w:val="auto"/>
              </w:rPr>
            </w:pPr>
            <w:r>
              <w:rPr>
                <w:rFonts w:ascii="Arial" w:cs="Arial" w:eastAsia="Arial" w:hAnsi="Arial"/>
                <w:sz w:val="16"/>
                <w:szCs w:val="16"/>
                <w:color w:val="auto"/>
              </w:rPr>
              <w:t>Cash and Cash Equivalents</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274,793</w:t>
            </w:r>
          </w:p>
        </w:tc>
      </w:tr>
      <w:tr>
        <w:trPr>
          <w:trHeight w:val="33"/>
        </w:trPr>
        <w:tc>
          <w:tcPr>
            <w:tcW w:w="4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3M CO</w:t>
            </w:r>
          </w:p>
        </w:tc>
        <w:tc>
          <w:tcPr>
            <w:tcW w:w="52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Common Stock</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198,827</w:t>
            </w:r>
          </w:p>
        </w:tc>
      </w:tr>
      <w:tr>
        <w:trPr>
          <w:trHeight w:val="237"/>
        </w:trPr>
        <w:tc>
          <w:tcPr>
            <w:tcW w:w="460" w:type="dxa"/>
            <w:vAlign w:val="bottom"/>
          </w:tcPr>
          <w:p>
            <w:pPr>
              <w:spacing w:after="0"/>
              <w:rPr>
                <w:sz w:val="20"/>
                <w:szCs w:val="20"/>
                <w:color w:val="auto"/>
              </w:rPr>
            </w:pPr>
          </w:p>
        </w:tc>
        <w:tc>
          <w:tcPr>
            <w:tcW w:w="4460" w:type="dxa"/>
            <w:vAlign w:val="bottom"/>
          </w:tcPr>
          <w:p>
            <w:pPr>
              <w:ind w:left="40"/>
              <w:spacing w:after="0"/>
              <w:rPr>
                <w:sz w:val="20"/>
                <w:szCs w:val="20"/>
                <w:color w:val="auto"/>
              </w:rPr>
            </w:pPr>
            <w:r>
              <w:rPr>
                <w:rFonts w:ascii="Arial" w:cs="Arial" w:eastAsia="Arial" w:hAnsi="Arial"/>
                <w:sz w:val="16"/>
                <w:szCs w:val="16"/>
                <w:color w:val="auto"/>
              </w:rPr>
              <w:t>AARON S INC</w:t>
            </w:r>
          </w:p>
        </w:tc>
        <w:tc>
          <w:tcPr>
            <w:tcW w:w="5260" w:type="dxa"/>
            <w:vAlign w:val="bottom"/>
          </w:tcPr>
          <w:p>
            <w:pPr>
              <w:ind w:left="820"/>
              <w:spacing w:after="0"/>
              <w:rPr>
                <w:sz w:val="20"/>
                <w:szCs w:val="20"/>
                <w:color w:val="auto"/>
              </w:rPr>
            </w:pPr>
            <w:r>
              <w:rPr>
                <w:rFonts w:ascii="Arial" w:cs="Arial" w:eastAsia="Arial" w:hAnsi="Arial"/>
                <w:sz w:val="16"/>
                <w:szCs w:val="16"/>
                <w:color w:val="auto"/>
              </w:rPr>
              <w:t>Common Stock</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20,360</w:t>
            </w:r>
          </w:p>
        </w:tc>
      </w:tr>
      <w:tr>
        <w:trPr>
          <w:trHeight w:val="33"/>
        </w:trPr>
        <w:tc>
          <w:tcPr>
            <w:tcW w:w="4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ABBOTT LABS</w:t>
            </w:r>
          </w:p>
        </w:tc>
        <w:tc>
          <w:tcPr>
            <w:tcW w:w="52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Common Stock</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98,684</w:t>
            </w:r>
          </w:p>
        </w:tc>
      </w:tr>
      <w:tr>
        <w:trPr>
          <w:trHeight w:val="237"/>
        </w:trPr>
        <w:tc>
          <w:tcPr>
            <w:tcW w:w="460" w:type="dxa"/>
            <w:vAlign w:val="bottom"/>
          </w:tcPr>
          <w:p>
            <w:pPr>
              <w:spacing w:after="0"/>
              <w:rPr>
                <w:sz w:val="20"/>
                <w:szCs w:val="20"/>
                <w:color w:val="auto"/>
              </w:rPr>
            </w:pPr>
          </w:p>
        </w:tc>
        <w:tc>
          <w:tcPr>
            <w:tcW w:w="4460" w:type="dxa"/>
            <w:vAlign w:val="bottom"/>
          </w:tcPr>
          <w:p>
            <w:pPr>
              <w:ind w:left="40"/>
              <w:spacing w:after="0"/>
              <w:rPr>
                <w:sz w:val="20"/>
                <w:szCs w:val="20"/>
                <w:color w:val="auto"/>
              </w:rPr>
            </w:pPr>
            <w:r>
              <w:rPr>
                <w:rFonts w:ascii="Arial" w:cs="Arial" w:eastAsia="Arial" w:hAnsi="Arial"/>
                <w:sz w:val="16"/>
                <w:szCs w:val="16"/>
                <w:color w:val="auto"/>
              </w:rPr>
              <w:t>ABBVIE INC</w:t>
            </w:r>
          </w:p>
        </w:tc>
        <w:tc>
          <w:tcPr>
            <w:tcW w:w="5260" w:type="dxa"/>
            <w:vAlign w:val="bottom"/>
          </w:tcPr>
          <w:p>
            <w:pPr>
              <w:ind w:left="820"/>
              <w:spacing w:after="0"/>
              <w:rPr>
                <w:sz w:val="20"/>
                <w:szCs w:val="20"/>
                <w:color w:val="auto"/>
              </w:rPr>
            </w:pPr>
            <w:r>
              <w:rPr>
                <w:rFonts w:ascii="Arial" w:cs="Arial" w:eastAsia="Arial" w:hAnsi="Arial"/>
                <w:sz w:val="16"/>
                <w:szCs w:val="16"/>
                <w:color w:val="auto"/>
              </w:rPr>
              <w:t>Common Stock</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130,422</w:t>
            </w:r>
          </w:p>
        </w:tc>
      </w:tr>
      <w:tr>
        <w:trPr>
          <w:trHeight w:val="33"/>
        </w:trPr>
        <w:tc>
          <w:tcPr>
            <w:tcW w:w="4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ABERCROMBIE &amp; FITCH CO CL A</w:t>
            </w:r>
          </w:p>
        </w:tc>
        <w:tc>
          <w:tcPr>
            <w:tcW w:w="52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Common Stock</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22,654</w:t>
            </w:r>
          </w:p>
        </w:tc>
      </w:tr>
      <w:tr>
        <w:trPr>
          <w:trHeight w:val="237"/>
        </w:trPr>
        <w:tc>
          <w:tcPr>
            <w:tcW w:w="460" w:type="dxa"/>
            <w:vAlign w:val="bottom"/>
          </w:tcPr>
          <w:p>
            <w:pPr>
              <w:spacing w:after="0"/>
              <w:rPr>
                <w:sz w:val="20"/>
                <w:szCs w:val="20"/>
                <w:color w:val="auto"/>
              </w:rPr>
            </w:pPr>
          </w:p>
        </w:tc>
        <w:tc>
          <w:tcPr>
            <w:tcW w:w="4460" w:type="dxa"/>
            <w:vAlign w:val="bottom"/>
          </w:tcPr>
          <w:p>
            <w:pPr>
              <w:ind w:left="40"/>
              <w:spacing w:after="0"/>
              <w:rPr>
                <w:sz w:val="20"/>
                <w:szCs w:val="20"/>
                <w:color w:val="auto"/>
              </w:rPr>
            </w:pPr>
            <w:r>
              <w:rPr>
                <w:rFonts w:ascii="Arial" w:cs="Arial" w:eastAsia="Arial" w:hAnsi="Arial"/>
                <w:sz w:val="16"/>
                <w:szCs w:val="16"/>
                <w:color w:val="auto"/>
              </w:rPr>
              <w:t>ACTIVISION BLIZZARD INC</w:t>
            </w:r>
          </w:p>
        </w:tc>
        <w:tc>
          <w:tcPr>
            <w:tcW w:w="5260" w:type="dxa"/>
            <w:vAlign w:val="bottom"/>
          </w:tcPr>
          <w:p>
            <w:pPr>
              <w:ind w:left="820"/>
              <w:spacing w:after="0"/>
              <w:rPr>
                <w:sz w:val="20"/>
                <w:szCs w:val="20"/>
                <w:color w:val="auto"/>
              </w:rPr>
            </w:pPr>
            <w:r>
              <w:rPr>
                <w:rFonts w:ascii="Arial" w:cs="Arial" w:eastAsia="Arial" w:hAnsi="Arial"/>
                <w:sz w:val="16"/>
                <w:szCs w:val="16"/>
                <w:color w:val="auto"/>
              </w:rPr>
              <w:t>Common Stock</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26,920</w:t>
            </w:r>
          </w:p>
        </w:tc>
      </w:tr>
      <w:tr>
        <w:trPr>
          <w:trHeight w:val="33"/>
        </w:trPr>
        <w:tc>
          <w:tcPr>
            <w:tcW w:w="4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ADOBE SYS INC</w:t>
            </w:r>
          </w:p>
        </w:tc>
        <w:tc>
          <w:tcPr>
            <w:tcW w:w="52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Common Stock</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7,052</w:t>
            </w:r>
          </w:p>
        </w:tc>
      </w:tr>
      <w:tr>
        <w:trPr>
          <w:trHeight w:val="237"/>
        </w:trPr>
        <w:tc>
          <w:tcPr>
            <w:tcW w:w="460" w:type="dxa"/>
            <w:vAlign w:val="bottom"/>
          </w:tcPr>
          <w:p>
            <w:pPr>
              <w:spacing w:after="0"/>
              <w:rPr>
                <w:sz w:val="20"/>
                <w:szCs w:val="20"/>
                <w:color w:val="auto"/>
              </w:rPr>
            </w:pPr>
          </w:p>
        </w:tc>
        <w:tc>
          <w:tcPr>
            <w:tcW w:w="4460" w:type="dxa"/>
            <w:vAlign w:val="bottom"/>
          </w:tcPr>
          <w:p>
            <w:pPr>
              <w:ind w:left="40"/>
              <w:spacing w:after="0"/>
              <w:rPr>
                <w:sz w:val="20"/>
                <w:szCs w:val="20"/>
                <w:color w:val="auto"/>
              </w:rPr>
            </w:pPr>
            <w:r>
              <w:rPr>
                <w:rFonts w:ascii="Arial" w:cs="Arial" w:eastAsia="Arial" w:hAnsi="Arial"/>
                <w:sz w:val="16"/>
                <w:szCs w:val="16"/>
                <w:color w:val="auto"/>
              </w:rPr>
              <w:t>ADT CORP/THE</w:t>
            </w:r>
          </w:p>
        </w:tc>
        <w:tc>
          <w:tcPr>
            <w:tcW w:w="5260" w:type="dxa"/>
            <w:vAlign w:val="bottom"/>
          </w:tcPr>
          <w:p>
            <w:pPr>
              <w:ind w:left="820"/>
              <w:spacing w:after="0"/>
              <w:rPr>
                <w:sz w:val="20"/>
                <w:szCs w:val="20"/>
                <w:color w:val="auto"/>
              </w:rPr>
            </w:pPr>
            <w:r>
              <w:rPr>
                <w:rFonts w:ascii="Arial" w:cs="Arial" w:eastAsia="Arial" w:hAnsi="Arial"/>
                <w:sz w:val="16"/>
                <w:szCs w:val="16"/>
                <w:color w:val="auto"/>
              </w:rPr>
              <w:t>Common Stock</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4,819</w:t>
            </w:r>
          </w:p>
        </w:tc>
      </w:tr>
      <w:tr>
        <w:trPr>
          <w:trHeight w:val="33"/>
        </w:trPr>
        <w:tc>
          <w:tcPr>
            <w:tcW w:w="4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ADVANCE AUTO PTS INC</w:t>
            </w:r>
          </w:p>
        </w:tc>
        <w:tc>
          <w:tcPr>
            <w:tcW w:w="52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Common Stock</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25,803</w:t>
            </w:r>
          </w:p>
        </w:tc>
      </w:tr>
      <w:tr>
        <w:trPr>
          <w:trHeight w:val="237"/>
        </w:trPr>
        <w:tc>
          <w:tcPr>
            <w:tcW w:w="460" w:type="dxa"/>
            <w:vAlign w:val="bottom"/>
          </w:tcPr>
          <w:p>
            <w:pPr>
              <w:spacing w:after="0"/>
              <w:rPr>
                <w:sz w:val="20"/>
                <w:szCs w:val="20"/>
                <w:color w:val="auto"/>
              </w:rPr>
            </w:pPr>
          </w:p>
        </w:tc>
        <w:tc>
          <w:tcPr>
            <w:tcW w:w="4460" w:type="dxa"/>
            <w:vAlign w:val="bottom"/>
          </w:tcPr>
          <w:p>
            <w:pPr>
              <w:ind w:left="40"/>
              <w:spacing w:after="0"/>
              <w:rPr>
                <w:sz w:val="20"/>
                <w:szCs w:val="20"/>
                <w:color w:val="auto"/>
              </w:rPr>
            </w:pPr>
            <w:r>
              <w:rPr>
                <w:rFonts w:ascii="Arial" w:cs="Arial" w:eastAsia="Arial" w:hAnsi="Arial"/>
                <w:sz w:val="16"/>
                <w:szCs w:val="16"/>
                <w:color w:val="auto"/>
              </w:rPr>
              <w:t>ADVANCED MICRO DEVICES INC</w:t>
            </w:r>
          </w:p>
        </w:tc>
        <w:tc>
          <w:tcPr>
            <w:tcW w:w="5260" w:type="dxa"/>
            <w:vAlign w:val="bottom"/>
          </w:tcPr>
          <w:p>
            <w:pPr>
              <w:ind w:left="820"/>
              <w:spacing w:after="0"/>
              <w:rPr>
                <w:sz w:val="20"/>
                <w:szCs w:val="20"/>
                <w:color w:val="auto"/>
              </w:rPr>
            </w:pPr>
            <w:r>
              <w:rPr>
                <w:rFonts w:ascii="Arial" w:cs="Arial" w:eastAsia="Arial" w:hAnsi="Arial"/>
                <w:sz w:val="16"/>
                <w:szCs w:val="16"/>
                <w:color w:val="auto"/>
              </w:rPr>
              <w:t>Common Stock</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18,730</w:t>
            </w:r>
          </w:p>
        </w:tc>
      </w:tr>
      <w:tr>
        <w:trPr>
          <w:trHeight w:val="33"/>
        </w:trPr>
        <w:tc>
          <w:tcPr>
            <w:tcW w:w="4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 w:type="dxa"/>
            <w:vAlign w:val="bottom"/>
          </w:tcPr>
          <w:p>
            <w:pPr>
              <w:spacing w:after="0"/>
              <w:rPr>
                <w:sz w:val="21"/>
                <w:szCs w:val="21"/>
                <w:color w:val="auto"/>
              </w:rPr>
            </w:pPr>
          </w:p>
        </w:tc>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AECOM</w:t>
            </w:r>
          </w:p>
        </w:tc>
        <w:tc>
          <w:tcPr>
            <w:tcW w:w="52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Common Stock</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7,289</w:t>
            </w:r>
          </w:p>
        </w:tc>
      </w:tr>
      <w:tr>
        <w:trPr>
          <w:trHeight w:val="237"/>
        </w:trPr>
        <w:tc>
          <w:tcPr>
            <w:tcW w:w="460" w:type="dxa"/>
            <w:vAlign w:val="bottom"/>
          </w:tcPr>
          <w:p>
            <w:pPr>
              <w:spacing w:after="0"/>
              <w:rPr>
                <w:sz w:val="20"/>
                <w:szCs w:val="20"/>
                <w:color w:val="auto"/>
              </w:rPr>
            </w:pPr>
          </w:p>
        </w:tc>
        <w:tc>
          <w:tcPr>
            <w:tcW w:w="4460" w:type="dxa"/>
            <w:vAlign w:val="bottom"/>
          </w:tcPr>
          <w:p>
            <w:pPr>
              <w:ind w:left="40"/>
              <w:spacing w:after="0"/>
              <w:rPr>
                <w:sz w:val="20"/>
                <w:szCs w:val="20"/>
                <w:color w:val="auto"/>
              </w:rPr>
            </w:pPr>
            <w:r>
              <w:rPr>
                <w:rFonts w:ascii="Arial" w:cs="Arial" w:eastAsia="Arial" w:hAnsi="Arial"/>
                <w:sz w:val="16"/>
                <w:szCs w:val="16"/>
                <w:color w:val="auto"/>
              </w:rPr>
              <w:t>AES CORP</w:t>
            </w:r>
          </w:p>
        </w:tc>
        <w:tc>
          <w:tcPr>
            <w:tcW w:w="5260" w:type="dxa"/>
            <w:vAlign w:val="bottom"/>
          </w:tcPr>
          <w:p>
            <w:pPr>
              <w:ind w:left="820"/>
              <w:spacing w:after="0"/>
              <w:rPr>
                <w:sz w:val="20"/>
                <w:szCs w:val="20"/>
                <w:color w:val="auto"/>
              </w:rPr>
            </w:pPr>
            <w:r>
              <w:rPr>
                <w:rFonts w:ascii="Arial" w:cs="Arial" w:eastAsia="Arial" w:hAnsi="Arial"/>
                <w:sz w:val="16"/>
                <w:szCs w:val="16"/>
                <w:color w:val="auto"/>
              </w:rPr>
              <w:t>Common Stock</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40,952</w:t>
            </w:r>
          </w:p>
        </w:tc>
      </w:tr>
      <w:tr>
        <w:trPr>
          <w:trHeight w:val="33"/>
        </w:trPr>
        <w:tc>
          <w:tcPr>
            <w:tcW w:w="4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460" w:type="dxa"/>
            <w:vAlign w:val="bottom"/>
          </w:tcPr>
          <w:p>
            <w:pPr>
              <w:spacing w:after="0"/>
              <w:rPr>
                <w:sz w:val="20"/>
                <w:szCs w:val="20"/>
                <w:color w:val="auto"/>
              </w:rPr>
            </w:pPr>
          </w:p>
        </w:tc>
        <w:tc>
          <w:tcPr>
            <w:tcW w:w="4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AETNA INC-NEW</w:t>
            </w:r>
          </w:p>
        </w:tc>
        <w:tc>
          <w:tcPr>
            <w:tcW w:w="52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Common Stock</w:t>
            </w: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110,505</w:t>
            </w:r>
          </w:p>
        </w:tc>
      </w:tr>
      <w:tr>
        <w:trPr>
          <w:trHeight w:val="33"/>
        </w:trPr>
        <w:tc>
          <w:tcPr>
            <w:tcW w:w="460" w:type="dxa"/>
            <w:vAlign w:val="bottom"/>
          </w:tcPr>
          <w:p>
            <w:pPr>
              <w:spacing w:after="0"/>
              <w:rPr>
                <w:sz w:val="2"/>
                <w:szCs w:val="2"/>
                <w:color w:val="auto"/>
              </w:rPr>
            </w:pPr>
          </w:p>
        </w:tc>
        <w:tc>
          <w:tcPr>
            <w:tcW w:w="4460" w:type="dxa"/>
            <w:vAlign w:val="bottom"/>
            <w:shd w:val="clear" w:color="auto" w:fill="CCEEFF"/>
          </w:tcPr>
          <w:p>
            <w:pPr>
              <w:spacing w:after="0"/>
              <w:rPr>
                <w:sz w:val="2"/>
                <w:szCs w:val="2"/>
                <w:color w:val="auto"/>
              </w:rPr>
            </w:pPr>
          </w:p>
        </w:tc>
        <w:tc>
          <w:tcPr>
            <w:tcW w:w="5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301" w:right="23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280" w:type="dxa"/>
            <w:vAlign w:val="bottom"/>
          </w:tcPr>
          <w:p>
            <w:pPr>
              <w:spacing w:after="0"/>
              <w:rPr>
                <w:sz w:val="20"/>
                <w:szCs w:val="20"/>
                <w:color w:val="auto"/>
              </w:rPr>
            </w:pPr>
            <w:r>
              <w:rPr>
                <w:rFonts w:ascii="Arial" w:cs="Arial" w:eastAsia="Arial" w:hAnsi="Arial"/>
                <w:sz w:val="16"/>
                <w:szCs w:val="16"/>
                <w:color w:val="auto"/>
              </w:rPr>
              <w:t>AFLAC INC</w:t>
            </w:r>
          </w:p>
        </w:tc>
        <w:tc>
          <w:tcPr>
            <w:tcW w:w="5040" w:type="dxa"/>
            <w:vAlign w:val="bottom"/>
          </w:tcPr>
          <w:p>
            <w:pPr>
              <w:ind w:left="1960"/>
              <w:spacing w:after="0"/>
              <w:rPr>
                <w:sz w:val="20"/>
                <w:szCs w:val="20"/>
                <w:color w:val="auto"/>
              </w:rPr>
            </w:pPr>
            <w:r>
              <w:rPr>
                <w:rFonts w:ascii="Arial" w:cs="Arial" w:eastAsia="Arial" w:hAnsi="Arial"/>
                <w:sz w:val="16"/>
                <w:szCs w:val="16"/>
                <w:color w:val="auto"/>
              </w:rPr>
              <w:t>Common Stock</w:t>
            </w:r>
          </w:p>
        </w:tc>
        <w:tc>
          <w:tcPr>
            <w:tcW w:w="2500" w:type="dxa"/>
            <w:vAlign w:val="bottom"/>
          </w:tcPr>
          <w:p>
            <w:pPr>
              <w:jc w:val="right"/>
              <w:spacing w:after="0"/>
              <w:rPr>
                <w:sz w:val="20"/>
                <w:szCs w:val="20"/>
                <w:color w:val="auto"/>
              </w:rPr>
            </w:pPr>
            <w:r>
              <w:rPr>
                <w:rFonts w:ascii="Arial" w:cs="Arial" w:eastAsia="Arial" w:hAnsi="Arial"/>
                <w:sz w:val="16"/>
                <w:szCs w:val="16"/>
                <w:color w:val="auto"/>
              </w:rPr>
              <w:t>37,570</w:t>
            </w:r>
          </w:p>
        </w:tc>
      </w:tr>
      <w:tr>
        <w:trPr>
          <w:trHeight w:val="284"/>
        </w:trPr>
        <w:tc>
          <w:tcPr>
            <w:tcW w:w="3280" w:type="dxa"/>
            <w:vAlign w:val="bottom"/>
          </w:tcPr>
          <w:p>
            <w:pPr>
              <w:spacing w:after="0"/>
              <w:rPr>
                <w:sz w:val="20"/>
                <w:szCs w:val="20"/>
                <w:color w:val="auto"/>
              </w:rPr>
            </w:pPr>
            <w:r>
              <w:rPr>
                <w:rFonts w:ascii="Arial" w:cs="Arial" w:eastAsia="Arial" w:hAnsi="Arial"/>
                <w:sz w:val="16"/>
                <w:szCs w:val="16"/>
                <w:color w:val="auto"/>
              </w:rPr>
              <w:t>AGCO CORP COM</w:t>
            </w:r>
          </w:p>
        </w:tc>
        <w:tc>
          <w:tcPr>
            <w:tcW w:w="5040" w:type="dxa"/>
            <w:vAlign w:val="bottom"/>
          </w:tcPr>
          <w:p>
            <w:pPr>
              <w:ind w:left="1960"/>
              <w:spacing w:after="0"/>
              <w:rPr>
                <w:sz w:val="20"/>
                <w:szCs w:val="20"/>
                <w:color w:val="auto"/>
              </w:rPr>
            </w:pPr>
            <w:r>
              <w:rPr>
                <w:rFonts w:ascii="Arial" w:cs="Arial" w:eastAsia="Arial" w:hAnsi="Arial"/>
                <w:sz w:val="16"/>
                <w:szCs w:val="16"/>
                <w:color w:val="auto"/>
              </w:rPr>
              <w:t>Common Stock</w:t>
            </w:r>
          </w:p>
        </w:tc>
        <w:tc>
          <w:tcPr>
            <w:tcW w:w="2500" w:type="dxa"/>
            <w:vAlign w:val="bottom"/>
          </w:tcPr>
          <w:p>
            <w:pPr>
              <w:jc w:val="right"/>
              <w:spacing w:after="0"/>
              <w:rPr>
                <w:sz w:val="20"/>
                <w:szCs w:val="20"/>
                <w:color w:val="auto"/>
              </w:rPr>
            </w:pPr>
            <w:r>
              <w:rPr>
                <w:rFonts w:ascii="Arial" w:cs="Arial" w:eastAsia="Arial" w:hAnsi="Arial"/>
                <w:sz w:val="16"/>
                <w:szCs w:val="16"/>
                <w:color w:val="auto"/>
              </w:rPr>
              <w:t>13,650</w:t>
            </w:r>
          </w:p>
        </w:tc>
      </w:tr>
    </w:tbl>
    <w:p>
      <w:pPr>
        <w:spacing w:after="0" w:line="26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20"/>
          </w:cols>
          <w:pgMar w:left="740" w:top="130"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16"/>
          <w:szCs w:val="16"/>
          <w:b w:val="1"/>
          <w:bCs w:val="1"/>
          <w:color w:val="auto"/>
        </w:rPr>
        <w:t>WESCO Distribution, Inc.</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Retirement Savings Plan</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Schedule H (Form 5500), line 4(i) - Schedule of Assets (Held at End of Year)</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EIN 25-1723345, Plan Number 001</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2014</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Pr>
          <w:p>
            <w:pPr>
              <w:ind w:left="140"/>
              <w:spacing w:after="0"/>
              <w:rPr>
                <w:sz w:val="20"/>
                <w:szCs w:val="20"/>
                <w:color w:val="auto"/>
              </w:rPr>
            </w:pPr>
            <w:r>
              <w:rPr>
                <w:rFonts w:ascii="Arial" w:cs="Arial" w:eastAsia="Arial" w:hAnsi="Arial"/>
                <w:sz w:val="16"/>
                <w:szCs w:val="16"/>
                <w:b w:val="1"/>
                <w:bCs w:val="1"/>
                <w:color w:val="auto"/>
              </w:rPr>
              <w:t>(a)</w:t>
            </w:r>
          </w:p>
        </w:tc>
        <w:tc>
          <w:tcPr>
            <w:tcW w:w="4360" w:type="dxa"/>
            <w:vAlign w:val="bottom"/>
          </w:tcPr>
          <w:p>
            <w:pPr>
              <w:jc w:val="center"/>
              <w:ind w:left="919"/>
              <w:spacing w:after="0"/>
              <w:rPr>
                <w:sz w:val="20"/>
                <w:szCs w:val="20"/>
                <w:color w:val="auto"/>
              </w:rPr>
            </w:pPr>
            <w:r>
              <w:rPr>
                <w:rFonts w:ascii="Arial" w:cs="Arial" w:eastAsia="Arial" w:hAnsi="Arial"/>
                <w:sz w:val="16"/>
                <w:szCs w:val="16"/>
                <w:b w:val="1"/>
                <w:bCs w:val="1"/>
                <w:color w:val="auto"/>
                <w:w w:val="97"/>
              </w:rPr>
              <w:t>(b)</w:t>
            </w:r>
          </w:p>
        </w:tc>
        <w:tc>
          <w:tcPr>
            <w:tcW w:w="2100" w:type="dxa"/>
            <w:vAlign w:val="bottom"/>
          </w:tcPr>
          <w:p>
            <w:pPr>
              <w:spacing w:after="0"/>
              <w:rPr>
                <w:sz w:val="18"/>
                <w:szCs w:val="18"/>
                <w:color w:val="auto"/>
              </w:rPr>
            </w:pPr>
          </w:p>
        </w:tc>
        <w:tc>
          <w:tcPr>
            <w:tcW w:w="2820" w:type="dxa"/>
            <w:vAlign w:val="bottom"/>
          </w:tcPr>
          <w:p>
            <w:pPr>
              <w:jc w:val="center"/>
              <w:ind w:right="599"/>
              <w:spacing w:after="0"/>
              <w:rPr>
                <w:sz w:val="20"/>
                <w:szCs w:val="20"/>
                <w:color w:val="auto"/>
              </w:rPr>
            </w:pPr>
            <w:r>
              <w:rPr>
                <w:rFonts w:ascii="Arial" w:cs="Arial" w:eastAsia="Arial" w:hAnsi="Arial"/>
                <w:sz w:val="16"/>
                <w:szCs w:val="16"/>
                <w:b w:val="1"/>
                <w:bCs w:val="1"/>
                <w:color w:val="auto"/>
                <w:w w:val="91"/>
              </w:rPr>
              <w:t>(c)</w:t>
            </w:r>
          </w:p>
        </w:tc>
        <w:tc>
          <w:tcPr>
            <w:tcW w:w="1700" w:type="dxa"/>
            <w:vAlign w:val="bottom"/>
          </w:tcPr>
          <w:p>
            <w:pPr>
              <w:jc w:val="center"/>
              <w:ind w:left="379"/>
              <w:spacing w:after="0"/>
              <w:rPr>
                <w:sz w:val="20"/>
                <w:szCs w:val="20"/>
                <w:color w:val="auto"/>
              </w:rPr>
            </w:pPr>
            <w:r>
              <w:rPr>
                <w:rFonts w:ascii="Arial" w:cs="Arial" w:eastAsia="Arial" w:hAnsi="Arial"/>
                <w:sz w:val="16"/>
                <w:szCs w:val="16"/>
                <w:b w:val="1"/>
                <w:bCs w:val="1"/>
                <w:color w:val="auto"/>
                <w:w w:val="97"/>
              </w:rPr>
              <w:t>(d)</w:t>
            </w:r>
          </w:p>
        </w:tc>
      </w:tr>
      <w:tr>
        <w:trPr>
          <w:trHeight w:val="270"/>
        </w:trPr>
        <w:tc>
          <w:tcPr>
            <w:tcW w:w="400" w:type="dxa"/>
            <w:vAlign w:val="bottom"/>
          </w:tcPr>
          <w:p>
            <w:pPr>
              <w:spacing w:after="0"/>
              <w:rPr>
                <w:sz w:val="23"/>
                <w:szCs w:val="23"/>
                <w:color w:val="auto"/>
              </w:rPr>
            </w:pPr>
          </w:p>
        </w:tc>
        <w:tc>
          <w:tcPr>
            <w:tcW w:w="43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820" w:type="dxa"/>
            <w:vAlign w:val="bottom"/>
          </w:tcPr>
          <w:p>
            <w:pPr>
              <w:jc w:val="center"/>
              <w:ind w:right="619"/>
              <w:spacing w:after="0"/>
              <w:rPr>
                <w:sz w:val="20"/>
                <w:szCs w:val="20"/>
                <w:color w:val="auto"/>
              </w:rPr>
            </w:pPr>
            <w:r>
              <w:rPr>
                <w:rFonts w:ascii="Arial" w:cs="Arial" w:eastAsia="Arial" w:hAnsi="Arial"/>
                <w:sz w:val="16"/>
                <w:szCs w:val="16"/>
                <w:b w:val="1"/>
                <w:bCs w:val="1"/>
                <w:color w:val="auto"/>
                <w:w w:val="91"/>
              </w:rPr>
              <w:t>Description of Investment</w:t>
            </w:r>
          </w:p>
        </w:tc>
        <w:tc>
          <w:tcPr>
            <w:tcW w:w="170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360" w:type="dxa"/>
            <w:vAlign w:val="bottom"/>
          </w:tcPr>
          <w:p>
            <w:pPr>
              <w:jc w:val="center"/>
              <w:ind w:left="919"/>
              <w:spacing w:after="0"/>
              <w:rPr>
                <w:sz w:val="20"/>
                <w:szCs w:val="20"/>
                <w:color w:val="auto"/>
              </w:rPr>
            </w:pPr>
            <w:r>
              <w:rPr>
                <w:rFonts w:ascii="Arial" w:cs="Arial" w:eastAsia="Arial" w:hAnsi="Arial"/>
                <w:sz w:val="16"/>
                <w:szCs w:val="16"/>
                <w:b w:val="1"/>
                <w:bCs w:val="1"/>
                <w:color w:val="auto"/>
                <w:w w:val="91"/>
              </w:rPr>
              <w:t>Identity of Issue,</w:t>
            </w:r>
          </w:p>
        </w:tc>
        <w:tc>
          <w:tcPr>
            <w:tcW w:w="2100" w:type="dxa"/>
            <w:vAlign w:val="bottom"/>
          </w:tcPr>
          <w:p>
            <w:pPr>
              <w:spacing w:after="0"/>
              <w:rPr>
                <w:sz w:val="23"/>
                <w:szCs w:val="23"/>
                <w:color w:val="auto"/>
              </w:rPr>
            </w:pPr>
          </w:p>
        </w:tc>
        <w:tc>
          <w:tcPr>
            <w:tcW w:w="2820" w:type="dxa"/>
            <w:vAlign w:val="bottom"/>
          </w:tcPr>
          <w:p>
            <w:pPr>
              <w:jc w:val="center"/>
              <w:ind w:right="599"/>
              <w:spacing w:after="0"/>
              <w:rPr>
                <w:sz w:val="20"/>
                <w:szCs w:val="20"/>
                <w:color w:val="auto"/>
              </w:rPr>
            </w:pPr>
            <w:r>
              <w:rPr>
                <w:rFonts w:ascii="Arial" w:cs="Arial" w:eastAsia="Arial" w:hAnsi="Arial"/>
                <w:sz w:val="16"/>
                <w:szCs w:val="16"/>
                <w:b w:val="1"/>
                <w:bCs w:val="1"/>
                <w:color w:val="auto"/>
                <w:w w:val="95"/>
              </w:rPr>
              <w:t>Including Maturity Date,</w:t>
            </w:r>
          </w:p>
        </w:tc>
        <w:tc>
          <w:tcPr>
            <w:tcW w:w="170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360" w:type="dxa"/>
            <w:vAlign w:val="bottom"/>
          </w:tcPr>
          <w:p>
            <w:pPr>
              <w:jc w:val="center"/>
              <w:ind w:left="919"/>
              <w:spacing w:after="0"/>
              <w:rPr>
                <w:sz w:val="20"/>
                <w:szCs w:val="20"/>
                <w:color w:val="auto"/>
              </w:rPr>
            </w:pPr>
            <w:r>
              <w:rPr>
                <w:rFonts w:ascii="Arial" w:cs="Arial" w:eastAsia="Arial" w:hAnsi="Arial"/>
                <w:sz w:val="16"/>
                <w:szCs w:val="16"/>
                <w:b w:val="1"/>
                <w:bCs w:val="1"/>
                <w:color w:val="auto"/>
                <w:w w:val="91"/>
              </w:rPr>
              <w:t>Borrower, Lessor or</w:t>
            </w:r>
          </w:p>
        </w:tc>
        <w:tc>
          <w:tcPr>
            <w:tcW w:w="2100" w:type="dxa"/>
            <w:vAlign w:val="bottom"/>
          </w:tcPr>
          <w:p>
            <w:pPr>
              <w:spacing w:after="0"/>
              <w:rPr>
                <w:sz w:val="23"/>
                <w:szCs w:val="23"/>
                <w:color w:val="auto"/>
              </w:rPr>
            </w:pPr>
          </w:p>
        </w:tc>
        <w:tc>
          <w:tcPr>
            <w:tcW w:w="2820" w:type="dxa"/>
            <w:vAlign w:val="bottom"/>
          </w:tcPr>
          <w:p>
            <w:pPr>
              <w:jc w:val="center"/>
              <w:ind w:right="619"/>
              <w:spacing w:after="0"/>
              <w:rPr>
                <w:sz w:val="20"/>
                <w:szCs w:val="20"/>
                <w:color w:val="auto"/>
              </w:rPr>
            </w:pPr>
            <w:r>
              <w:rPr>
                <w:rFonts w:ascii="Arial" w:cs="Arial" w:eastAsia="Arial" w:hAnsi="Arial"/>
                <w:sz w:val="16"/>
                <w:szCs w:val="16"/>
                <w:b w:val="1"/>
                <w:bCs w:val="1"/>
                <w:color w:val="auto"/>
                <w:w w:val="92"/>
              </w:rPr>
              <w:t>Rate of Interest, Collateral,</w:t>
            </w:r>
          </w:p>
        </w:tc>
        <w:tc>
          <w:tcPr>
            <w:tcW w:w="1700" w:type="dxa"/>
            <w:vAlign w:val="bottom"/>
          </w:tcPr>
          <w:p>
            <w:pPr>
              <w:jc w:val="center"/>
              <w:ind w:left="379"/>
              <w:spacing w:after="0"/>
              <w:rPr>
                <w:sz w:val="20"/>
                <w:szCs w:val="20"/>
                <w:color w:val="auto"/>
              </w:rPr>
            </w:pPr>
            <w:r>
              <w:rPr>
                <w:rFonts w:ascii="Arial" w:cs="Arial" w:eastAsia="Arial" w:hAnsi="Arial"/>
                <w:sz w:val="16"/>
                <w:szCs w:val="16"/>
                <w:b w:val="1"/>
                <w:bCs w:val="1"/>
                <w:color w:val="auto"/>
                <w:w w:val="96"/>
              </w:rPr>
              <w:t>Current</w:t>
            </w:r>
          </w:p>
        </w:tc>
      </w:tr>
      <w:tr>
        <w:trPr>
          <w:trHeight w:val="270"/>
        </w:trPr>
        <w:tc>
          <w:tcPr>
            <w:tcW w:w="400" w:type="dxa"/>
            <w:vAlign w:val="bottom"/>
          </w:tcPr>
          <w:p>
            <w:pPr>
              <w:spacing w:after="0"/>
              <w:rPr>
                <w:sz w:val="23"/>
                <w:szCs w:val="23"/>
                <w:color w:val="auto"/>
              </w:rPr>
            </w:pPr>
          </w:p>
        </w:tc>
        <w:tc>
          <w:tcPr>
            <w:tcW w:w="4360" w:type="dxa"/>
            <w:vAlign w:val="bottom"/>
          </w:tcPr>
          <w:p>
            <w:pPr>
              <w:jc w:val="center"/>
              <w:ind w:left="939"/>
              <w:spacing w:after="0"/>
              <w:rPr>
                <w:sz w:val="20"/>
                <w:szCs w:val="20"/>
                <w:color w:val="auto"/>
              </w:rPr>
            </w:pPr>
            <w:r>
              <w:rPr>
                <w:rFonts w:ascii="Arial" w:cs="Arial" w:eastAsia="Arial" w:hAnsi="Arial"/>
                <w:sz w:val="16"/>
                <w:szCs w:val="16"/>
                <w:b w:val="1"/>
                <w:bCs w:val="1"/>
                <w:color w:val="auto"/>
                <w:w w:val="96"/>
              </w:rPr>
              <w:t>Similar Party</w:t>
            </w:r>
          </w:p>
        </w:tc>
        <w:tc>
          <w:tcPr>
            <w:tcW w:w="2100" w:type="dxa"/>
            <w:vAlign w:val="bottom"/>
          </w:tcPr>
          <w:p>
            <w:pPr>
              <w:spacing w:after="0"/>
              <w:rPr>
                <w:sz w:val="23"/>
                <w:szCs w:val="23"/>
                <w:color w:val="auto"/>
              </w:rPr>
            </w:pPr>
          </w:p>
        </w:tc>
        <w:tc>
          <w:tcPr>
            <w:tcW w:w="2820" w:type="dxa"/>
            <w:vAlign w:val="bottom"/>
          </w:tcPr>
          <w:p>
            <w:pPr>
              <w:jc w:val="center"/>
              <w:ind w:right="619"/>
              <w:spacing w:after="0"/>
              <w:rPr>
                <w:sz w:val="20"/>
                <w:szCs w:val="20"/>
                <w:color w:val="auto"/>
              </w:rPr>
            </w:pPr>
            <w:r>
              <w:rPr>
                <w:rFonts w:ascii="Arial" w:cs="Arial" w:eastAsia="Arial" w:hAnsi="Arial"/>
                <w:sz w:val="16"/>
                <w:szCs w:val="16"/>
                <w:b w:val="1"/>
                <w:bCs w:val="1"/>
                <w:color w:val="auto"/>
                <w:w w:val="94"/>
              </w:rPr>
              <w:t>Par, or Maturity Value</w:t>
            </w:r>
          </w:p>
        </w:tc>
        <w:tc>
          <w:tcPr>
            <w:tcW w:w="1700" w:type="dxa"/>
            <w:vAlign w:val="bottom"/>
          </w:tcPr>
          <w:p>
            <w:pPr>
              <w:jc w:val="center"/>
              <w:ind w:left="399"/>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AGILENT TECHNOLOGIES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19,692</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AIR PRODS &amp; CHEMS INC COM</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59,279</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AIRGAS INC COM</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11,288</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AK STL HLDG CORP COM</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15,022</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ALASKA AIR GROUP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23,426</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ALCOA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144,131</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ALERE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27,246</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ALLEGHENY TECHNOLOGIES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20,236</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ALLERGAN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20,621</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ALLIANT ENERGY CORPORATION</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23,712</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ALLIANT TECHSYSTEMS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20,228</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ALLSTATE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79,874</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ALPHA NAT RES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4,175</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ALTERA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18,211</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ALTRIA GROUP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250,144</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AMAZON COM INC COM</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42,208</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AMEDISYS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13,119</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AMEREN CORP COM</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69,333</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AMERICAN AIRLS GROUP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31,749</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AMERICAN EAGLE OUTFITTERS INC NEW</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18,849</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AMERICAN ELECTRIC POWER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93,812</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AMERICAN EQUITY INVT LIFE HLDG CO</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19,119</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AMERICAN EXPRESS CO</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98,808</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AMERICAN FINL GROUP INC OHIO COM</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28,296</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AMERICAN INTERNATIONAL GROUP,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83,511</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AMERICAN WATER WORKS CO INC/NE</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11,833</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AMERIPRISE FINL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42,320</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AMERISOURCEBERGEN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30,294</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AMGEN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140,494</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AMKOR TECHNOLOGIES INC COM</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12,297</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AMSURG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10,946</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ANADARKO PETROLEUM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45,210</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ANALOG DEVICES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16,434</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ANIXTER INTL INC COM</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22,557</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ANN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8,317</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ANNALY CAPITAL MANAGEMENT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64,384</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ANTHEM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195,794</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AOL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28,579</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APACHE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49,071</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APARTMENT INVT &amp; MGMT CO CL A</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22,624</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APOLLO EDUCATION GROUP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100,045</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APPLE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583,469</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APPLIED MATERIALS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124,127</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ARCHER DANIELS MIDLAND CO</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26,000</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ARMSTRONG WORLD INDUSTRIES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16,461</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ARRIS GROUP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7,608</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ARROW ELECTRS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59,800</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ASHFORD HOSPITALITY TRUST</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6,057</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400" w:type="dxa"/>
            <w:vAlign w:val="bottom"/>
            <w:shd w:val="clear" w:color="auto" w:fill="CCEEFF"/>
          </w:tcPr>
          <w:p>
            <w:pPr>
              <w:spacing w:after="0"/>
              <w:rPr>
                <w:sz w:val="20"/>
                <w:szCs w:val="20"/>
                <w:color w:val="auto"/>
              </w:rPr>
            </w:pPr>
          </w:p>
        </w:tc>
        <w:tc>
          <w:tcPr>
            <w:tcW w:w="4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ASHFORD INC</w:t>
            </w:r>
          </w:p>
        </w:tc>
        <w:tc>
          <w:tcPr>
            <w:tcW w:w="2100" w:type="dxa"/>
            <w:vAlign w:val="bottom"/>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shd w:val="clear" w:color="auto" w:fill="CCEEFF"/>
          </w:tcPr>
          <w:p>
            <w:pPr>
              <w:spacing w:after="0"/>
              <w:rPr>
                <w:sz w:val="20"/>
                <w:szCs w:val="20"/>
                <w:color w:val="auto"/>
              </w:rPr>
            </w:pP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564</w:t>
            </w:r>
          </w:p>
        </w:tc>
      </w:tr>
      <w:tr>
        <w:trPr>
          <w:trHeight w:val="33"/>
        </w:trPr>
        <w:tc>
          <w:tcPr>
            <w:tcW w:w="40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28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ectPr>
          <w:pgSz w:w="11900" w:h="16838" w:orient="portrait"/>
          <w:cols w:equalWidth="0" w:num="1">
            <w:col w:w="11380"/>
          </w:cols>
          <w:pgMar w:left="260" w:top="301" w:right="259"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00" w:type="dxa"/>
            <w:vAlign w:val="bottom"/>
          </w:tcPr>
          <w:p>
            <w:pPr>
              <w:ind w:left="480"/>
              <w:spacing w:after="0"/>
              <w:rPr>
                <w:sz w:val="20"/>
                <w:szCs w:val="20"/>
                <w:color w:val="auto"/>
              </w:rPr>
            </w:pPr>
            <w:r>
              <w:rPr>
                <w:rFonts w:ascii="Arial" w:cs="Arial" w:eastAsia="Arial" w:hAnsi="Arial"/>
                <w:sz w:val="16"/>
                <w:szCs w:val="16"/>
                <w:color w:val="auto"/>
              </w:rPr>
              <w:t>ASSURANT INC</w:t>
            </w:r>
          </w:p>
        </w:tc>
        <w:tc>
          <w:tcPr>
            <w:tcW w:w="4640" w:type="dxa"/>
            <w:vAlign w:val="bottom"/>
          </w:tcPr>
          <w:p>
            <w:pPr>
              <w:ind w:left="1620"/>
              <w:spacing w:after="0"/>
              <w:rPr>
                <w:sz w:val="20"/>
                <w:szCs w:val="20"/>
                <w:color w:val="auto"/>
              </w:rPr>
            </w:pPr>
            <w:r>
              <w:rPr>
                <w:rFonts w:ascii="Arial" w:cs="Arial" w:eastAsia="Arial" w:hAnsi="Arial"/>
                <w:sz w:val="16"/>
                <w:szCs w:val="16"/>
                <w:color w:val="auto"/>
              </w:rPr>
              <w:t>Common Stock</w:t>
            </w:r>
          </w:p>
        </w:tc>
        <w:tc>
          <w:tcPr>
            <w:tcW w:w="2640" w:type="dxa"/>
            <w:vAlign w:val="bottom"/>
          </w:tcPr>
          <w:p>
            <w:pPr>
              <w:jc w:val="right"/>
              <w:ind w:right="19"/>
              <w:spacing w:after="0"/>
              <w:rPr>
                <w:sz w:val="20"/>
                <w:szCs w:val="20"/>
                <w:color w:val="auto"/>
              </w:rPr>
            </w:pPr>
            <w:r>
              <w:rPr>
                <w:rFonts w:ascii="Arial" w:cs="Arial" w:eastAsia="Arial" w:hAnsi="Arial"/>
                <w:sz w:val="16"/>
                <w:szCs w:val="16"/>
                <w:color w:val="auto"/>
              </w:rPr>
              <w:t>32,915</w:t>
            </w:r>
          </w:p>
        </w:tc>
      </w:tr>
      <w:tr>
        <w:trPr>
          <w:trHeight w:val="47"/>
        </w:trPr>
        <w:tc>
          <w:tcPr>
            <w:tcW w:w="4100" w:type="dxa"/>
            <w:vAlign w:val="bottom"/>
          </w:tcPr>
          <w:p>
            <w:pPr>
              <w:spacing w:after="0"/>
              <w:rPr>
                <w:sz w:val="4"/>
                <w:szCs w:val="4"/>
                <w:color w:val="auto"/>
              </w:rPr>
            </w:pPr>
          </w:p>
        </w:tc>
        <w:tc>
          <w:tcPr>
            <w:tcW w:w="4640" w:type="dxa"/>
            <w:vAlign w:val="bottom"/>
          </w:tcPr>
          <w:p>
            <w:pPr>
              <w:spacing w:after="0"/>
              <w:rPr>
                <w:sz w:val="4"/>
                <w:szCs w:val="4"/>
                <w:color w:val="auto"/>
              </w:rPr>
            </w:pPr>
          </w:p>
        </w:tc>
        <w:tc>
          <w:tcPr>
            <w:tcW w:w="2640" w:type="dxa"/>
            <w:vAlign w:val="bottom"/>
          </w:tcPr>
          <w:p>
            <w:pPr>
              <w:spacing w:after="0"/>
              <w:rPr>
                <w:sz w:val="4"/>
                <w:szCs w:val="4"/>
                <w:color w:val="auto"/>
              </w:rPr>
            </w:pPr>
          </w:p>
        </w:tc>
      </w:tr>
      <w:tr>
        <w:trPr>
          <w:trHeight w:val="250"/>
        </w:trPr>
        <w:tc>
          <w:tcPr>
            <w:tcW w:w="4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ASTORIA FINL CORP COM</w:t>
            </w:r>
          </w:p>
        </w:tc>
        <w:tc>
          <w:tcPr>
            <w:tcW w:w="464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6"/>
                <w:szCs w:val="16"/>
                <w:color w:val="auto"/>
              </w:rPr>
              <w:t>Common Stock</w:t>
            </w:r>
          </w:p>
        </w:tc>
        <w:tc>
          <w:tcPr>
            <w:tcW w:w="2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8,844</w:t>
            </w:r>
          </w:p>
        </w:tc>
      </w:tr>
      <w:tr>
        <w:trPr>
          <w:trHeight w:val="237"/>
        </w:trPr>
        <w:tc>
          <w:tcPr>
            <w:tcW w:w="4100" w:type="dxa"/>
            <w:vAlign w:val="bottom"/>
          </w:tcPr>
          <w:p>
            <w:pPr>
              <w:ind w:left="480"/>
              <w:spacing w:after="0"/>
              <w:rPr>
                <w:sz w:val="20"/>
                <w:szCs w:val="20"/>
                <w:color w:val="auto"/>
              </w:rPr>
            </w:pPr>
            <w:r>
              <w:rPr>
                <w:rFonts w:ascii="Arial" w:cs="Arial" w:eastAsia="Arial" w:hAnsi="Arial"/>
                <w:sz w:val="16"/>
                <w:szCs w:val="16"/>
                <w:color w:val="auto"/>
              </w:rPr>
              <w:t>AT &amp; T INC</w:t>
            </w:r>
          </w:p>
        </w:tc>
        <w:tc>
          <w:tcPr>
            <w:tcW w:w="4640" w:type="dxa"/>
            <w:vAlign w:val="bottom"/>
          </w:tcPr>
          <w:p>
            <w:pPr>
              <w:ind w:left="1620"/>
              <w:spacing w:after="0"/>
              <w:rPr>
                <w:sz w:val="20"/>
                <w:szCs w:val="20"/>
                <w:color w:val="auto"/>
              </w:rPr>
            </w:pPr>
            <w:r>
              <w:rPr>
                <w:rFonts w:ascii="Arial" w:cs="Arial" w:eastAsia="Arial" w:hAnsi="Arial"/>
                <w:sz w:val="16"/>
                <w:szCs w:val="16"/>
                <w:color w:val="auto"/>
              </w:rPr>
              <w:t>Common Stock</w:t>
            </w:r>
          </w:p>
        </w:tc>
        <w:tc>
          <w:tcPr>
            <w:tcW w:w="2640" w:type="dxa"/>
            <w:vAlign w:val="bottom"/>
          </w:tcPr>
          <w:p>
            <w:pPr>
              <w:jc w:val="right"/>
              <w:ind w:right="19"/>
              <w:spacing w:after="0"/>
              <w:rPr>
                <w:sz w:val="20"/>
                <w:szCs w:val="20"/>
                <w:color w:val="auto"/>
              </w:rPr>
            </w:pPr>
            <w:r>
              <w:rPr>
                <w:rFonts w:ascii="Arial" w:cs="Arial" w:eastAsia="Arial" w:hAnsi="Arial"/>
                <w:sz w:val="16"/>
                <w:szCs w:val="16"/>
                <w:color w:val="auto"/>
              </w:rPr>
              <w:t>685,908</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60" w:top="130" w:right="259" w:bottom="1440" w:gutter="0" w:footer="0" w:header="0"/>
        </w:sectPr>
      </w:pPr>
    </w:p>
    <w:bookmarkStart w:id="23" w:name="page24"/>
    <w:bookmarkEnd w:id="23"/>
    <w:p>
      <w:pPr>
        <w:ind w:left="40"/>
        <w:spacing w:after="0"/>
        <w:rPr>
          <w:sz w:val="20"/>
          <w:szCs w:val="20"/>
          <w:color w:val="auto"/>
        </w:rPr>
      </w:pPr>
      <w:r>
        <w:rPr>
          <w:rFonts w:ascii="Arial" w:cs="Arial" w:eastAsia="Arial" w:hAnsi="Arial"/>
          <w:sz w:val="16"/>
          <w:szCs w:val="16"/>
          <w:b w:val="1"/>
          <w:bCs w:val="1"/>
          <w:color w:val="auto"/>
        </w:rPr>
        <w:t>WESCO Distribution, Inc.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Retirement Savings Plan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Schedule H (Form 5500), line 4(i) - Schedule of Assets (Held at End of Year)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EIN 25-1723345, Plan Number 001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2014</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 w:type="dxa"/>
            <w:vAlign w:val="bottom"/>
          </w:tcPr>
          <w:p>
            <w:pPr>
              <w:ind w:left="160"/>
              <w:spacing w:after="0"/>
              <w:rPr>
                <w:sz w:val="20"/>
                <w:szCs w:val="20"/>
                <w:color w:val="auto"/>
              </w:rPr>
            </w:pPr>
            <w:r>
              <w:rPr>
                <w:rFonts w:ascii="Arial" w:cs="Arial" w:eastAsia="Arial" w:hAnsi="Arial"/>
                <w:sz w:val="14"/>
                <w:szCs w:val="14"/>
                <w:b w:val="1"/>
                <w:bCs w:val="1"/>
                <w:color w:val="auto"/>
              </w:rPr>
              <w:t>(a)</w:t>
            </w:r>
          </w:p>
        </w:tc>
        <w:tc>
          <w:tcPr>
            <w:tcW w:w="4320" w:type="dxa"/>
            <w:vAlign w:val="bottom"/>
          </w:tcPr>
          <w:p>
            <w:pPr>
              <w:jc w:val="center"/>
              <w:ind w:left="980"/>
              <w:spacing w:after="0"/>
              <w:rPr>
                <w:sz w:val="20"/>
                <w:szCs w:val="20"/>
                <w:color w:val="auto"/>
              </w:rPr>
            </w:pPr>
            <w:r>
              <w:rPr>
                <w:rFonts w:ascii="Arial" w:cs="Arial" w:eastAsia="Arial" w:hAnsi="Arial"/>
                <w:sz w:val="14"/>
                <w:szCs w:val="14"/>
                <w:b w:val="1"/>
                <w:bCs w:val="1"/>
                <w:color w:val="auto"/>
              </w:rPr>
              <w:t>(b)</w:t>
            </w:r>
          </w:p>
        </w:tc>
        <w:tc>
          <w:tcPr>
            <w:tcW w:w="2220" w:type="dxa"/>
            <w:vAlign w:val="bottom"/>
          </w:tcPr>
          <w:p>
            <w:pPr>
              <w:spacing w:after="0"/>
              <w:rPr>
                <w:sz w:val="16"/>
                <w:szCs w:val="16"/>
                <w:color w:val="auto"/>
              </w:rPr>
            </w:pPr>
          </w:p>
        </w:tc>
        <w:tc>
          <w:tcPr>
            <w:tcW w:w="2720" w:type="dxa"/>
            <w:vAlign w:val="bottom"/>
          </w:tcPr>
          <w:p>
            <w:pPr>
              <w:jc w:val="center"/>
              <w:ind w:right="648"/>
              <w:spacing w:after="0"/>
              <w:rPr>
                <w:sz w:val="20"/>
                <w:szCs w:val="20"/>
                <w:color w:val="auto"/>
              </w:rPr>
            </w:pPr>
            <w:r>
              <w:rPr>
                <w:rFonts w:ascii="Arial" w:cs="Arial" w:eastAsia="Arial" w:hAnsi="Arial"/>
                <w:sz w:val="14"/>
                <w:szCs w:val="14"/>
                <w:b w:val="1"/>
                <w:bCs w:val="1"/>
                <w:color w:val="auto"/>
                <w:w w:val="93"/>
              </w:rPr>
              <w:t>(c)</w:t>
            </w:r>
          </w:p>
        </w:tc>
        <w:tc>
          <w:tcPr>
            <w:tcW w:w="1760" w:type="dxa"/>
            <w:vAlign w:val="bottom"/>
          </w:tcPr>
          <w:p>
            <w:pPr>
              <w:jc w:val="center"/>
              <w:ind w:left="439"/>
              <w:spacing w:after="0"/>
              <w:rPr>
                <w:sz w:val="20"/>
                <w:szCs w:val="20"/>
                <w:color w:val="auto"/>
              </w:rPr>
            </w:pPr>
            <w:r>
              <w:rPr>
                <w:rFonts w:ascii="Arial" w:cs="Arial" w:eastAsia="Arial" w:hAnsi="Arial"/>
                <w:sz w:val="14"/>
                <w:szCs w:val="14"/>
                <w:b w:val="1"/>
                <w:bCs w:val="1"/>
                <w:color w:val="auto"/>
                <w:w w:val="89"/>
              </w:rPr>
              <w:t>(d)</w:t>
            </w:r>
          </w:p>
        </w:tc>
      </w:tr>
      <w:tr>
        <w:trPr>
          <w:trHeight w:val="270"/>
        </w:trPr>
        <w:tc>
          <w:tcPr>
            <w:tcW w:w="40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2720" w:type="dxa"/>
            <w:vAlign w:val="bottom"/>
          </w:tcPr>
          <w:p>
            <w:pPr>
              <w:jc w:val="center"/>
              <w:ind w:right="628"/>
              <w:spacing w:after="0"/>
              <w:rPr>
                <w:sz w:val="20"/>
                <w:szCs w:val="20"/>
                <w:color w:val="auto"/>
              </w:rPr>
            </w:pPr>
            <w:r>
              <w:rPr>
                <w:rFonts w:ascii="Arial" w:cs="Arial" w:eastAsia="Arial" w:hAnsi="Arial"/>
                <w:sz w:val="14"/>
                <w:szCs w:val="14"/>
                <w:b w:val="1"/>
                <w:bCs w:val="1"/>
                <w:color w:val="auto"/>
                <w:w w:val="91"/>
              </w:rPr>
              <w:t>Description of Investment</w:t>
            </w:r>
          </w:p>
        </w:tc>
        <w:tc>
          <w:tcPr>
            <w:tcW w:w="176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320" w:type="dxa"/>
            <w:vAlign w:val="bottom"/>
          </w:tcPr>
          <w:p>
            <w:pPr>
              <w:jc w:val="center"/>
              <w:ind w:left="980"/>
              <w:spacing w:after="0"/>
              <w:rPr>
                <w:sz w:val="20"/>
                <w:szCs w:val="20"/>
                <w:color w:val="auto"/>
              </w:rPr>
            </w:pPr>
            <w:r>
              <w:rPr>
                <w:rFonts w:ascii="Arial" w:cs="Arial" w:eastAsia="Arial" w:hAnsi="Arial"/>
                <w:sz w:val="14"/>
                <w:szCs w:val="14"/>
                <w:b w:val="1"/>
                <w:bCs w:val="1"/>
                <w:color w:val="auto"/>
                <w:w w:val="92"/>
              </w:rPr>
              <w:t>Identity of Issue,</w:t>
            </w:r>
          </w:p>
        </w:tc>
        <w:tc>
          <w:tcPr>
            <w:tcW w:w="2220" w:type="dxa"/>
            <w:vAlign w:val="bottom"/>
          </w:tcPr>
          <w:p>
            <w:pPr>
              <w:spacing w:after="0"/>
              <w:rPr>
                <w:sz w:val="23"/>
                <w:szCs w:val="23"/>
                <w:color w:val="auto"/>
              </w:rPr>
            </w:pPr>
          </w:p>
        </w:tc>
        <w:tc>
          <w:tcPr>
            <w:tcW w:w="2720" w:type="dxa"/>
            <w:vAlign w:val="bottom"/>
          </w:tcPr>
          <w:p>
            <w:pPr>
              <w:jc w:val="center"/>
              <w:ind w:right="628"/>
              <w:spacing w:after="0"/>
              <w:rPr>
                <w:sz w:val="20"/>
                <w:szCs w:val="20"/>
                <w:color w:val="auto"/>
              </w:rPr>
            </w:pPr>
            <w:r>
              <w:rPr>
                <w:rFonts w:ascii="Arial" w:cs="Arial" w:eastAsia="Arial" w:hAnsi="Arial"/>
                <w:sz w:val="14"/>
                <w:szCs w:val="14"/>
                <w:b w:val="1"/>
                <w:bCs w:val="1"/>
                <w:color w:val="auto"/>
                <w:w w:val="97"/>
              </w:rPr>
              <w:t>Including Maturity Date,</w:t>
            </w:r>
          </w:p>
        </w:tc>
        <w:tc>
          <w:tcPr>
            <w:tcW w:w="176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320" w:type="dxa"/>
            <w:vAlign w:val="bottom"/>
          </w:tcPr>
          <w:p>
            <w:pPr>
              <w:jc w:val="center"/>
              <w:ind w:left="1000"/>
              <w:spacing w:after="0"/>
              <w:rPr>
                <w:sz w:val="20"/>
                <w:szCs w:val="20"/>
                <w:color w:val="auto"/>
              </w:rPr>
            </w:pPr>
            <w:r>
              <w:rPr>
                <w:rFonts w:ascii="Arial" w:cs="Arial" w:eastAsia="Arial" w:hAnsi="Arial"/>
                <w:sz w:val="14"/>
                <w:szCs w:val="14"/>
                <w:b w:val="1"/>
                <w:bCs w:val="1"/>
                <w:color w:val="auto"/>
                <w:w w:val="92"/>
              </w:rPr>
              <w:t>Borrower, Lessor or</w:t>
            </w:r>
          </w:p>
        </w:tc>
        <w:tc>
          <w:tcPr>
            <w:tcW w:w="2220" w:type="dxa"/>
            <w:vAlign w:val="bottom"/>
          </w:tcPr>
          <w:p>
            <w:pPr>
              <w:spacing w:after="0"/>
              <w:rPr>
                <w:sz w:val="23"/>
                <w:szCs w:val="23"/>
                <w:color w:val="auto"/>
              </w:rPr>
            </w:pPr>
          </w:p>
        </w:tc>
        <w:tc>
          <w:tcPr>
            <w:tcW w:w="2720" w:type="dxa"/>
            <w:vAlign w:val="bottom"/>
          </w:tcPr>
          <w:p>
            <w:pPr>
              <w:jc w:val="center"/>
              <w:ind w:right="648"/>
              <w:spacing w:after="0"/>
              <w:rPr>
                <w:sz w:val="20"/>
                <w:szCs w:val="20"/>
                <w:color w:val="auto"/>
              </w:rPr>
            </w:pPr>
            <w:r>
              <w:rPr>
                <w:rFonts w:ascii="Arial" w:cs="Arial" w:eastAsia="Arial" w:hAnsi="Arial"/>
                <w:sz w:val="14"/>
                <w:szCs w:val="14"/>
                <w:b w:val="1"/>
                <w:bCs w:val="1"/>
                <w:color w:val="auto"/>
                <w:w w:val="94"/>
              </w:rPr>
              <w:t>Rate of Interest, Collateral,</w:t>
            </w:r>
          </w:p>
        </w:tc>
        <w:tc>
          <w:tcPr>
            <w:tcW w:w="1760" w:type="dxa"/>
            <w:vAlign w:val="bottom"/>
          </w:tcPr>
          <w:p>
            <w:pPr>
              <w:jc w:val="center"/>
              <w:ind w:left="419"/>
              <w:spacing w:after="0"/>
              <w:rPr>
                <w:sz w:val="20"/>
                <w:szCs w:val="20"/>
                <w:color w:val="auto"/>
              </w:rPr>
            </w:pPr>
            <w:r>
              <w:rPr>
                <w:rFonts w:ascii="Arial" w:cs="Arial" w:eastAsia="Arial" w:hAnsi="Arial"/>
                <w:sz w:val="14"/>
                <w:szCs w:val="14"/>
                <w:b w:val="1"/>
                <w:bCs w:val="1"/>
                <w:color w:val="auto"/>
                <w:w w:val="98"/>
              </w:rPr>
              <w:t>Current</w:t>
            </w:r>
          </w:p>
        </w:tc>
      </w:tr>
      <w:tr>
        <w:trPr>
          <w:trHeight w:val="276"/>
        </w:trPr>
        <w:tc>
          <w:tcPr>
            <w:tcW w:w="400" w:type="dxa"/>
            <w:vAlign w:val="bottom"/>
          </w:tcPr>
          <w:p>
            <w:pPr>
              <w:spacing w:after="0"/>
              <w:rPr>
                <w:sz w:val="24"/>
                <w:szCs w:val="24"/>
                <w:color w:val="auto"/>
              </w:rPr>
            </w:pPr>
          </w:p>
        </w:tc>
        <w:tc>
          <w:tcPr>
            <w:tcW w:w="4320" w:type="dxa"/>
            <w:vAlign w:val="bottom"/>
          </w:tcPr>
          <w:p>
            <w:pPr>
              <w:jc w:val="center"/>
              <w:ind w:left="1000"/>
              <w:spacing w:after="0"/>
              <w:rPr>
                <w:sz w:val="20"/>
                <w:szCs w:val="20"/>
                <w:color w:val="auto"/>
              </w:rPr>
            </w:pPr>
            <w:r>
              <w:rPr>
                <w:rFonts w:ascii="Arial" w:cs="Arial" w:eastAsia="Arial" w:hAnsi="Arial"/>
                <w:sz w:val="14"/>
                <w:szCs w:val="14"/>
                <w:b w:val="1"/>
                <w:bCs w:val="1"/>
                <w:color w:val="auto"/>
                <w:w w:val="98"/>
              </w:rPr>
              <w:t>Similar Party</w:t>
            </w:r>
          </w:p>
        </w:tc>
        <w:tc>
          <w:tcPr>
            <w:tcW w:w="2220" w:type="dxa"/>
            <w:vAlign w:val="bottom"/>
          </w:tcPr>
          <w:p>
            <w:pPr>
              <w:spacing w:after="0"/>
              <w:rPr>
                <w:sz w:val="24"/>
                <w:szCs w:val="24"/>
                <w:color w:val="auto"/>
              </w:rPr>
            </w:pPr>
          </w:p>
        </w:tc>
        <w:tc>
          <w:tcPr>
            <w:tcW w:w="2720" w:type="dxa"/>
            <w:vAlign w:val="bottom"/>
          </w:tcPr>
          <w:p>
            <w:pPr>
              <w:jc w:val="center"/>
              <w:ind w:right="628"/>
              <w:spacing w:after="0"/>
              <w:rPr>
                <w:sz w:val="20"/>
                <w:szCs w:val="20"/>
                <w:color w:val="auto"/>
              </w:rPr>
            </w:pPr>
            <w:r>
              <w:rPr>
                <w:rFonts w:ascii="Arial" w:cs="Arial" w:eastAsia="Arial" w:hAnsi="Arial"/>
                <w:sz w:val="14"/>
                <w:szCs w:val="14"/>
                <w:b w:val="1"/>
                <w:bCs w:val="1"/>
                <w:color w:val="auto"/>
                <w:w w:val="95"/>
              </w:rPr>
              <w:t>Par, or Maturity Value</w:t>
            </w:r>
          </w:p>
        </w:tc>
        <w:tc>
          <w:tcPr>
            <w:tcW w:w="1760" w:type="dxa"/>
            <w:vAlign w:val="bottom"/>
          </w:tcPr>
          <w:p>
            <w:pPr>
              <w:jc w:val="center"/>
              <w:ind w:left="439"/>
              <w:spacing w:after="0"/>
              <w:rPr>
                <w:sz w:val="20"/>
                <w:szCs w:val="20"/>
                <w:color w:val="auto"/>
              </w:rPr>
            </w:pPr>
            <w:r>
              <w:rPr>
                <w:rFonts w:ascii="Arial" w:cs="Arial" w:eastAsia="Arial" w:hAnsi="Arial"/>
                <w:sz w:val="14"/>
                <w:szCs w:val="14"/>
                <w:b w:val="1"/>
                <w:bCs w:val="1"/>
                <w:color w:val="auto"/>
                <w:w w:val="96"/>
              </w:rPr>
              <w:t>Value</w:t>
            </w:r>
          </w:p>
        </w:tc>
      </w:tr>
      <w:tr>
        <w:trPr>
          <w:trHeight w:val="256"/>
        </w:trPr>
        <w:tc>
          <w:tcPr>
            <w:tcW w:w="400" w:type="dxa"/>
            <w:vAlign w:val="bottom"/>
            <w:tcBorders>
              <w:bottom w:val="single" w:sz="8" w:color="CCEEFF"/>
            </w:tcBorders>
            <w:shd w:val="clear" w:color="auto" w:fill="CCEEFF"/>
          </w:tcPr>
          <w:p>
            <w:pPr>
              <w:spacing w:after="0"/>
              <w:rPr>
                <w:sz w:val="22"/>
                <w:szCs w:val="22"/>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ATMEL CORP</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6,279</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ATMOS ENERGY CORP</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20,568</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AUTODESK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16,997</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AUTOMATIC DATA PROCESSING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98,960</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AUTOZONE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5,572</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AVERY DENNISON CORP</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19,974</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AVIS BUDGET GROUP</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85,566</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AVISTA CORP</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13,398</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AVNET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46,677</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AVON PRODS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10,282</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B B &amp; T CORP COM</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48,379</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BABCOCK &amp; WILCOX CO</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9,605</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BAKER HUGHES INC COM</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57,191</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BANCORPSOUTH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7,788</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BANK HAWAII CORP</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8,363</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BANK NEW YORK MELLON CORP COM</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128,120</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BANK OF AMERICA CORP</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459,004</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BARNES &amp; NOBLE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23,081</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BARRETT BILL CORP</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6,993</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BASIC ENERGY SVCS INC NEW</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2,685</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BAXTER INTL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86,482</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BECTON DICKINSON &amp; CO</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77,373</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BED BATH &amp; BEYOND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26,964</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BEMIS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16,230</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BENCHMARK ELECTRS INC COM</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14,628</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BERKLEY W R CORP</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9,688</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BERKSHIRE HATHAWAY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178,528</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BEST BUY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87,705</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BIG LOTS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28,134</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BIO RAD LABS INC CL A</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5,064</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BIOGEN IDEC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21,725</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BLACKROCK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34,326</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BLOCK H &amp; R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10,710</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BLOOMIN BRANDS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13,568</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BOB EVANS FARMS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13,102</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BOEING CO</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103,854</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BOOZ ALLEN HAMILTON HOLDING CO</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9,100</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BOSTON SCIENTIFIC CORP COM</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106,013</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BOYD GAMING CORP COM</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11,093</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BRANDYWINE RLTY TR BD</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5,561</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BRINKER INTL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27,173</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BRINKS CO</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8,544</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BRISTOL MYERS SQUIBB CO</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246,686</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BROADCOM CORPORATION COM</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14,906</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BROADRIDGE FINANCIAL SOLUTIONS</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8,543</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BROCADE COMMUNICATIONS SYSTEMS</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44,826</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BROWN SHOE INC NEW</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12,603</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BURLINGTON STORES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7,562</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400" w:type="dxa"/>
            <w:vAlign w:val="bottom"/>
            <w:shd w:val="clear" w:color="auto" w:fill="CCEEFF"/>
          </w:tcPr>
          <w:p>
            <w:pPr>
              <w:spacing w:after="0"/>
              <w:rPr>
                <w:sz w:val="20"/>
                <w:szCs w:val="20"/>
                <w:color w:val="auto"/>
              </w:rPr>
            </w:pPr>
          </w:p>
        </w:tc>
        <w:tc>
          <w:tcPr>
            <w:tcW w:w="4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 INC</w:t>
            </w:r>
          </w:p>
        </w:tc>
        <w:tc>
          <w:tcPr>
            <w:tcW w:w="222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43,483</w:t>
            </w:r>
          </w:p>
        </w:tc>
      </w:tr>
      <w:tr>
        <w:trPr>
          <w:trHeight w:val="33"/>
        </w:trPr>
        <w:tc>
          <w:tcPr>
            <w:tcW w:w="40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301" w:right="239"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640" w:type="dxa"/>
            <w:vAlign w:val="bottom"/>
          </w:tcPr>
          <w:p>
            <w:pPr>
              <w:ind w:left="500"/>
              <w:spacing w:after="0"/>
              <w:rPr>
                <w:sz w:val="20"/>
                <w:szCs w:val="20"/>
                <w:color w:val="auto"/>
              </w:rPr>
            </w:pPr>
            <w:r>
              <w:rPr>
                <w:rFonts w:ascii="Arial" w:cs="Arial" w:eastAsia="Arial" w:hAnsi="Arial"/>
                <w:sz w:val="16"/>
                <w:szCs w:val="16"/>
                <w:color w:val="auto"/>
              </w:rPr>
              <w:t>CABLEVISION SYSTEMS-NY GRP-A</w:t>
            </w:r>
          </w:p>
        </w:tc>
        <w:tc>
          <w:tcPr>
            <w:tcW w:w="4180" w:type="dxa"/>
            <w:vAlign w:val="bottom"/>
          </w:tcPr>
          <w:p>
            <w:pPr>
              <w:ind w:left="1100"/>
              <w:spacing w:after="0"/>
              <w:rPr>
                <w:sz w:val="20"/>
                <w:szCs w:val="20"/>
                <w:color w:val="auto"/>
              </w:rPr>
            </w:pPr>
            <w:r>
              <w:rPr>
                <w:rFonts w:ascii="Arial" w:cs="Arial" w:eastAsia="Arial" w:hAnsi="Arial"/>
                <w:sz w:val="16"/>
                <w:szCs w:val="16"/>
                <w:color w:val="auto"/>
              </w:rPr>
              <w:t>Common Stock</w:t>
            </w:r>
          </w:p>
        </w:tc>
        <w:tc>
          <w:tcPr>
            <w:tcW w:w="2600" w:type="dxa"/>
            <w:vAlign w:val="bottom"/>
          </w:tcPr>
          <w:p>
            <w:pPr>
              <w:jc w:val="right"/>
              <w:ind w:right="19"/>
              <w:spacing w:after="0"/>
              <w:rPr>
                <w:sz w:val="20"/>
                <w:szCs w:val="20"/>
                <w:color w:val="auto"/>
              </w:rPr>
            </w:pPr>
            <w:r>
              <w:rPr>
                <w:rFonts w:ascii="Arial" w:cs="Arial" w:eastAsia="Arial" w:hAnsi="Arial"/>
                <w:sz w:val="16"/>
                <w:szCs w:val="16"/>
                <w:color w:val="auto"/>
              </w:rPr>
              <w:t>44,624</w:t>
            </w:r>
          </w:p>
        </w:tc>
      </w:tr>
      <w:tr>
        <w:trPr>
          <w:trHeight w:val="47"/>
        </w:trPr>
        <w:tc>
          <w:tcPr>
            <w:tcW w:w="4640" w:type="dxa"/>
            <w:vAlign w:val="bottom"/>
          </w:tcPr>
          <w:p>
            <w:pPr>
              <w:spacing w:after="0"/>
              <w:rPr>
                <w:sz w:val="4"/>
                <w:szCs w:val="4"/>
                <w:color w:val="auto"/>
              </w:rPr>
            </w:pPr>
          </w:p>
        </w:tc>
        <w:tc>
          <w:tcPr>
            <w:tcW w:w="4180" w:type="dxa"/>
            <w:vAlign w:val="bottom"/>
          </w:tcPr>
          <w:p>
            <w:pPr>
              <w:spacing w:after="0"/>
              <w:rPr>
                <w:sz w:val="4"/>
                <w:szCs w:val="4"/>
                <w:color w:val="auto"/>
              </w:rPr>
            </w:pPr>
          </w:p>
        </w:tc>
        <w:tc>
          <w:tcPr>
            <w:tcW w:w="2600" w:type="dxa"/>
            <w:vAlign w:val="bottom"/>
          </w:tcPr>
          <w:p>
            <w:pPr>
              <w:spacing w:after="0"/>
              <w:rPr>
                <w:sz w:val="4"/>
                <w:szCs w:val="4"/>
                <w:color w:val="auto"/>
              </w:rPr>
            </w:pPr>
          </w:p>
        </w:tc>
      </w:tr>
      <w:tr>
        <w:trPr>
          <w:trHeight w:val="250"/>
        </w:trPr>
        <w:tc>
          <w:tcPr>
            <w:tcW w:w="4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CACI INTL INC FORMERLY CACI INC TO</w:t>
            </w:r>
          </w:p>
        </w:tc>
        <w:tc>
          <w:tcPr>
            <w:tcW w:w="41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6"/>
                <w:szCs w:val="16"/>
                <w:color w:val="auto"/>
              </w:rPr>
              <w:t>Common Stock</w:t>
            </w:r>
          </w:p>
        </w:tc>
        <w:tc>
          <w:tcPr>
            <w:tcW w:w="2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24,647</w:t>
            </w:r>
          </w:p>
        </w:tc>
      </w:tr>
      <w:tr>
        <w:trPr>
          <w:trHeight w:val="237"/>
        </w:trPr>
        <w:tc>
          <w:tcPr>
            <w:tcW w:w="4640" w:type="dxa"/>
            <w:vAlign w:val="bottom"/>
          </w:tcPr>
          <w:p>
            <w:pPr>
              <w:ind w:left="500"/>
              <w:spacing w:after="0"/>
              <w:rPr>
                <w:sz w:val="20"/>
                <w:szCs w:val="20"/>
                <w:color w:val="auto"/>
              </w:rPr>
            </w:pPr>
            <w:r>
              <w:rPr>
                <w:rFonts w:ascii="Arial" w:cs="Arial" w:eastAsia="Arial" w:hAnsi="Arial"/>
                <w:sz w:val="16"/>
                <w:szCs w:val="16"/>
                <w:color w:val="auto"/>
              </w:rPr>
              <w:t>CAESARS ENTERTAINMENT CORP</w:t>
            </w:r>
          </w:p>
        </w:tc>
        <w:tc>
          <w:tcPr>
            <w:tcW w:w="4180" w:type="dxa"/>
            <w:vAlign w:val="bottom"/>
          </w:tcPr>
          <w:p>
            <w:pPr>
              <w:ind w:left="1100"/>
              <w:spacing w:after="0"/>
              <w:rPr>
                <w:sz w:val="20"/>
                <w:szCs w:val="20"/>
                <w:color w:val="auto"/>
              </w:rPr>
            </w:pPr>
            <w:r>
              <w:rPr>
                <w:rFonts w:ascii="Arial" w:cs="Arial" w:eastAsia="Arial" w:hAnsi="Arial"/>
                <w:sz w:val="16"/>
                <w:szCs w:val="16"/>
                <w:color w:val="auto"/>
              </w:rPr>
              <w:t>Common Stock</w:t>
            </w:r>
          </w:p>
        </w:tc>
        <w:tc>
          <w:tcPr>
            <w:tcW w:w="2600" w:type="dxa"/>
            <w:vAlign w:val="bottom"/>
          </w:tcPr>
          <w:p>
            <w:pPr>
              <w:jc w:val="right"/>
              <w:ind w:right="19"/>
              <w:spacing w:after="0"/>
              <w:rPr>
                <w:sz w:val="20"/>
                <w:szCs w:val="20"/>
                <w:color w:val="auto"/>
              </w:rPr>
            </w:pPr>
            <w:r>
              <w:rPr>
                <w:rFonts w:ascii="Arial" w:cs="Arial" w:eastAsia="Arial" w:hAnsi="Arial"/>
                <w:sz w:val="16"/>
                <w:szCs w:val="16"/>
                <w:color w:val="auto"/>
              </w:rPr>
              <w:t>48,843</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0" w:right="239" w:bottom="1440" w:gutter="0" w:footer="0" w:header="0"/>
        </w:sectPr>
      </w:pPr>
    </w:p>
    <w:bookmarkStart w:id="25" w:name="page26"/>
    <w:bookmarkEnd w:id="25"/>
    <w:p>
      <w:pPr>
        <w:ind w:left="40"/>
        <w:spacing w:after="0"/>
        <w:rPr>
          <w:sz w:val="20"/>
          <w:szCs w:val="20"/>
          <w:color w:val="auto"/>
        </w:rPr>
      </w:pPr>
      <w:r>
        <w:rPr>
          <w:rFonts w:ascii="Arial" w:cs="Arial" w:eastAsia="Arial" w:hAnsi="Arial"/>
          <w:sz w:val="16"/>
          <w:szCs w:val="16"/>
          <w:b w:val="1"/>
          <w:bCs w:val="1"/>
          <w:color w:val="auto"/>
        </w:rPr>
        <w:t>WESCO Distribution, Inc.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Retirement Savings Plan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Schedule H (Form 5500), line 4(i) - Schedule of Assets (Held at End of Year)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EIN 25-1723345, Plan Number 001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2014</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 w:type="dxa"/>
            <w:vAlign w:val="bottom"/>
          </w:tcPr>
          <w:p>
            <w:pPr>
              <w:ind w:left="160"/>
              <w:spacing w:after="0"/>
              <w:rPr>
                <w:sz w:val="20"/>
                <w:szCs w:val="20"/>
                <w:color w:val="auto"/>
              </w:rPr>
            </w:pPr>
            <w:r>
              <w:rPr>
                <w:rFonts w:ascii="Arial" w:cs="Arial" w:eastAsia="Arial" w:hAnsi="Arial"/>
                <w:sz w:val="14"/>
                <w:szCs w:val="14"/>
                <w:b w:val="1"/>
                <w:bCs w:val="1"/>
                <w:color w:val="auto"/>
              </w:rPr>
              <w:t>(a)</w:t>
            </w:r>
          </w:p>
        </w:tc>
        <w:tc>
          <w:tcPr>
            <w:tcW w:w="4320" w:type="dxa"/>
            <w:vAlign w:val="bottom"/>
          </w:tcPr>
          <w:p>
            <w:pPr>
              <w:jc w:val="center"/>
              <w:ind w:left="980"/>
              <w:spacing w:after="0"/>
              <w:rPr>
                <w:sz w:val="20"/>
                <w:szCs w:val="20"/>
                <w:color w:val="auto"/>
              </w:rPr>
            </w:pPr>
            <w:r>
              <w:rPr>
                <w:rFonts w:ascii="Arial" w:cs="Arial" w:eastAsia="Arial" w:hAnsi="Arial"/>
                <w:sz w:val="14"/>
                <w:szCs w:val="14"/>
                <w:b w:val="1"/>
                <w:bCs w:val="1"/>
                <w:color w:val="auto"/>
              </w:rPr>
              <w:t>(b)</w:t>
            </w:r>
          </w:p>
        </w:tc>
        <w:tc>
          <w:tcPr>
            <w:tcW w:w="2220" w:type="dxa"/>
            <w:vAlign w:val="bottom"/>
          </w:tcPr>
          <w:p>
            <w:pPr>
              <w:spacing w:after="0"/>
              <w:rPr>
                <w:sz w:val="16"/>
                <w:szCs w:val="16"/>
                <w:color w:val="auto"/>
              </w:rPr>
            </w:pPr>
          </w:p>
        </w:tc>
        <w:tc>
          <w:tcPr>
            <w:tcW w:w="2720" w:type="dxa"/>
            <w:vAlign w:val="bottom"/>
          </w:tcPr>
          <w:p>
            <w:pPr>
              <w:jc w:val="center"/>
              <w:ind w:right="648"/>
              <w:spacing w:after="0"/>
              <w:rPr>
                <w:sz w:val="20"/>
                <w:szCs w:val="20"/>
                <w:color w:val="auto"/>
              </w:rPr>
            </w:pPr>
            <w:r>
              <w:rPr>
                <w:rFonts w:ascii="Arial" w:cs="Arial" w:eastAsia="Arial" w:hAnsi="Arial"/>
                <w:sz w:val="14"/>
                <w:szCs w:val="14"/>
                <w:b w:val="1"/>
                <w:bCs w:val="1"/>
                <w:color w:val="auto"/>
                <w:w w:val="93"/>
              </w:rPr>
              <w:t>(c)</w:t>
            </w:r>
          </w:p>
        </w:tc>
        <w:tc>
          <w:tcPr>
            <w:tcW w:w="1760" w:type="dxa"/>
            <w:vAlign w:val="bottom"/>
          </w:tcPr>
          <w:p>
            <w:pPr>
              <w:jc w:val="center"/>
              <w:ind w:left="439"/>
              <w:spacing w:after="0"/>
              <w:rPr>
                <w:sz w:val="20"/>
                <w:szCs w:val="20"/>
                <w:color w:val="auto"/>
              </w:rPr>
            </w:pPr>
            <w:r>
              <w:rPr>
                <w:rFonts w:ascii="Arial" w:cs="Arial" w:eastAsia="Arial" w:hAnsi="Arial"/>
                <w:sz w:val="14"/>
                <w:szCs w:val="14"/>
                <w:b w:val="1"/>
                <w:bCs w:val="1"/>
                <w:color w:val="auto"/>
                <w:w w:val="89"/>
              </w:rPr>
              <w:t>(d)</w:t>
            </w:r>
          </w:p>
        </w:tc>
      </w:tr>
      <w:tr>
        <w:trPr>
          <w:trHeight w:val="270"/>
        </w:trPr>
        <w:tc>
          <w:tcPr>
            <w:tcW w:w="40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2720" w:type="dxa"/>
            <w:vAlign w:val="bottom"/>
          </w:tcPr>
          <w:p>
            <w:pPr>
              <w:jc w:val="center"/>
              <w:ind w:right="628"/>
              <w:spacing w:after="0"/>
              <w:rPr>
                <w:sz w:val="20"/>
                <w:szCs w:val="20"/>
                <w:color w:val="auto"/>
              </w:rPr>
            </w:pPr>
            <w:r>
              <w:rPr>
                <w:rFonts w:ascii="Arial" w:cs="Arial" w:eastAsia="Arial" w:hAnsi="Arial"/>
                <w:sz w:val="14"/>
                <w:szCs w:val="14"/>
                <w:b w:val="1"/>
                <w:bCs w:val="1"/>
                <w:color w:val="auto"/>
                <w:w w:val="91"/>
              </w:rPr>
              <w:t>Description of Investment</w:t>
            </w:r>
          </w:p>
        </w:tc>
        <w:tc>
          <w:tcPr>
            <w:tcW w:w="176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320" w:type="dxa"/>
            <w:vAlign w:val="bottom"/>
          </w:tcPr>
          <w:p>
            <w:pPr>
              <w:jc w:val="center"/>
              <w:ind w:left="980"/>
              <w:spacing w:after="0"/>
              <w:rPr>
                <w:sz w:val="20"/>
                <w:szCs w:val="20"/>
                <w:color w:val="auto"/>
              </w:rPr>
            </w:pPr>
            <w:r>
              <w:rPr>
                <w:rFonts w:ascii="Arial" w:cs="Arial" w:eastAsia="Arial" w:hAnsi="Arial"/>
                <w:sz w:val="14"/>
                <w:szCs w:val="14"/>
                <w:b w:val="1"/>
                <w:bCs w:val="1"/>
                <w:color w:val="auto"/>
                <w:w w:val="92"/>
              </w:rPr>
              <w:t>Identity of Issue,</w:t>
            </w:r>
          </w:p>
        </w:tc>
        <w:tc>
          <w:tcPr>
            <w:tcW w:w="2220" w:type="dxa"/>
            <w:vAlign w:val="bottom"/>
          </w:tcPr>
          <w:p>
            <w:pPr>
              <w:spacing w:after="0"/>
              <w:rPr>
                <w:sz w:val="23"/>
                <w:szCs w:val="23"/>
                <w:color w:val="auto"/>
              </w:rPr>
            </w:pPr>
          </w:p>
        </w:tc>
        <w:tc>
          <w:tcPr>
            <w:tcW w:w="2720" w:type="dxa"/>
            <w:vAlign w:val="bottom"/>
          </w:tcPr>
          <w:p>
            <w:pPr>
              <w:jc w:val="center"/>
              <w:ind w:right="628"/>
              <w:spacing w:after="0"/>
              <w:rPr>
                <w:sz w:val="20"/>
                <w:szCs w:val="20"/>
                <w:color w:val="auto"/>
              </w:rPr>
            </w:pPr>
            <w:r>
              <w:rPr>
                <w:rFonts w:ascii="Arial" w:cs="Arial" w:eastAsia="Arial" w:hAnsi="Arial"/>
                <w:sz w:val="14"/>
                <w:szCs w:val="14"/>
                <w:b w:val="1"/>
                <w:bCs w:val="1"/>
                <w:color w:val="auto"/>
                <w:w w:val="97"/>
              </w:rPr>
              <w:t>Including Maturity Date,</w:t>
            </w:r>
          </w:p>
        </w:tc>
        <w:tc>
          <w:tcPr>
            <w:tcW w:w="176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320" w:type="dxa"/>
            <w:vAlign w:val="bottom"/>
          </w:tcPr>
          <w:p>
            <w:pPr>
              <w:jc w:val="center"/>
              <w:ind w:left="1000"/>
              <w:spacing w:after="0"/>
              <w:rPr>
                <w:sz w:val="20"/>
                <w:szCs w:val="20"/>
                <w:color w:val="auto"/>
              </w:rPr>
            </w:pPr>
            <w:r>
              <w:rPr>
                <w:rFonts w:ascii="Arial" w:cs="Arial" w:eastAsia="Arial" w:hAnsi="Arial"/>
                <w:sz w:val="14"/>
                <w:szCs w:val="14"/>
                <w:b w:val="1"/>
                <w:bCs w:val="1"/>
                <w:color w:val="auto"/>
                <w:w w:val="92"/>
              </w:rPr>
              <w:t>Borrower, Lessor or</w:t>
            </w:r>
          </w:p>
        </w:tc>
        <w:tc>
          <w:tcPr>
            <w:tcW w:w="2220" w:type="dxa"/>
            <w:vAlign w:val="bottom"/>
          </w:tcPr>
          <w:p>
            <w:pPr>
              <w:spacing w:after="0"/>
              <w:rPr>
                <w:sz w:val="23"/>
                <w:szCs w:val="23"/>
                <w:color w:val="auto"/>
              </w:rPr>
            </w:pPr>
          </w:p>
        </w:tc>
        <w:tc>
          <w:tcPr>
            <w:tcW w:w="2720" w:type="dxa"/>
            <w:vAlign w:val="bottom"/>
          </w:tcPr>
          <w:p>
            <w:pPr>
              <w:jc w:val="center"/>
              <w:ind w:right="648"/>
              <w:spacing w:after="0"/>
              <w:rPr>
                <w:sz w:val="20"/>
                <w:szCs w:val="20"/>
                <w:color w:val="auto"/>
              </w:rPr>
            </w:pPr>
            <w:r>
              <w:rPr>
                <w:rFonts w:ascii="Arial" w:cs="Arial" w:eastAsia="Arial" w:hAnsi="Arial"/>
                <w:sz w:val="14"/>
                <w:szCs w:val="14"/>
                <w:b w:val="1"/>
                <w:bCs w:val="1"/>
                <w:color w:val="auto"/>
                <w:w w:val="94"/>
              </w:rPr>
              <w:t>Rate of Interest, Collateral,</w:t>
            </w:r>
          </w:p>
        </w:tc>
        <w:tc>
          <w:tcPr>
            <w:tcW w:w="1760" w:type="dxa"/>
            <w:vAlign w:val="bottom"/>
          </w:tcPr>
          <w:p>
            <w:pPr>
              <w:jc w:val="center"/>
              <w:ind w:left="419"/>
              <w:spacing w:after="0"/>
              <w:rPr>
                <w:sz w:val="20"/>
                <w:szCs w:val="20"/>
                <w:color w:val="auto"/>
              </w:rPr>
            </w:pPr>
            <w:r>
              <w:rPr>
                <w:rFonts w:ascii="Arial" w:cs="Arial" w:eastAsia="Arial" w:hAnsi="Arial"/>
                <w:sz w:val="14"/>
                <w:szCs w:val="14"/>
                <w:b w:val="1"/>
                <w:bCs w:val="1"/>
                <w:color w:val="auto"/>
                <w:w w:val="98"/>
              </w:rPr>
              <w:t>Current</w:t>
            </w:r>
          </w:p>
        </w:tc>
      </w:tr>
      <w:tr>
        <w:trPr>
          <w:trHeight w:val="276"/>
        </w:trPr>
        <w:tc>
          <w:tcPr>
            <w:tcW w:w="400" w:type="dxa"/>
            <w:vAlign w:val="bottom"/>
          </w:tcPr>
          <w:p>
            <w:pPr>
              <w:spacing w:after="0"/>
              <w:rPr>
                <w:sz w:val="24"/>
                <w:szCs w:val="24"/>
                <w:color w:val="auto"/>
              </w:rPr>
            </w:pPr>
          </w:p>
        </w:tc>
        <w:tc>
          <w:tcPr>
            <w:tcW w:w="4320" w:type="dxa"/>
            <w:vAlign w:val="bottom"/>
          </w:tcPr>
          <w:p>
            <w:pPr>
              <w:jc w:val="center"/>
              <w:ind w:left="1000"/>
              <w:spacing w:after="0"/>
              <w:rPr>
                <w:sz w:val="20"/>
                <w:szCs w:val="20"/>
                <w:color w:val="auto"/>
              </w:rPr>
            </w:pPr>
            <w:r>
              <w:rPr>
                <w:rFonts w:ascii="Arial" w:cs="Arial" w:eastAsia="Arial" w:hAnsi="Arial"/>
                <w:sz w:val="14"/>
                <w:szCs w:val="14"/>
                <w:b w:val="1"/>
                <w:bCs w:val="1"/>
                <w:color w:val="auto"/>
                <w:w w:val="98"/>
              </w:rPr>
              <w:t>Similar Party</w:t>
            </w:r>
          </w:p>
        </w:tc>
        <w:tc>
          <w:tcPr>
            <w:tcW w:w="2220" w:type="dxa"/>
            <w:vAlign w:val="bottom"/>
          </w:tcPr>
          <w:p>
            <w:pPr>
              <w:spacing w:after="0"/>
              <w:rPr>
                <w:sz w:val="24"/>
                <w:szCs w:val="24"/>
                <w:color w:val="auto"/>
              </w:rPr>
            </w:pPr>
          </w:p>
        </w:tc>
        <w:tc>
          <w:tcPr>
            <w:tcW w:w="2720" w:type="dxa"/>
            <w:vAlign w:val="bottom"/>
          </w:tcPr>
          <w:p>
            <w:pPr>
              <w:jc w:val="center"/>
              <w:ind w:right="628"/>
              <w:spacing w:after="0"/>
              <w:rPr>
                <w:sz w:val="20"/>
                <w:szCs w:val="20"/>
                <w:color w:val="auto"/>
              </w:rPr>
            </w:pPr>
            <w:r>
              <w:rPr>
                <w:rFonts w:ascii="Arial" w:cs="Arial" w:eastAsia="Arial" w:hAnsi="Arial"/>
                <w:sz w:val="14"/>
                <w:szCs w:val="14"/>
                <w:b w:val="1"/>
                <w:bCs w:val="1"/>
                <w:color w:val="auto"/>
                <w:w w:val="95"/>
              </w:rPr>
              <w:t>Par, or Maturity Value</w:t>
            </w:r>
          </w:p>
        </w:tc>
        <w:tc>
          <w:tcPr>
            <w:tcW w:w="1760" w:type="dxa"/>
            <w:vAlign w:val="bottom"/>
          </w:tcPr>
          <w:p>
            <w:pPr>
              <w:jc w:val="center"/>
              <w:ind w:left="439"/>
              <w:spacing w:after="0"/>
              <w:rPr>
                <w:sz w:val="20"/>
                <w:szCs w:val="20"/>
                <w:color w:val="auto"/>
              </w:rPr>
            </w:pPr>
            <w:r>
              <w:rPr>
                <w:rFonts w:ascii="Arial" w:cs="Arial" w:eastAsia="Arial" w:hAnsi="Arial"/>
                <w:sz w:val="14"/>
                <w:szCs w:val="14"/>
                <w:b w:val="1"/>
                <w:bCs w:val="1"/>
                <w:color w:val="auto"/>
                <w:w w:val="96"/>
              </w:rPr>
              <w:t>Value</w:t>
            </w:r>
          </w:p>
        </w:tc>
      </w:tr>
      <w:tr>
        <w:trPr>
          <w:trHeight w:val="256"/>
        </w:trPr>
        <w:tc>
          <w:tcPr>
            <w:tcW w:w="400" w:type="dxa"/>
            <w:vAlign w:val="bottom"/>
            <w:tcBorders>
              <w:bottom w:val="single" w:sz="8" w:color="CCEEFF"/>
            </w:tcBorders>
            <w:shd w:val="clear" w:color="auto" w:fill="CCEEFF"/>
          </w:tcPr>
          <w:p>
            <w:pPr>
              <w:spacing w:after="0"/>
              <w:rPr>
                <w:sz w:val="22"/>
                <w:szCs w:val="22"/>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CALIFORNIA RESOURCES CORP</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4,584</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CALPINE CORP/NEW</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15,889</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CAMERON INTL CORP</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11,838</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CAMPBELL SOUP CO</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21,912</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CAPITAL ONE FINANCIAL CORP</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119,450</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CAPSTEAD MORTGAGE CORP</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6,643</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CARDINAL HEALTH INC COM</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60,386</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CAREER EDUCATION CORP</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16,314</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CAREFUSION CORP</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39,936</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CATERPILLAR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110,751</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CBS CORP NEW</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41,726</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CELANESE CORP</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10,073</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CELGENE CORP COM</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25,728</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CENTENE CORP DEL</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18,070</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CENTERPOINT ENERGY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24,602</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CENTURYLINK,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87,591</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CF INDS HLDGS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43,061</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CHARLES RIVER LABORATORIES</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6,555</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CHARTER COMMUNICATIONS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49,153</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CHECKPOINT SYS INC COM</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10,545</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CHEESECAKE FACTORY INC COM</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11,773</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CHEMTURA CORP/NEW</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9,373</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CHESAPEAKE ENERGY CORP COM</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77,399</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CHEVRON CORP</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644,138</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CHIQUITA BRANDS INTL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11,134</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CHUBB CORP</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61,565</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CIGNA CORP</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51,043</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CIMAREX ENERGY CO</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13,992</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CINCINNATI BELL, INC COMMON</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9,079</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CINCINNATI FINANCIAL CORP</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20,317</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CINEMARK HOLDINGS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8,041</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CINTAS CORP</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12,001</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CISCO SYSTEMS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270,056</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CITIGROUP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149,398</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CITY NATL CORP COM</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9,859</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CLIFFS NAT RES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4,127</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CLOUD PEAK ENERGY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5,462</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CME GROUP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10,372</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CMS ENERGY CORP</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17,862</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CNO FINANCIAL GROUP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20,940</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COACH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33,842</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COCA COLA CO</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231,619</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COCA-COLA ENTERPRISES</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42,097</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COEUR MINING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9,683</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COLGATE PALMOLIVE CO</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76,663</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COMCAST CORP CLASS A</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156,859</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COMERICA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13,958</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COMMERCE BANCSHARES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13,090</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400" w:type="dxa"/>
            <w:vAlign w:val="bottom"/>
            <w:shd w:val="clear" w:color="auto" w:fill="CCEEFF"/>
          </w:tcPr>
          <w:p>
            <w:pPr>
              <w:spacing w:after="0"/>
              <w:rPr>
                <w:sz w:val="20"/>
                <w:szCs w:val="20"/>
                <w:color w:val="auto"/>
              </w:rPr>
            </w:pPr>
          </w:p>
        </w:tc>
        <w:tc>
          <w:tcPr>
            <w:tcW w:w="4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COMMERCIAL METALS CO</w:t>
            </w:r>
          </w:p>
        </w:tc>
        <w:tc>
          <w:tcPr>
            <w:tcW w:w="222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11,875</w:t>
            </w:r>
          </w:p>
        </w:tc>
      </w:tr>
      <w:tr>
        <w:trPr>
          <w:trHeight w:val="33"/>
        </w:trPr>
        <w:tc>
          <w:tcPr>
            <w:tcW w:w="40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301" w:right="239"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360" w:type="dxa"/>
            <w:vAlign w:val="bottom"/>
          </w:tcPr>
          <w:p>
            <w:pPr>
              <w:ind w:left="500"/>
              <w:spacing w:after="0"/>
              <w:rPr>
                <w:sz w:val="20"/>
                <w:szCs w:val="20"/>
                <w:color w:val="auto"/>
              </w:rPr>
            </w:pPr>
            <w:r>
              <w:rPr>
                <w:rFonts w:ascii="Arial" w:cs="Arial" w:eastAsia="Arial" w:hAnsi="Arial"/>
                <w:sz w:val="16"/>
                <w:szCs w:val="16"/>
                <w:color w:val="auto"/>
              </w:rPr>
              <w:t>COMMUNITY HEALTH SYSTEMS</w:t>
            </w:r>
          </w:p>
        </w:tc>
        <w:tc>
          <w:tcPr>
            <w:tcW w:w="4460" w:type="dxa"/>
            <w:vAlign w:val="bottom"/>
          </w:tcPr>
          <w:p>
            <w:pPr>
              <w:ind w:left="1380"/>
              <w:spacing w:after="0"/>
              <w:rPr>
                <w:sz w:val="20"/>
                <w:szCs w:val="20"/>
                <w:color w:val="auto"/>
              </w:rPr>
            </w:pPr>
            <w:r>
              <w:rPr>
                <w:rFonts w:ascii="Arial" w:cs="Arial" w:eastAsia="Arial" w:hAnsi="Arial"/>
                <w:sz w:val="16"/>
                <w:szCs w:val="16"/>
                <w:color w:val="auto"/>
              </w:rPr>
              <w:t>Common Stock</w:t>
            </w:r>
          </w:p>
        </w:tc>
        <w:tc>
          <w:tcPr>
            <w:tcW w:w="2600" w:type="dxa"/>
            <w:vAlign w:val="bottom"/>
          </w:tcPr>
          <w:p>
            <w:pPr>
              <w:jc w:val="right"/>
              <w:ind w:right="19"/>
              <w:spacing w:after="0"/>
              <w:rPr>
                <w:sz w:val="20"/>
                <w:szCs w:val="20"/>
                <w:color w:val="auto"/>
              </w:rPr>
            </w:pPr>
            <w:r>
              <w:rPr>
                <w:rFonts w:ascii="Arial" w:cs="Arial" w:eastAsia="Arial" w:hAnsi="Arial"/>
                <w:sz w:val="16"/>
                <w:szCs w:val="16"/>
                <w:color w:val="auto"/>
              </w:rPr>
              <w:t>56,023</w:t>
            </w:r>
          </w:p>
        </w:tc>
      </w:tr>
      <w:tr>
        <w:trPr>
          <w:trHeight w:val="47"/>
        </w:trPr>
        <w:tc>
          <w:tcPr>
            <w:tcW w:w="4360" w:type="dxa"/>
            <w:vAlign w:val="bottom"/>
          </w:tcPr>
          <w:p>
            <w:pPr>
              <w:spacing w:after="0"/>
              <w:rPr>
                <w:sz w:val="4"/>
                <w:szCs w:val="4"/>
                <w:color w:val="auto"/>
              </w:rPr>
            </w:pPr>
          </w:p>
        </w:tc>
        <w:tc>
          <w:tcPr>
            <w:tcW w:w="4460" w:type="dxa"/>
            <w:vAlign w:val="bottom"/>
          </w:tcPr>
          <w:p>
            <w:pPr>
              <w:spacing w:after="0"/>
              <w:rPr>
                <w:sz w:val="4"/>
                <w:szCs w:val="4"/>
                <w:color w:val="auto"/>
              </w:rPr>
            </w:pPr>
          </w:p>
        </w:tc>
        <w:tc>
          <w:tcPr>
            <w:tcW w:w="2600" w:type="dxa"/>
            <w:vAlign w:val="bottom"/>
          </w:tcPr>
          <w:p>
            <w:pPr>
              <w:spacing w:after="0"/>
              <w:rPr>
                <w:sz w:val="4"/>
                <w:szCs w:val="4"/>
                <w:color w:val="auto"/>
              </w:rPr>
            </w:pPr>
          </w:p>
        </w:tc>
      </w:tr>
      <w:tr>
        <w:trPr>
          <w:trHeight w:val="250"/>
        </w:trPr>
        <w:tc>
          <w:tcPr>
            <w:tcW w:w="4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COMPUTER SCIENCES CORP</w:t>
            </w:r>
          </w:p>
        </w:tc>
        <w:tc>
          <w:tcPr>
            <w:tcW w:w="4460" w:type="dxa"/>
            <w:vAlign w:val="bottom"/>
            <w:tcBorders>
              <w:bottom w:val="single" w:sz="8" w:color="CCEEFF"/>
            </w:tcBorders>
            <w:shd w:val="clear" w:color="auto" w:fill="CCEEFF"/>
          </w:tcPr>
          <w:p>
            <w:pPr>
              <w:ind w:left="1380"/>
              <w:spacing w:after="0"/>
              <w:rPr>
                <w:sz w:val="20"/>
                <w:szCs w:val="20"/>
                <w:color w:val="auto"/>
              </w:rPr>
            </w:pPr>
            <w:r>
              <w:rPr>
                <w:rFonts w:ascii="Arial" w:cs="Arial" w:eastAsia="Arial" w:hAnsi="Arial"/>
                <w:sz w:val="16"/>
                <w:szCs w:val="16"/>
                <w:color w:val="auto"/>
              </w:rPr>
              <w:t>Common Stock</w:t>
            </w:r>
          </w:p>
        </w:tc>
        <w:tc>
          <w:tcPr>
            <w:tcW w:w="2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60,087</w:t>
            </w:r>
          </w:p>
        </w:tc>
      </w:tr>
      <w:tr>
        <w:trPr>
          <w:trHeight w:val="237"/>
        </w:trPr>
        <w:tc>
          <w:tcPr>
            <w:tcW w:w="4360" w:type="dxa"/>
            <w:vAlign w:val="bottom"/>
          </w:tcPr>
          <w:p>
            <w:pPr>
              <w:ind w:left="500"/>
              <w:spacing w:after="0"/>
              <w:rPr>
                <w:sz w:val="20"/>
                <w:szCs w:val="20"/>
                <w:color w:val="auto"/>
              </w:rPr>
            </w:pPr>
            <w:r>
              <w:rPr>
                <w:rFonts w:ascii="Arial" w:cs="Arial" w:eastAsia="Arial" w:hAnsi="Arial"/>
                <w:sz w:val="16"/>
                <w:szCs w:val="16"/>
                <w:color w:val="auto"/>
              </w:rPr>
              <w:t>COMSTOCK RES INC COM</w:t>
            </w:r>
          </w:p>
        </w:tc>
        <w:tc>
          <w:tcPr>
            <w:tcW w:w="4460" w:type="dxa"/>
            <w:vAlign w:val="bottom"/>
          </w:tcPr>
          <w:p>
            <w:pPr>
              <w:ind w:left="1380"/>
              <w:spacing w:after="0"/>
              <w:rPr>
                <w:sz w:val="20"/>
                <w:szCs w:val="20"/>
                <w:color w:val="auto"/>
              </w:rPr>
            </w:pPr>
            <w:r>
              <w:rPr>
                <w:rFonts w:ascii="Arial" w:cs="Arial" w:eastAsia="Arial" w:hAnsi="Arial"/>
                <w:sz w:val="16"/>
                <w:szCs w:val="16"/>
                <w:color w:val="auto"/>
              </w:rPr>
              <w:t>Common Stock</w:t>
            </w:r>
          </w:p>
        </w:tc>
        <w:tc>
          <w:tcPr>
            <w:tcW w:w="2600" w:type="dxa"/>
            <w:vAlign w:val="bottom"/>
          </w:tcPr>
          <w:p>
            <w:pPr>
              <w:jc w:val="right"/>
              <w:ind w:right="19"/>
              <w:spacing w:after="0"/>
              <w:rPr>
                <w:sz w:val="20"/>
                <w:szCs w:val="20"/>
                <w:color w:val="auto"/>
              </w:rPr>
            </w:pPr>
            <w:r>
              <w:rPr>
                <w:rFonts w:ascii="Arial" w:cs="Arial" w:eastAsia="Arial" w:hAnsi="Arial"/>
                <w:sz w:val="16"/>
                <w:szCs w:val="16"/>
                <w:color w:val="auto"/>
              </w:rPr>
              <w:t>2,772</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30" w:right="239" w:bottom="1440" w:gutter="0" w:footer="0" w:header="0"/>
        </w:sectPr>
      </w:pPr>
    </w:p>
    <w:bookmarkStart w:id="27" w:name="page28"/>
    <w:bookmarkEnd w:id="27"/>
    <w:p>
      <w:pPr>
        <w:ind w:left="40"/>
        <w:spacing w:after="0"/>
        <w:rPr>
          <w:sz w:val="20"/>
          <w:szCs w:val="20"/>
          <w:color w:val="auto"/>
        </w:rPr>
      </w:pPr>
      <w:r>
        <w:rPr>
          <w:rFonts w:ascii="Arial" w:cs="Arial" w:eastAsia="Arial" w:hAnsi="Arial"/>
          <w:sz w:val="16"/>
          <w:szCs w:val="16"/>
          <w:b w:val="1"/>
          <w:bCs w:val="1"/>
          <w:color w:val="auto"/>
        </w:rPr>
        <w:t>WESCO Distribution, Inc.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Retirement Savings Plan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Schedule H (Form 5500), line 4(i) - Schedule of Assets (Held at End of Year)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EIN 25-1723345, Plan Number 001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2014</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 w:type="dxa"/>
            <w:vAlign w:val="bottom"/>
          </w:tcPr>
          <w:p>
            <w:pPr>
              <w:ind w:left="160"/>
              <w:spacing w:after="0"/>
              <w:rPr>
                <w:sz w:val="20"/>
                <w:szCs w:val="20"/>
                <w:color w:val="auto"/>
              </w:rPr>
            </w:pPr>
            <w:r>
              <w:rPr>
                <w:rFonts w:ascii="Arial" w:cs="Arial" w:eastAsia="Arial" w:hAnsi="Arial"/>
                <w:sz w:val="14"/>
                <w:szCs w:val="14"/>
                <w:b w:val="1"/>
                <w:bCs w:val="1"/>
                <w:color w:val="auto"/>
              </w:rPr>
              <w:t>(a)</w:t>
            </w:r>
          </w:p>
        </w:tc>
        <w:tc>
          <w:tcPr>
            <w:tcW w:w="4320" w:type="dxa"/>
            <w:vAlign w:val="bottom"/>
          </w:tcPr>
          <w:p>
            <w:pPr>
              <w:jc w:val="center"/>
              <w:ind w:left="980"/>
              <w:spacing w:after="0"/>
              <w:rPr>
                <w:sz w:val="20"/>
                <w:szCs w:val="20"/>
                <w:color w:val="auto"/>
              </w:rPr>
            </w:pPr>
            <w:r>
              <w:rPr>
                <w:rFonts w:ascii="Arial" w:cs="Arial" w:eastAsia="Arial" w:hAnsi="Arial"/>
                <w:sz w:val="14"/>
                <w:szCs w:val="14"/>
                <w:b w:val="1"/>
                <w:bCs w:val="1"/>
                <w:color w:val="auto"/>
              </w:rPr>
              <w:t>(b)</w:t>
            </w:r>
          </w:p>
        </w:tc>
        <w:tc>
          <w:tcPr>
            <w:tcW w:w="2220" w:type="dxa"/>
            <w:vAlign w:val="bottom"/>
          </w:tcPr>
          <w:p>
            <w:pPr>
              <w:spacing w:after="0"/>
              <w:rPr>
                <w:sz w:val="16"/>
                <w:szCs w:val="16"/>
                <w:color w:val="auto"/>
              </w:rPr>
            </w:pPr>
          </w:p>
        </w:tc>
        <w:tc>
          <w:tcPr>
            <w:tcW w:w="2720" w:type="dxa"/>
            <w:vAlign w:val="bottom"/>
          </w:tcPr>
          <w:p>
            <w:pPr>
              <w:jc w:val="center"/>
              <w:ind w:right="648"/>
              <w:spacing w:after="0"/>
              <w:rPr>
                <w:sz w:val="20"/>
                <w:szCs w:val="20"/>
                <w:color w:val="auto"/>
              </w:rPr>
            </w:pPr>
            <w:r>
              <w:rPr>
                <w:rFonts w:ascii="Arial" w:cs="Arial" w:eastAsia="Arial" w:hAnsi="Arial"/>
                <w:sz w:val="14"/>
                <w:szCs w:val="14"/>
                <w:b w:val="1"/>
                <w:bCs w:val="1"/>
                <w:color w:val="auto"/>
                <w:w w:val="93"/>
              </w:rPr>
              <w:t>(c)</w:t>
            </w:r>
          </w:p>
        </w:tc>
        <w:tc>
          <w:tcPr>
            <w:tcW w:w="1760" w:type="dxa"/>
            <w:vAlign w:val="bottom"/>
          </w:tcPr>
          <w:p>
            <w:pPr>
              <w:jc w:val="center"/>
              <w:ind w:left="439"/>
              <w:spacing w:after="0"/>
              <w:rPr>
                <w:sz w:val="20"/>
                <w:szCs w:val="20"/>
                <w:color w:val="auto"/>
              </w:rPr>
            </w:pPr>
            <w:r>
              <w:rPr>
                <w:rFonts w:ascii="Arial" w:cs="Arial" w:eastAsia="Arial" w:hAnsi="Arial"/>
                <w:sz w:val="14"/>
                <w:szCs w:val="14"/>
                <w:b w:val="1"/>
                <w:bCs w:val="1"/>
                <w:color w:val="auto"/>
                <w:w w:val="89"/>
              </w:rPr>
              <w:t>(d)</w:t>
            </w:r>
          </w:p>
        </w:tc>
      </w:tr>
      <w:tr>
        <w:trPr>
          <w:trHeight w:val="270"/>
        </w:trPr>
        <w:tc>
          <w:tcPr>
            <w:tcW w:w="40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2720" w:type="dxa"/>
            <w:vAlign w:val="bottom"/>
          </w:tcPr>
          <w:p>
            <w:pPr>
              <w:jc w:val="center"/>
              <w:ind w:right="628"/>
              <w:spacing w:after="0"/>
              <w:rPr>
                <w:sz w:val="20"/>
                <w:szCs w:val="20"/>
                <w:color w:val="auto"/>
              </w:rPr>
            </w:pPr>
            <w:r>
              <w:rPr>
                <w:rFonts w:ascii="Arial" w:cs="Arial" w:eastAsia="Arial" w:hAnsi="Arial"/>
                <w:sz w:val="14"/>
                <w:szCs w:val="14"/>
                <w:b w:val="1"/>
                <w:bCs w:val="1"/>
                <w:color w:val="auto"/>
                <w:w w:val="91"/>
              </w:rPr>
              <w:t>Description of Investment</w:t>
            </w:r>
          </w:p>
        </w:tc>
        <w:tc>
          <w:tcPr>
            <w:tcW w:w="176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320" w:type="dxa"/>
            <w:vAlign w:val="bottom"/>
          </w:tcPr>
          <w:p>
            <w:pPr>
              <w:jc w:val="center"/>
              <w:ind w:left="980"/>
              <w:spacing w:after="0"/>
              <w:rPr>
                <w:sz w:val="20"/>
                <w:szCs w:val="20"/>
                <w:color w:val="auto"/>
              </w:rPr>
            </w:pPr>
            <w:r>
              <w:rPr>
                <w:rFonts w:ascii="Arial" w:cs="Arial" w:eastAsia="Arial" w:hAnsi="Arial"/>
                <w:sz w:val="14"/>
                <w:szCs w:val="14"/>
                <w:b w:val="1"/>
                <w:bCs w:val="1"/>
                <w:color w:val="auto"/>
                <w:w w:val="92"/>
              </w:rPr>
              <w:t>Identity of Issue,</w:t>
            </w:r>
          </w:p>
        </w:tc>
        <w:tc>
          <w:tcPr>
            <w:tcW w:w="2220" w:type="dxa"/>
            <w:vAlign w:val="bottom"/>
          </w:tcPr>
          <w:p>
            <w:pPr>
              <w:spacing w:after="0"/>
              <w:rPr>
                <w:sz w:val="23"/>
                <w:szCs w:val="23"/>
                <w:color w:val="auto"/>
              </w:rPr>
            </w:pPr>
          </w:p>
        </w:tc>
        <w:tc>
          <w:tcPr>
            <w:tcW w:w="2720" w:type="dxa"/>
            <w:vAlign w:val="bottom"/>
          </w:tcPr>
          <w:p>
            <w:pPr>
              <w:jc w:val="center"/>
              <w:ind w:right="628"/>
              <w:spacing w:after="0"/>
              <w:rPr>
                <w:sz w:val="20"/>
                <w:szCs w:val="20"/>
                <w:color w:val="auto"/>
              </w:rPr>
            </w:pPr>
            <w:r>
              <w:rPr>
                <w:rFonts w:ascii="Arial" w:cs="Arial" w:eastAsia="Arial" w:hAnsi="Arial"/>
                <w:sz w:val="14"/>
                <w:szCs w:val="14"/>
                <w:b w:val="1"/>
                <w:bCs w:val="1"/>
                <w:color w:val="auto"/>
                <w:w w:val="97"/>
              </w:rPr>
              <w:t>Including Maturity Date,</w:t>
            </w:r>
          </w:p>
        </w:tc>
        <w:tc>
          <w:tcPr>
            <w:tcW w:w="176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320" w:type="dxa"/>
            <w:vAlign w:val="bottom"/>
          </w:tcPr>
          <w:p>
            <w:pPr>
              <w:jc w:val="center"/>
              <w:ind w:left="1000"/>
              <w:spacing w:after="0"/>
              <w:rPr>
                <w:sz w:val="20"/>
                <w:szCs w:val="20"/>
                <w:color w:val="auto"/>
              </w:rPr>
            </w:pPr>
            <w:r>
              <w:rPr>
                <w:rFonts w:ascii="Arial" w:cs="Arial" w:eastAsia="Arial" w:hAnsi="Arial"/>
                <w:sz w:val="14"/>
                <w:szCs w:val="14"/>
                <w:b w:val="1"/>
                <w:bCs w:val="1"/>
                <w:color w:val="auto"/>
                <w:w w:val="92"/>
              </w:rPr>
              <w:t>Borrower, Lessor or</w:t>
            </w:r>
          </w:p>
        </w:tc>
        <w:tc>
          <w:tcPr>
            <w:tcW w:w="2220" w:type="dxa"/>
            <w:vAlign w:val="bottom"/>
          </w:tcPr>
          <w:p>
            <w:pPr>
              <w:spacing w:after="0"/>
              <w:rPr>
                <w:sz w:val="23"/>
                <w:szCs w:val="23"/>
                <w:color w:val="auto"/>
              </w:rPr>
            </w:pPr>
          </w:p>
        </w:tc>
        <w:tc>
          <w:tcPr>
            <w:tcW w:w="2720" w:type="dxa"/>
            <w:vAlign w:val="bottom"/>
          </w:tcPr>
          <w:p>
            <w:pPr>
              <w:jc w:val="center"/>
              <w:ind w:right="648"/>
              <w:spacing w:after="0"/>
              <w:rPr>
                <w:sz w:val="20"/>
                <w:szCs w:val="20"/>
                <w:color w:val="auto"/>
              </w:rPr>
            </w:pPr>
            <w:r>
              <w:rPr>
                <w:rFonts w:ascii="Arial" w:cs="Arial" w:eastAsia="Arial" w:hAnsi="Arial"/>
                <w:sz w:val="14"/>
                <w:szCs w:val="14"/>
                <w:b w:val="1"/>
                <w:bCs w:val="1"/>
                <w:color w:val="auto"/>
                <w:w w:val="94"/>
              </w:rPr>
              <w:t>Rate of Interest, Collateral,</w:t>
            </w:r>
          </w:p>
        </w:tc>
        <w:tc>
          <w:tcPr>
            <w:tcW w:w="1760" w:type="dxa"/>
            <w:vAlign w:val="bottom"/>
          </w:tcPr>
          <w:p>
            <w:pPr>
              <w:jc w:val="center"/>
              <w:ind w:left="419"/>
              <w:spacing w:after="0"/>
              <w:rPr>
                <w:sz w:val="20"/>
                <w:szCs w:val="20"/>
                <w:color w:val="auto"/>
              </w:rPr>
            </w:pPr>
            <w:r>
              <w:rPr>
                <w:rFonts w:ascii="Arial" w:cs="Arial" w:eastAsia="Arial" w:hAnsi="Arial"/>
                <w:sz w:val="14"/>
                <w:szCs w:val="14"/>
                <w:b w:val="1"/>
                <w:bCs w:val="1"/>
                <w:color w:val="auto"/>
                <w:w w:val="98"/>
              </w:rPr>
              <w:t>Current</w:t>
            </w:r>
          </w:p>
        </w:tc>
      </w:tr>
      <w:tr>
        <w:trPr>
          <w:trHeight w:val="276"/>
        </w:trPr>
        <w:tc>
          <w:tcPr>
            <w:tcW w:w="400" w:type="dxa"/>
            <w:vAlign w:val="bottom"/>
          </w:tcPr>
          <w:p>
            <w:pPr>
              <w:spacing w:after="0"/>
              <w:rPr>
                <w:sz w:val="24"/>
                <w:szCs w:val="24"/>
                <w:color w:val="auto"/>
              </w:rPr>
            </w:pPr>
          </w:p>
        </w:tc>
        <w:tc>
          <w:tcPr>
            <w:tcW w:w="4320" w:type="dxa"/>
            <w:vAlign w:val="bottom"/>
          </w:tcPr>
          <w:p>
            <w:pPr>
              <w:jc w:val="center"/>
              <w:ind w:left="1000"/>
              <w:spacing w:after="0"/>
              <w:rPr>
                <w:sz w:val="20"/>
                <w:szCs w:val="20"/>
                <w:color w:val="auto"/>
              </w:rPr>
            </w:pPr>
            <w:r>
              <w:rPr>
                <w:rFonts w:ascii="Arial" w:cs="Arial" w:eastAsia="Arial" w:hAnsi="Arial"/>
                <w:sz w:val="14"/>
                <w:szCs w:val="14"/>
                <w:b w:val="1"/>
                <w:bCs w:val="1"/>
                <w:color w:val="auto"/>
                <w:w w:val="98"/>
              </w:rPr>
              <w:t>Similar Party</w:t>
            </w:r>
          </w:p>
        </w:tc>
        <w:tc>
          <w:tcPr>
            <w:tcW w:w="2220" w:type="dxa"/>
            <w:vAlign w:val="bottom"/>
          </w:tcPr>
          <w:p>
            <w:pPr>
              <w:spacing w:after="0"/>
              <w:rPr>
                <w:sz w:val="24"/>
                <w:szCs w:val="24"/>
                <w:color w:val="auto"/>
              </w:rPr>
            </w:pPr>
          </w:p>
        </w:tc>
        <w:tc>
          <w:tcPr>
            <w:tcW w:w="2720" w:type="dxa"/>
            <w:vAlign w:val="bottom"/>
          </w:tcPr>
          <w:p>
            <w:pPr>
              <w:jc w:val="center"/>
              <w:ind w:right="628"/>
              <w:spacing w:after="0"/>
              <w:rPr>
                <w:sz w:val="20"/>
                <w:szCs w:val="20"/>
                <w:color w:val="auto"/>
              </w:rPr>
            </w:pPr>
            <w:r>
              <w:rPr>
                <w:rFonts w:ascii="Arial" w:cs="Arial" w:eastAsia="Arial" w:hAnsi="Arial"/>
                <w:sz w:val="14"/>
                <w:szCs w:val="14"/>
                <w:b w:val="1"/>
                <w:bCs w:val="1"/>
                <w:color w:val="auto"/>
                <w:w w:val="95"/>
              </w:rPr>
              <w:t>Par, or Maturity Value</w:t>
            </w:r>
          </w:p>
        </w:tc>
        <w:tc>
          <w:tcPr>
            <w:tcW w:w="1760" w:type="dxa"/>
            <w:vAlign w:val="bottom"/>
          </w:tcPr>
          <w:p>
            <w:pPr>
              <w:jc w:val="center"/>
              <w:ind w:left="439"/>
              <w:spacing w:after="0"/>
              <w:rPr>
                <w:sz w:val="20"/>
                <w:szCs w:val="20"/>
                <w:color w:val="auto"/>
              </w:rPr>
            </w:pPr>
            <w:r>
              <w:rPr>
                <w:rFonts w:ascii="Arial" w:cs="Arial" w:eastAsia="Arial" w:hAnsi="Arial"/>
                <w:sz w:val="14"/>
                <w:szCs w:val="14"/>
                <w:b w:val="1"/>
                <w:bCs w:val="1"/>
                <w:color w:val="auto"/>
                <w:w w:val="96"/>
              </w:rPr>
              <w:t>Value</w:t>
            </w:r>
          </w:p>
        </w:tc>
      </w:tr>
      <w:tr>
        <w:trPr>
          <w:trHeight w:val="256"/>
        </w:trPr>
        <w:tc>
          <w:tcPr>
            <w:tcW w:w="400" w:type="dxa"/>
            <w:vAlign w:val="bottom"/>
            <w:tcBorders>
              <w:bottom w:val="single" w:sz="8" w:color="CCEEFF"/>
            </w:tcBorders>
            <w:shd w:val="clear" w:color="auto" w:fill="CCEEFF"/>
          </w:tcPr>
          <w:p>
            <w:pPr>
              <w:spacing w:after="0"/>
              <w:rPr>
                <w:sz w:val="22"/>
                <w:szCs w:val="22"/>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COMTECH TELECOMMUNICATIONS CORP</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12,923</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CON-WAY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7,131</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CONAGRA FOODS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34,829</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CONMED CORP</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9,532</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CONOCOPHILLIPS</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323,408</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CONSOLIDATED EDISON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81,918</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CONTRA LEAP WIRELESS</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CONVERGYS CORP</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17,376</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CORELOGIC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18,006</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CORNING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112,861</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COSTCO WHOLESALE CORP</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64,355</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CRACKER BARREL OLD COUNTRY STO</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11,542</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CRANE CO</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8,394</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CST BRANDS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15,569</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CSX CORP</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75,467</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CUMMINS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27,536</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CVS HEALTH CORPORATION</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156,889</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CYS INVESTMENTS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6,627</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DANA HOLDING CORP</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12,501</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DARDEN RESTAURANTS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14,188</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DAVITA HEALTHCARE PARTNERS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6,514</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DEAN FOODS CO</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7,578</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DECKERS OUTDOOR CORP</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19,300</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DEERE &amp; CO</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58,390</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DELTA AIR LINES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35,023</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DELUXE CORP</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6,287</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DENBURY RESOURCES</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4,146</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DEVON ENERGY CORPORATION</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83,429</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DEVRY EDUCATION GROUP INC. DEL</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24,162</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DEX MEDIA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4,620</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DIAMOND OFFSHORE DRILLING INC COM</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12,775</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DIEBOLD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26,500</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DIGITAL RIVER,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6,702</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DILLARDS INC CL A</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16,148</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DISCOVER FINANCIAL SERVICES</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23,773</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DISH NETWORK CORP</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19,462</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DOMINION RES INC VA</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85,897</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DOMINOS PIZZA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16,668</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DOVER CORP COM</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20,297</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DOW CHEMICAL CO</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65,496</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DR PEPPER SNAPPLE GROUP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36,198</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DTE ENERGY CO COM</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71,946</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DU PONT E I DE NEMOURS &amp; CO</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78,598</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DUKE ENERGY HOLDING CORP. COM</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38,345</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DUN &amp; BRADSTREET CORP DEL NEW</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9,919</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DYNEGY INC/NEW</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6,434</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 M C CORP MASS</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104,298</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E*TRADE GROUP</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50,693</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400" w:type="dxa"/>
            <w:vAlign w:val="bottom"/>
            <w:shd w:val="clear" w:color="auto" w:fill="CCEEFF"/>
          </w:tcPr>
          <w:p>
            <w:pPr>
              <w:spacing w:after="0"/>
              <w:rPr>
                <w:sz w:val="20"/>
                <w:szCs w:val="20"/>
                <w:color w:val="auto"/>
              </w:rPr>
            </w:pPr>
          </w:p>
        </w:tc>
        <w:tc>
          <w:tcPr>
            <w:tcW w:w="4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EARTHLINK HOLDINGS CORP</w:t>
            </w:r>
          </w:p>
        </w:tc>
        <w:tc>
          <w:tcPr>
            <w:tcW w:w="222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7,428</w:t>
            </w:r>
          </w:p>
        </w:tc>
      </w:tr>
      <w:tr>
        <w:trPr>
          <w:trHeight w:val="33"/>
        </w:trPr>
        <w:tc>
          <w:tcPr>
            <w:tcW w:w="40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301" w:right="239" w:bottom="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00" w:type="dxa"/>
            <w:vAlign w:val="bottom"/>
          </w:tcPr>
          <w:p>
            <w:pPr>
              <w:ind w:left="500"/>
              <w:spacing w:after="0"/>
              <w:rPr>
                <w:sz w:val="20"/>
                <w:szCs w:val="20"/>
                <w:color w:val="auto"/>
              </w:rPr>
            </w:pPr>
            <w:r>
              <w:rPr>
                <w:rFonts w:ascii="Arial" w:cs="Arial" w:eastAsia="Arial" w:hAnsi="Arial"/>
                <w:sz w:val="16"/>
                <w:szCs w:val="16"/>
                <w:color w:val="auto"/>
              </w:rPr>
              <w:t>EASTMAN CHEM CO COM</w:t>
            </w:r>
          </w:p>
        </w:tc>
        <w:tc>
          <w:tcPr>
            <w:tcW w:w="4720" w:type="dxa"/>
            <w:vAlign w:val="bottom"/>
          </w:tcPr>
          <w:p>
            <w:pPr>
              <w:ind w:left="1640"/>
              <w:spacing w:after="0"/>
              <w:rPr>
                <w:sz w:val="20"/>
                <w:szCs w:val="20"/>
                <w:color w:val="auto"/>
              </w:rPr>
            </w:pPr>
            <w:r>
              <w:rPr>
                <w:rFonts w:ascii="Arial" w:cs="Arial" w:eastAsia="Arial" w:hAnsi="Arial"/>
                <w:sz w:val="16"/>
                <w:szCs w:val="16"/>
                <w:color w:val="auto"/>
              </w:rPr>
              <w:t>Common Stock</w:t>
            </w:r>
          </w:p>
        </w:tc>
        <w:tc>
          <w:tcPr>
            <w:tcW w:w="2600" w:type="dxa"/>
            <w:vAlign w:val="bottom"/>
          </w:tcPr>
          <w:p>
            <w:pPr>
              <w:jc w:val="right"/>
              <w:ind w:right="19"/>
              <w:spacing w:after="0"/>
              <w:rPr>
                <w:sz w:val="20"/>
                <w:szCs w:val="20"/>
                <w:color w:val="auto"/>
              </w:rPr>
            </w:pPr>
            <w:r>
              <w:rPr>
                <w:rFonts w:ascii="Arial" w:cs="Arial" w:eastAsia="Arial" w:hAnsi="Arial"/>
                <w:sz w:val="16"/>
                <w:szCs w:val="16"/>
                <w:color w:val="auto"/>
              </w:rPr>
              <w:t>8,724</w:t>
            </w:r>
          </w:p>
        </w:tc>
      </w:tr>
      <w:tr>
        <w:trPr>
          <w:trHeight w:val="47"/>
        </w:trPr>
        <w:tc>
          <w:tcPr>
            <w:tcW w:w="4100" w:type="dxa"/>
            <w:vAlign w:val="bottom"/>
          </w:tcPr>
          <w:p>
            <w:pPr>
              <w:spacing w:after="0"/>
              <w:rPr>
                <w:sz w:val="4"/>
                <w:szCs w:val="4"/>
                <w:color w:val="auto"/>
              </w:rPr>
            </w:pPr>
          </w:p>
        </w:tc>
        <w:tc>
          <w:tcPr>
            <w:tcW w:w="4720" w:type="dxa"/>
            <w:vAlign w:val="bottom"/>
          </w:tcPr>
          <w:p>
            <w:pPr>
              <w:spacing w:after="0"/>
              <w:rPr>
                <w:sz w:val="4"/>
                <w:szCs w:val="4"/>
                <w:color w:val="auto"/>
              </w:rPr>
            </w:pPr>
          </w:p>
        </w:tc>
        <w:tc>
          <w:tcPr>
            <w:tcW w:w="2600" w:type="dxa"/>
            <w:vAlign w:val="bottom"/>
          </w:tcPr>
          <w:p>
            <w:pPr>
              <w:spacing w:after="0"/>
              <w:rPr>
                <w:sz w:val="4"/>
                <w:szCs w:val="4"/>
                <w:color w:val="auto"/>
              </w:rPr>
            </w:pPr>
          </w:p>
        </w:tc>
      </w:tr>
      <w:tr>
        <w:trPr>
          <w:trHeight w:val="250"/>
        </w:trPr>
        <w:tc>
          <w:tcPr>
            <w:tcW w:w="4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EBAY INC</w:t>
            </w:r>
          </w:p>
        </w:tc>
        <w:tc>
          <w:tcPr>
            <w:tcW w:w="472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6"/>
                <w:szCs w:val="16"/>
                <w:color w:val="auto"/>
              </w:rPr>
              <w:t>Common Stock</w:t>
            </w:r>
          </w:p>
        </w:tc>
        <w:tc>
          <w:tcPr>
            <w:tcW w:w="2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35,468</w:t>
            </w:r>
          </w:p>
        </w:tc>
      </w:tr>
      <w:tr>
        <w:trPr>
          <w:trHeight w:val="237"/>
        </w:trPr>
        <w:tc>
          <w:tcPr>
            <w:tcW w:w="4100" w:type="dxa"/>
            <w:vAlign w:val="bottom"/>
          </w:tcPr>
          <w:p>
            <w:pPr>
              <w:ind w:left="500"/>
              <w:spacing w:after="0"/>
              <w:rPr>
                <w:sz w:val="20"/>
                <w:szCs w:val="20"/>
                <w:color w:val="auto"/>
              </w:rPr>
            </w:pPr>
            <w:r>
              <w:rPr>
                <w:rFonts w:ascii="Arial" w:cs="Arial" w:eastAsia="Arial" w:hAnsi="Arial"/>
                <w:sz w:val="16"/>
                <w:szCs w:val="16"/>
                <w:color w:val="auto"/>
              </w:rPr>
              <w:t>EDISON INTL COM</w:t>
            </w:r>
          </w:p>
        </w:tc>
        <w:tc>
          <w:tcPr>
            <w:tcW w:w="4720" w:type="dxa"/>
            <w:vAlign w:val="bottom"/>
          </w:tcPr>
          <w:p>
            <w:pPr>
              <w:ind w:left="1640"/>
              <w:spacing w:after="0"/>
              <w:rPr>
                <w:sz w:val="20"/>
                <w:szCs w:val="20"/>
                <w:color w:val="auto"/>
              </w:rPr>
            </w:pPr>
            <w:r>
              <w:rPr>
                <w:rFonts w:ascii="Arial" w:cs="Arial" w:eastAsia="Arial" w:hAnsi="Arial"/>
                <w:sz w:val="16"/>
                <w:szCs w:val="16"/>
                <w:color w:val="auto"/>
              </w:rPr>
              <w:t>Common Stock</w:t>
            </w:r>
          </w:p>
        </w:tc>
        <w:tc>
          <w:tcPr>
            <w:tcW w:w="2600" w:type="dxa"/>
            <w:vAlign w:val="bottom"/>
          </w:tcPr>
          <w:p>
            <w:pPr>
              <w:jc w:val="right"/>
              <w:ind w:right="19"/>
              <w:spacing w:after="0"/>
              <w:rPr>
                <w:sz w:val="20"/>
                <w:szCs w:val="20"/>
                <w:color w:val="auto"/>
              </w:rPr>
            </w:pPr>
            <w:r>
              <w:rPr>
                <w:rFonts w:ascii="Arial" w:cs="Arial" w:eastAsia="Arial" w:hAnsi="Arial"/>
                <w:sz w:val="16"/>
                <w:szCs w:val="16"/>
                <w:color w:val="auto"/>
              </w:rPr>
              <w:t>93,047</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30" w:right="239" w:bottom="1440" w:gutter="0" w:footer="0" w:header="0"/>
        </w:sectPr>
      </w:pPr>
    </w:p>
    <w:bookmarkStart w:id="29" w:name="page30"/>
    <w:bookmarkEnd w:id="29"/>
    <w:p>
      <w:pPr>
        <w:ind w:left="40"/>
        <w:spacing w:after="0"/>
        <w:rPr>
          <w:sz w:val="20"/>
          <w:szCs w:val="20"/>
          <w:color w:val="auto"/>
        </w:rPr>
      </w:pPr>
      <w:r>
        <w:rPr>
          <w:rFonts w:ascii="Arial" w:cs="Arial" w:eastAsia="Arial" w:hAnsi="Arial"/>
          <w:sz w:val="16"/>
          <w:szCs w:val="16"/>
          <w:b w:val="1"/>
          <w:bCs w:val="1"/>
          <w:color w:val="auto"/>
        </w:rPr>
        <w:t>WESCO Distribution, Inc.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Retirement Savings Plan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Schedule H (Form 5500), line 4(i) - Schedule of Assets (Held at End of Year)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EIN 25-1723345, Plan Number 001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2014</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 w:type="dxa"/>
            <w:vAlign w:val="bottom"/>
          </w:tcPr>
          <w:p>
            <w:pPr>
              <w:ind w:left="160"/>
              <w:spacing w:after="0"/>
              <w:rPr>
                <w:sz w:val="20"/>
                <w:szCs w:val="20"/>
                <w:color w:val="auto"/>
              </w:rPr>
            </w:pPr>
            <w:r>
              <w:rPr>
                <w:rFonts w:ascii="Arial" w:cs="Arial" w:eastAsia="Arial" w:hAnsi="Arial"/>
                <w:sz w:val="14"/>
                <w:szCs w:val="14"/>
                <w:b w:val="1"/>
                <w:bCs w:val="1"/>
                <w:color w:val="auto"/>
              </w:rPr>
              <w:t>(a)</w:t>
            </w:r>
          </w:p>
        </w:tc>
        <w:tc>
          <w:tcPr>
            <w:tcW w:w="4480" w:type="dxa"/>
            <w:vAlign w:val="bottom"/>
          </w:tcPr>
          <w:p>
            <w:pPr>
              <w:jc w:val="center"/>
              <w:ind w:left="820"/>
              <w:spacing w:after="0"/>
              <w:rPr>
                <w:sz w:val="20"/>
                <w:szCs w:val="20"/>
                <w:color w:val="auto"/>
              </w:rPr>
            </w:pPr>
            <w:r>
              <w:rPr>
                <w:rFonts w:ascii="Arial" w:cs="Arial" w:eastAsia="Arial" w:hAnsi="Arial"/>
                <w:sz w:val="14"/>
                <w:szCs w:val="14"/>
                <w:b w:val="1"/>
                <w:bCs w:val="1"/>
                <w:color w:val="auto"/>
              </w:rPr>
              <w:t>(b)</w:t>
            </w:r>
          </w:p>
        </w:tc>
        <w:tc>
          <w:tcPr>
            <w:tcW w:w="2060" w:type="dxa"/>
            <w:vAlign w:val="bottom"/>
          </w:tcPr>
          <w:p>
            <w:pPr>
              <w:spacing w:after="0"/>
              <w:rPr>
                <w:sz w:val="16"/>
                <w:szCs w:val="16"/>
                <w:color w:val="auto"/>
              </w:rPr>
            </w:pPr>
          </w:p>
        </w:tc>
        <w:tc>
          <w:tcPr>
            <w:tcW w:w="2720" w:type="dxa"/>
            <w:vAlign w:val="bottom"/>
          </w:tcPr>
          <w:p>
            <w:pPr>
              <w:jc w:val="center"/>
              <w:ind w:right="648"/>
              <w:spacing w:after="0"/>
              <w:rPr>
                <w:sz w:val="20"/>
                <w:szCs w:val="20"/>
                <w:color w:val="auto"/>
              </w:rPr>
            </w:pPr>
            <w:r>
              <w:rPr>
                <w:rFonts w:ascii="Arial" w:cs="Arial" w:eastAsia="Arial" w:hAnsi="Arial"/>
                <w:sz w:val="14"/>
                <w:szCs w:val="14"/>
                <w:b w:val="1"/>
                <w:bCs w:val="1"/>
                <w:color w:val="auto"/>
                <w:w w:val="93"/>
              </w:rPr>
              <w:t>(c)</w:t>
            </w:r>
          </w:p>
        </w:tc>
        <w:tc>
          <w:tcPr>
            <w:tcW w:w="1760" w:type="dxa"/>
            <w:vAlign w:val="bottom"/>
          </w:tcPr>
          <w:p>
            <w:pPr>
              <w:jc w:val="center"/>
              <w:ind w:left="439"/>
              <w:spacing w:after="0"/>
              <w:rPr>
                <w:sz w:val="20"/>
                <w:szCs w:val="20"/>
                <w:color w:val="auto"/>
              </w:rPr>
            </w:pPr>
            <w:r>
              <w:rPr>
                <w:rFonts w:ascii="Arial" w:cs="Arial" w:eastAsia="Arial" w:hAnsi="Arial"/>
                <w:sz w:val="14"/>
                <w:szCs w:val="14"/>
                <w:b w:val="1"/>
                <w:bCs w:val="1"/>
                <w:color w:val="auto"/>
                <w:w w:val="89"/>
              </w:rPr>
              <w:t>(d)</w:t>
            </w:r>
          </w:p>
        </w:tc>
      </w:tr>
      <w:tr>
        <w:trPr>
          <w:trHeight w:val="270"/>
        </w:trPr>
        <w:tc>
          <w:tcPr>
            <w:tcW w:w="40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2720" w:type="dxa"/>
            <w:vAlign w:val="bottom"/>
          </w:tcPr>
          <w:p>
            <w:pPr>
              <w:jc w:val="center"/>
              <w:ind w:right="628"/>
              <w:spacing w:after="0"/>
              <w:rPr>
                <w:sz w:val="20"/>
                <w:szCs w:val="20"/>
                <w:color w:val="auto"/>
              </w:rPr>
            </w:pPr>
            <w:r>
              <w:rPr>
                <w:rFonts w:ascii="Arial" w:cs="Arial" w:eastAsia="Arial" w:hAnsi="Arial"/>
                <w:sz w:val="14"/>
                <w:szCs w:val="14"/>
                <w:b w:val="1"/>
                <w:bCs w:val="1"/>
                <w:color w:val="auto"/>
                <w:w w:val="91"/>
              </w:rPr>
              <w:t>Description of Investment</w:t>
            </w:r>
          </w:p>
        </w:tc>
        <w:tc>
          <w:tcPr>
            <w:tcW w:w="176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480" w:type="dxa"/>
            <w:vAlign w:val="bottom"/>
          </w:tcPr>
          <w:p>
            <w:pPr>
              <w:jc w:val="center"/>
              <w:ind w:left="820"/>
              <w:spacing w:after="0"/>
              <w:rPr>
                <w:sz w:val="20"/>
                <w:szCs w:val="20"/>
                <w:color w:val="auto"/>
              </w:rPr>
            </w:pPr>
            <w:r>
              <w:rPr>
                <w:rFonts w:ascii="Arial" w:cs="Arial" w:eastAsia="Arial" w:hAnsi="Arial"/>
                <w:sz w:val="14"/>
                <w:szCs w:val="14"/>
                <w:b w:val="1"/>
                <w:bCs w:val="1"/>
                <w:color w:val="auto"/>
                <w:w w:val="92"/>
              </w:rPr>
              <w:t>Identity of Issue,</w:t>
            </w:r>
          </w:p>
        </w:tc>
        <w:tc>
          <w:tcPr>
            <w:tcW w:w="2060" w:type="dxa"/>
            <w:vAlign w:val="bottom"/>
          </w:tcPr>
          <w:p>
            <w:pPr>
              <w:spacing w:after="0"/>
              <w:rPr>
                <w:sz w:val="23"/>
                <w:szCs w:val="23"/>
                <w:color w:val="auto"/>
              </w:rPr>
            </w:pPr>
          </w:p>
        </w:tc>
        <w:tc>
          <w:tcPr>
            <w:tcW w:w="2720" w:type="dxa"/>
            <w:vAlign w:val="bottom"/>
          </w:tcPr>
          <w:p>
            <w:pPr>
              <w:jc w:val="center"/>
              <w:ind w:right="628"/>
              <w:spacing w:after="0"/>
              <w:rPr>
                <w:sz w:val="20"/>
                <w:szCs w:val="20"/>
                <w:color w:val="auto"/>
              </w:rPr>
            </w:pPr>
            <w:r>
              <w:rPr>
                <w:rFonts w:ascii="Arial" w:cs="Arial" w:eastAsia="Arial" w:hAnsi="Arial"/>
                <w:sz w:val="14"/>
                <w:szCs w:val="14"/>
                <w:b w:val="1"/>
                <w:bCs w:val="1"/>
                <w:color w:val="auto"/>
                <w:w w:val="97"/>
              </w:rPr>
              <w:t>Including Maturity Date,</w:t>
            </w:r>
          </w:p>
        </w:tc>
        <w:tc>
          <w:tcPr>
            <w:tcW w:w="176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480" w:type="dxa"/>
            <w:vAlign w:val="bottom"/>
          </w:tcPr>
          <w:p>
            <w:pPr>
              <w:jc w:val="center"/>
              <w:ind w:left="840"/>
              <w:spacing w:after="0"/>
              <w:rPr>
                <w:sz w:val="20"/>
                <w:szCs w:val="20"/>
                <w:color w:val="auto"/>
              </w:rPr>
            </w:pPr>
            <w:r>
              <w:rPr>
                <w:rFonts w:ascii="Arial" w:cs="Arial" w:eastAsia="Arial" w:hAnsi="Arial"/>
                <w:sz w:val="14"/>
                <w:szCs w:val="14"/>
                <w:b w:val="1"/>
                <w:bCs w:val="1"/>
                <w:color w:val="auto"/>
                <w:w w:val="92"/>
              </w:rPr>
              <w:t>Borrower, Lessor or</w:t>
            </w:r>
          </w:p>
        </w:tc>
        <w:tc>
          <w:tcPr>
            <w:tcW w:w="2060" w:type="dxa"/>
            <w:vAlign w:val="bottom"/>
          </w:tcPr>
          <w:p>
            <w:pPr>
              <w:spacing w:after="0"/>
              <w:rPr>
                <w:sz w:val="23"/>
                <w:szCs w:val="23"/>
                <w:color w:val="auto"/>
              </w:rPr>
            </w:pPr>
          </w:p>
        </w:tc>
        <w:tc>
          <w:tcPr>
            <w:tcW w:w="2720" w:type="dxa"/>
            <w:vAlign w:val="bottom"/>
          </w:tcPr>
          <w:p>
            <w:pPr>
              <w:jc w:val="center"/>
              <w:ind w:right="648"/>
              <w:spacing w:after="0"/>
              <w:rPr>
                <w:sz w:val="20"/>
                <w:szCs w:val="20"/>
                <w:color w:val="auto"/>
              </w:rPr>
            </w:pPr>
            <w:r>
              <w:rPr>
                <w:rFonts w:ascii="Arial" w:cs="Arial" w:eastAsia="Arial" w:hAnsi="Arial"/>
                <w:sz w:val="14"/>
                <w:szCs w:val="14"/>
                <w:b w:val="1"/>
                <w:bCs w:val="1"/>
                <w:color w:val="auto"/>
                <w:w w:val="94"/>
              </w:rPr>
              <w:t>Rate of Interest, Collateral,</w:t>
            </w:r>
          </w:p>
        </w:tc>
        <w:tc>
          <w:tcPr>
            <w:tcW w:w="1760" w:type="dxa"/>
            <w:vAlign w:val="bottom"/>
          </w:tcPr>
          <w:p>
            <w:pPr>
              <w:jc w:val="center"/>
              <w:ind w:left="419"/>
              <w:spacing w:after="0"/>
              <w:rPr>
                <w:sz w:val="20"/>
                <w:szCs w:val="20"/>
                <w:color w:val="auto"/>
              </w:rPr>
            </w:pPr>
            <w:r>
              <w:rPr>
                <w:rFonts w:ascii="Arial" w:cs="Arial" w:eastAsia="Arial" w:hAnsi="Arial"/>
                <w:sz w:val="14"/>
                <w:szCs w:val="14"/>
                <w:b w:val="1"/>
                <w:bCs w:val="1"/>
                <w:color w:val="auto"/>
                <w:w w:val="98"/>
              </w:rPr>
              <w:t>Current</w:t>
            </w:r>
          </w:p>
        </w:tc>
      </w:tr>
      <w:tr>
        <w:trPr>
          <w:trHeight w:val="276"/>
        </w:trPr>
        <w:tc>
          <w:tcPr>
            <w:tcW w:w="400" w:type="dxa"/>
            <w:vAlign w:val="bottom"/>
          </w:tcPr>
          <w:p>
            <w:pPr>
              <w:spacing w:after="0"/>
              <w:rPr>
                <w:sz w:val="24"/>
                <w:szCs w:val="24"/>
                <w:color w:val="auto"/>
              </w:rPr>
            </w:pPr>
          </w:p>
        </w:tc>
        <w:tc>
          <w:tcPr>
            <w:tcW w:w="4480" w:type="dxa"/>
            <w:vAlign w:val="bottom"/>
          </w:tcPr>
          <w:p>
            <w:pPr>
              <w:jc w:val="center"/>
              <w:ind w:left="840"/>
              <w:spacing w:after="0"/>
              <w:rPr>
                <w:sz w:val="20"/>
                <w:szCs w:val="20"/>
                <w:color w:val="auto"/>
              </w:rPr>
            </w:pPr>
            <w:r>
              <w:rPr>
                <w:rFonts w:ascii="Arial" w:cs="Arial" w:eastAsia="Arial" w:hAnsi="Arial"/>
                <w:sz w:val="14"/>
                <w:szCs w:val="14"/>
                <w:b w:val="1"/>
                <w:bCs w:val="1"/>
                <w:color w:val="auto"/>
                <w:w w:val="98"/>
              </w:rPr>
              <w:t>Similar Party</w:t>
            </w:r>
          </w:p>
        </w:tc>
        <w:tc>
          <w:tcPr>
            <w:tcW w:w="2060" w:type="dxa"/>
            <w:vAlign w:val="bottom"/>
          </w:tcPr>
          <w:p>
            <w:pPr>
              <w:spacing w:after="0"/>
              <w:rPr>
                <w:sz w:val="24"/>
                <w:szCs w:val="24"/>
                <w:color w:val="auto"/>
              </w:rPr>
            </w:pPr>
          </w:p>
        </w:tc>
        <w:tc>
          <w:tcPr>
            <w:tcW w:w="2720" w:type="dxa"/>
            <w:vAlign w:val="bottom"/>
          </w:tcPr>
          <w:p>
            <w:pPr>
              <w:jc w:val="center"/>
              <w:ind w:right="628"/>
              <w:spacing w:after="0"/>
              <w:rPr>
                <w:sz w:val="20"/>
                <w:szCs w:val="20"/>
                <w:color w:val="auto"/>
              </w:rPr>
            </w:pPr>
            <w:r>
              <w:rPr>
                <w:rFonts w:ascii="Arial" w:cs="Arial" w:eastAsia="Arial" w:hAnsi="Arial"/>
                <w:sz w:val="14"/>
                <w:szCs w:val="14"/>
                <w:b w:val="1"/>
                <w:bCs w:val="1"/>
                <w:color w:val="auto"/>
                <w:w w:val="95"/>
              </w:rPr>
              <w:t>Par, or Maturity Value</w:t>
            </w:r>
          </w:p>
        </w:tc>
        <w:tc>
          <w:tcPr>
            <w:tcW w:w="1760" w:type="dxa"/>
            <w:vAlign w:val="bottom"/>
          </w:tcPr>
          <w:p>
            <w:pPr>
              <w:jc w:val="center"/>
              <w:ind w:left="439"/>
              <w:spacing w:after="0"/>
              <w:rPr>
                <w:sz w:val="20"/>
                <w:szCs w:val="20"/>
                <w:color w:val="auto"/>
              </w:rPr>
            </w:pPr>
            <w:r>
              <w:rPr>
                <w:rFonts w:ascii="Arial" w:cs="Arial" w:eastAsia="Arial" w:hAnsi="Arial"/>
                <w:sz w:val="14"/>
                <w:szCs w:val="14"/>
                <w:b w:val="1"/>
                <w:bCs w:val="1"/>
                <w:color w:val="auto"/>
                <w:w w:val="96"/>
              </w:rPr>
              <w:t>Value</w:t>
            </w:r>
          </w:p>
        </w:tc>
      </w:tr>
      <w:tr>
        <w:trPr>
          <w:trHeight w:val="256"/>
        </w:trPr>
        <w:tc>
          <w:tcPr>
            <w:tcW w:w="400" w:type="dxa"/>
            <w:vAlign w:val="bottom"/>
            <w:tcBorders>
              <w:bottom w:val="single" w:sz="8" w:color="CCEEFF"/>
            </w:tcBorders>
            <w:shd w:val="clear" w:color="auto" w:fill="CCEEFF"/>
          </w:tcPr>
          <w:p>
            <w:pPr>
              <w:spacing w:after="0"/>
              <w:rPr>
                <w:sz w:val="22"/>
                <w:szCs w:val="22"/>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ELECTRONIC ARTS INC</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58,628</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ELI LILLY &amp; CO COM</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157,090</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EMCOR GROUP INC COM</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8,097</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EMERSON ELECTRIC CO</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121,053</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ENERGEN CORP</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16,450</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ENERGIZER HOLDINGS INC</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18,384</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ENTERGY CORP NEW COM</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131,045</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EOG RESOURCES, INC</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28,910</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EQUITY COMMONWEALTH</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12,578</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EQUITY RESIDENTIAL PPTYS TR SH BEN</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15,015</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EURONET WORLDWIDE INC.</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15,482</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EXELIS INC</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36,515</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EXELON CORPORATION</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145,094</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EXPEDIA INC</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17,499</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EXPRESS INC</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8,902</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EXTERRAN HOLDINGS INC</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17,919</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EXXON MOBIL CORPORATION</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919,230</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FAIRCHILD SEMICONDUCTR INTERNATIONAL</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6,769</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FEDERATED INVESTORS INC</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9,945</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FEDEX CORPORATION</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71,201</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FERRO CORP</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9,927</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FIFTH THIRD BANCORP</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23,431</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FINISAR CORP</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7,395</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FINISH LINE INC CL A</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9,043</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FIRST CTZNS BANCSHARES INC CL A</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9,606</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FIRST SOLAR INC</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21,227</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FIRSTENERGY CORP COM</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65,113</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FIVE STAR QUALITY CARE</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8,524</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FLOWERS FOODS INC</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5,316</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FLOWSERVE CORP COM</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9,692</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FLUOR CORP NEW</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15,158</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FOOT LOCKER INC</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18,259</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FORD MOTOR COMPANY</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48,236</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FOREST OIL CORP</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532</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FORTUNE BRANDS HOME &amp; SECURITY</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7,922</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FRANKLIN RESOURCES INC</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13,898</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FREEPORT-MCMORAN INC.</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113,132</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FRONTIER COMMUNICATIONS CORPORATION</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73,937</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FTI CONSULTING INC COM</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13,443</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GALLAGHER ARTHUR J &amp; CO</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8,004</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GAMESTOP CORP NEW</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30,657</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GANNETT INC</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29,024</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GAP INC</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28,803</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GATX CORP</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9,149</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GENERAL CABLE CORP COM</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6,154</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GENERAL DYNAMICS CORP</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147,804</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GENERAL ELECTRIC CO</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366,845</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GENERAL MILLS INC</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36,584</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400" w:type="dxa"/>
            <w:vAlign w:val="bottom"/>
            <w:shd w:val="clear" w:color="auto" w:fill="CCEEFF"/>
          </w:tcPr>
          <w:p>
            <w:pPr>
              <w:spacing w:after="0"/>
              <w:rPr>
                <w:sz w:val="20"/>
                <w:szCs w:val="20"/>
                <w:color w:val="auto"/>
              </w:rPr>
            </w:pPr>
          </w:p>
        </w:tc>
        <w:tc>
          <w:tcPr>
            <w:tcW w:w="44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GENERAL MOTORS CO</w:t>
            </w:r>
          </w:p>
        </w:tc>
        <w:tc>
          <w:tcPr>
            <w:tcW w:w="2060" w:type="dxa"/>
            <w:vAlign w:val="bottom"/>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94,816</w:t>
            </w:r>
          </w:p>
        </w:tc>
      </w:tr>
      <w:tr>
        <w:trPr>
          <w:trHeight w:val="33"/>
        </w:trPr>
        <w:tc>
          <w:tcPr>
            <w:tcW w:w="400" w:type="dxa"/>
            <w:vAlign w:val="bottom"/>
            <w:shd w:val="clear" w:color="auto" w:fill="CCEEFF"/>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301" w:right="239" w:bottom="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200" w:type="dxa"/>
            <w:vAlign w:val="bottom"/>
          </w:tcPr>
          <w:p>
            <w:pPr>
              <w:ind w:left="500"/>
              <w:spacing w:after="0"/>
              <w:rPr>
                <w:sz w:val="20"/>
                <w:szCs w:val="20"/>
                <w:color w:val="auto"/>
              </w:rPr>
            </w:pPr>
            <w:r>
              <w:rPr>
                <w:rFonts w:ascii="Arial" w:cs="Arial" w:eastAsia="Arial" w:hAnsi="Arial"/>
                <w:sz w:val="16"/>
                <w:szCs w:val="16"/>
                <w:color w:val="auto"/>
              </w:rPr>
              <w:t>GENESCO INC COM</w:t>
            </w:r>
          </w:p>
        </w:tc>
        <w:tc>
          <w:tcPr>
            <w:tcW w:w="4620" w:type="dxa"/>
            <w:vAlign w:val="bottom"/>
          </w:tcPr>
          <w:p>
            <w:pPr>
              <w:ind w:left="1540"/>
              <w:spacing w:after="0"/>
              <w:rPr>
                <w:sz w:val="20"/>
                <w:szCs w:val="20"/>
                <w:color w:val="auto"/>
              </w:rPr>
            </w:pPr>
            <w:r>
              <w:rPr>
                <w:rFonts w:ascii="Arial" w:cs="Arial" w:eastAsia="Arial" w:hAnsi="Arial"/>
                <w:sz w:val="16"/>
                <w:szCs w:val="16"/>
                <w:color w:val="auto"/>
              </w:rPr>
              <w:t>Common Stock</w:t>
            </w:r>
          </w:p>
        </w:tc>
        <w:tc>
          <w:tcPr>
            <w:tcW w:w="2600" w:type="dxa"/>
            <w:vAlign w:val="bottom"/>
          </w:tcPr>
          <w:p>
            <w:pPr>
              <w:jc w:val="right"/>
              <w:ind w:right="19"/>
              <w:spacing w:after="0"/>
              <w:rPr>
                <w:sz w:val="20"/>
                <w:szCs w:val="20"/>
                <w:color w:val="auto"/>
              </w:rPr>
            </w:pPr>
            <w:r>
              <w:rPr>
                <w:rFonts w:ascii="Arial" w:cs="Arial" w:eastAsia="Arial" w:hAnsi="Arial"/>
                <w:sz w:val="16"/>
                <w:szCs w:val="16"/>
                <w:color w:val="auto"/>
              </w:rPr>
              <w:t>6,666</w:t>
            </w:r>
          </w:p>
        </w:tc>
      </w:tr>
      <w:tr>
        <w:trPr>
          <w:trHeight w:val="47"/>
        </w:trPr>
        <w:tc>
          <w:tcPr>
            <w:tcW w:w="4200" w:type="dxa"/>
            <w:vAlign w:val="bottom"/>
          </w:tcPr>
          <w:p>
            <w:pPr>
              <w:spacing w:after="0"/>
              <w:rPr>
                <w:sz w:val="4"/>
                <w:szCs w:val="4"/>
                <w:color w:val="auto"/>
              </w:rPr>
            </w:pPr>
          </w:p>
        </w:tc>
        <w:tc>
          <w:tcPr>
            <w:tcW w:w="4620" w:type="dxa"/>
            <w:vAlign w:val="bottom"/>
          </w:tcPr>
          <w:p>
            <w:pPr>
              <w:spacing w:after="0"/>
              <w:rPr>
                <w:sz w:val="4"/>
                <w:szCs w:val="4"/>
                <w:color w:val="auto"/>
              </w:rPr>
            </w:pPr>
          </w:p>
        </w:tc>
        <w:tc>
          <w:tcPr>
            <w:tcW w:w="2600" w:type="dxa"/>
            <w:vAlign w:val="bottom"/>
          </w:tcPr>
          <w:p>
            <w:pPr>
              <w:spacing w:after="0"/>
              <w:rPr>
                <w:sz w:val="4"/>
                <w:szCs w:val="4"/>
                <w:color w:val="auto"/>
              </w:rPr>
            </w:pPr>
          </w:p>
        </w:tc>
      </w:tr>
      <w:tr>
        <w:trPr>
          <w:trHeight w:val="250"/>
        </w:trPr>
        <w:tc>
          <w:tcPr>
            <w:tcW w:w="4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GENTIVA HEALTH SERVICES</w:t>
            </w:r>
          </w:p>
        </w:tc>
        <w:tc>
          <w:tcPr>
            <w:tcW w:w="46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6"/>
                <w:szCs w:val="16"/>
                <w:color w:val="auto"/>
              </w:rPr>
              <w:t>Common Stock</w:t>
            </w:r>
          </w:p>
        </w:tc>
        <w:tc>
          <w:tcPr>
            <w:tcW w:w="2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6,896</w:t>
            </w:r>
          </w:p>
        </w:tc>
      </w:tr>
      <w:tr>
        <w:trPr>
          <w:trHeight w:val="237"/>
        </w:trPr>
        <w:tc>
          <w:tcPr>
            <w:tcW w:w="4200" w:type="dxa"/>
            <w:vAlign w:val="bottom"/>
          </w:tcPr>
          <w:p>
            <w:pPr>
              <w:ind w:left="500"/>
              <w:spacing w:after="0"/>
              <w:rPr>
                <w:sz w:val="20"/>
                <w:szCs w:val="20"/>
                <w:color w:val="auto"/>
              </w:rPr>
            </w:pPr>
            <w:r>
              <w:rPr>
                <w:rFonts w:ascii="Arial" w:cs="Arial" w:eastAsia="Arial" w:hAnsi="Arial"/>
                <w:sz w:val="16"/>
                <w:szCs w:val="16"/>
                <w:color w:val="auto"/>
              </w:rPr>
              <w:t>GENUINE PARTS CO</w:t>
            </w:r>
          </w:p>
        </w:tc>
        <w:tc>
          <w:tcPr>
            <w:tcW w:w="4620" w:type="dxa"/>
            <w:vAlign w:val="bottom"/>
          </w:tcPr>
          <w:p>
            <w:pPr>
              <w:ind w:left="1540"/>
              <w:spacing w:after="0"/>
              <w:rPr>
                <w:sz w:val="20"/>
                <w:szCs w:val="20"/>
                <w:color w:val="auto"/>
              </w:rPr>
            </w:pPr>
            <w:r>
              <w:rPr>
                <w:rFonts w:ascii="Arial" w:cs="Arial" w:eastAsia="Arial" w:hAnsi="Arial"/>
                <w:sz w:val="16"/>
                <w:szCs w:val="16"/>
                <w:color w:val="auto"/>
              </w:rPr>
              <w:t>Common Stock</w:t>
            </w:r>
          </w:p>
        </w:tc>
        <w:tc>
          <w:tcPr>
            <w:tcW w:w="2600" w:type="dxa"/>
            <w:vAlign w:val="bottom"/>
          </w:tcPr>
          <w:p>
            <w:pPr>
              <w:jc w:val="right"/>
              <w:ind w:right="19"/>
              <w:spacing w:after="0"/>
              <w:rPr>
                <w:sz w:val="20"/>
                <w:szCs w:val="20"/>
                <w:color w:val="auto"/>
              </w:rPr>
            </w:pPr>
            <w:r>
              <w:rPr>
                <w:rFonts w:ascii="Arial" w:cs="Arial" w:eastAsia="Arial" w:hAnsi="Arial"/>
                <w:sz w:val="16"/>
                <w:szCs w:val="16"/>
                <w:color w:val="auto"/>
              </w:rPr>
              <w:t>41,456</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0" w:right="239" w:bottom="1440" w:gutter="0" w:footer="0" w:header="0"/>
        </w:sectPr>
      </w:pPr>
    </w:p>
    <w:bookmarkStart w:id="31" w:name="page32"/>
    <w:bookmarkEnd w:id="31"/>
    <w:p>
      <w:pPr>
        <w:ind w:left="40"/>
        <w:spacing w:after="0"/>
        <w:rPr>
          <w:sz w:val="20"/>
          <w:szCs w:val="20"/>
          <w:color w:val="auto"/>
        </w:rPr>
      </w:pPr>
      <w:r>
        <w:rPr>
          <w:rFonts w:ascii="Arial" w:cs="Arial" w:eastAsia="Arial" w:hAnsi="Arial"/>
          <w:sz w:val="16"/>
          <w:szCs w:val="16"/>
          <w:b w:val="1"/>
          <w:bCs w:val="1"/>
          <w:color w:val="auto"/>
        </w:rPr>
        <w:t>WESCO Distribution, Inc.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Retirement Savings Plan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Schedule H (Form 5500), line 4(i) - Schedule of Assets (Held at End of Year)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EIN 25-1723345, Plan Number 001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2014</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 w:type="dxa"/>
            <w:vAlign w:val="bottom"/>
          </w:tcPr>
          <w:p>
            <w:pPr>
              <w:ind w:left="160"/>
              <w:spacing w:after="0"/>
              <w:rPr>
                <w:sz w:val="20"/>
                <w:szCs w:val="20"/>
                <w:color w:val="auto"/>
              </w:rPr>
            </w:pPr>
            <w:r>
              <w:rPr>
                <w:rFonts w:ascii="Arial" w:cs="Arial" w:eastAsia="Arial" w:hAnsi="Arial"/>
                <w:sz w:val="14"/>
                <w:szCs w:val="14"/>
                <w:b w:val="1"/>
                <w:bCs w:val="1"/>
                <w:color w:val="auto"/>
              </w:rPr>
              <w:t>(a)</w:t>
            </w:r>
          </w:p>
        </w:tc>
        <w:tc>
          <w:tcPr>
            <w:tcW w:w="4440" w:type="dxa"/>
            <w:vAlign w:val="bottom"/>
          </w:tcPr>
          <w:p>
            <w:pPr>
              <w:jc w:val="center"/>
              <w:ind w:left="860"/>
              <w:spacing w:after="0"/>
              <w:rPr>
                <w:sz w:val="20"/>
                <w:szCs w:val="20"/>
                <w:color w:val="auto"/>
              </w:rPr>
            </w:pPr>
            <w:r>
              <w:rPr>
                <w:rFonts w:ascii="Arial" w:cs="Arial" w:eastAsia="Arial" w:hAnsi="Arial"/>
                <w:sz w:val="14"/>
                <w:szCs w:val="14"/>
                <w:b w:val="1"/>
                <w:bCs w:val="1"/>
                <w:color w:val="auto"/>
              </w:rPr>
              <w:t>(b)</w:t>
            </w:r>
          </w:p>
        </w:tc>
        <w:tc>
          <w:tcPr>
            <w:tcW w:w="2100" w:type="dxa"/>
            <w:vAlign w:val="bottom"/>
          </w:tcPr>
          <w:p>
            <w:pPr>
              <w:spacing w:after="0"/>
              <w:rPr>
                <w:sz w:val="16"/>
                <w:szCs w:val="16"/>
                <w:color w:val="auto"/>
              </w:rPr>
            </w:pPr>
          </w:p>
        </w:tc>
        <w:tc>
          <w:tcPr>
            <w:tcW w:w="2720" w:type="dxa"/>
            <w:vAlign w:val="bottom"/>
          </w:tcPr>
          <w:p>
            <w:pPr>
              <w:jc w:val="center"/>
              <w:ind w:right="648"/>
              <w:spacing w:after="0"/>
              <w:rPr>
                <w:sz w:val="20"/>
                <w:szCs w:val="20"/>
                <w:color w:val="auto"/>
              </w:rPr>
            </w:pPr>
            <w:r>
              <w:rPr>
                <w:rFonts w:ascii="Arial" w:cs="Arial" w:eastAsia="Arial" w:hAnsi="Arial"/>
                <w:sz w:val="14"/>
                <w:szCs w:val="14"/>
                <w:b w:val="1"/>
                <w:bCs w:val="1"/>
                <w:color w:val="auto"/>
                <w:w w:val="93"/>
              </w:rPr>
              <w:t>(c)</w:t>
            </w:r>
          </w:p>
        </w:tc>
        <w:tc>
          <w:tcPr>
            <w:tcW w:w="1760" w:type="dxa"/>
            <w:vAlign w:val="bottom"/>
          </w:tcPr>
          <w:p>
            <w:pPr>
              <w:jc w:val="center"/>
              <w:ind w:left="439"/>
              <w:spacing w:after="0"/>
              <w:rPr>
                <w:sz w:val="20"/>
                <w:szCs w:val="20"/>
                <w:color w:val="auto"/>
              </w:rPr>
            </w:pPr>
            <w:r>
              <w:rPr>
                <w:rFonts w:ascii="Arial" w:cs="Arial" w:eastAsia="Arial" w:hAnsi="Arial"/>
                <w:sz w:val="14"/>
                <w:szCs w:val="14"/>
                <w:b w:val="1"/>
                <w:bCs w:val="1"/>
                <w:color w:val="auto"/>
                <w:w w:val="89"/>
              </w:rPr>
              <w:t>(d)</w:t>
            </w:r>
          </w:p>
        </w:tc>
      </w:tr>
      <w:tr>
        <w:trPr>
          <w:trHeight w:val="270"/>
        </w:trPr>
        <w:tc>
          <w:tcPr>
            <w:tcW w:w="40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720" w:type="dxa"/>
            <w:vAlign w:val="bottom"/>
          </w:tcPr>
          <w:p>
            <w:pPr>
              <w:jc w:val="center"/>
              <w:ind w:right="628"/>
              <w:spacing w:after="0"/>
              <w:rPr>
                <w:sz w:val="20"/>
                <w:szCs w:val="20"/>
                <w:color w:val="auto"/>
              </w:rPr>
            </w:pPr>
            <w:r>
              <w:rPr>
                <w:rFonts w:ascii="Arial" w:cs="Arial" w:eastAsia="Arial" w:hAnsi="Arial"/>
                <w:sz w:val="14"/>
                <w:szCs w:val="14"/>
                <w:b w:val="1"/>
                <w:bCs w:val="1"/>
                <w:color w:val="auto"/>
                <w:w w:val="91"/>
              </w:rPr>
              <w:t>Description of Investment</w:t>
            </w:r>
          </w:p>
        </w:tc>
        <w:tc>
          <w:tcPr>
            <w:tcW w:w="176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440" w:type="dxa"/>
            <w:vAlign w:val="bottom"/>
          </w:tcPr>
          <w:p>
            <w:pPr>
              <w:jc w:val="center"/>
              <w:ind w:left="860"/>
              <w:spacing w:after="0"/>
              <w:rPr>
                <w:sz w:val="20"/>
                <w:szCs w:val="20"/>
                <w:color w:val="auto"/>
              </w:rPr>
            </w:pPr>
            <w:r>
              <w:rPr>
                <w:rFonts w:ascii="Arial" w:cs="Arial" w:eastAsia="Arial" w:hAnsi="Arial"/>
                <w:sz w:val="14"/>
                <w:szCs w:val="14"/>
                <w:b w:val="1"/>
                <w:bCs w:val="1"/>
                <w:color w:val="auto"/>
                <w:w w:val="92"/>
              </w:rPr>
              <w:t>Identity of Issue,</w:t>
            </w:r>
          </w:p>
        </w:tc>
        <w:tc>
          <w:tcPr>
            <w:tcW w:w="2100" w:type="dxa"/>
            <w:vAlign w:val="bottom"/>
          </w:tcPr>
          <w:p>
            <w:pPr>
              <w:spacing w:after="0"/>
              <w:rPr>
                <w:sz w:val="23"/>
                <w:szCs w:val="23"/>
                <w:color w:val="auto"/>
              </w:rPr>
            </w:pPr>
          </w:p>
        </w:tc>
        <w:tc>
          <w:tcPr>
            <w:tcW w:w="2720" w:type="dxa"/>
            <w:vAlign w:val="bottom"/>
          </w:tcPr>
          <w:p>
            <w:pPr>
              <w:jc w:val="center"/>
              <w:ind w:right="628"/>
              <w:spacing w:after="0"/>
              <w:rPr>
                <w:sz w:val="20"/>
                <w:szCs w:val="20"/>
                <w:color w:val="auto"/>
              </w:rPr>
            </w:pPr>
            <w:r>
              <w:rPr>
                <w:rFonts w:ascii="Arial" w:cs="Arial" w:eastAsia="Arial" w:hAnsi="Arial"/>
                <w:sz w:val="14"/>
                <w:szCs w:val="14"/>
                <w:b w:val="1"/>
                <w:bCs w:val="1"/>
                <w:color w:val="auto"/>
                <w:w w:val="97"/>
              </w:rPr>
              <w:t>Including Maturity Date,</w:t>
            </w:r>
          </w:p>
        </w:tc>
        <w:tc>
          <w:tcPr>
            <w:tcW w:w="176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440" w:type="dxa"/>
            <w:vAlign w:val="bottom"/>
          </w:tcPr>
          <w:p>
            <w:pPr>
              <w:jc w:val="center"/>
              <w:ind w:left="880"/>
              <w:spacing w:after="0"/>
              <w:rPr>
                <w:sz w:val="20"/>
                <w:szCs w:val="20"/>
                <w:color w:val="auto"/>
              </w:rPr>
            </w:pPr>
            <w:r>
              <w:rPr>
                <w:rFonts w:ascii="Arial" w:cs="Arial" w:eastAsia="Arial" w:hAnsi="Arial"/>
                <w:sz w:val="14"/>
                <w:szCs w:val="14"/>
                <w:b w:val="1"/>
                <w:bCs w:val="1"/>
                <w:color w:val="auto"/>
                <w:w w:val="92"/>
              </w:rPr>
              <w:t>Borrower, Lessor or</w:t>
            </w:r>
          </w:p>
        </w:tc>
        <w:tc>
          <w:tcPr>
            <w:tcW w:w="2100" w:type="dxa"/>
            <w:vAlign w:val="bottom"/>
          </w:tcPr>
          <w:p>
            <w:pPr>
              <w:spacing w:after="0"/>
              <w:rPr>
                <w:sz w:val="23"/>
                <w:szCs w:val="23"/>
                <w:color w:val="auto"/>
              </w:rPr>
            </w:pPr>
          </w:p>
        </w:tc>
        <w:tc>
          <w:tcPr>
            <w:tcW w:w="2720" w:type="dxa"/>
            <w:vAlign w:val="bottom"/>
          </w:tcPr>
          <w:p>
            <w:pPr>
              <w:jc w:val="center"/>
              <w:ind w:right="648"/>
              <w:spacing w:after="0"/>
              <w:rPr>
                <w:sz w:val="20"/>
                <w:szCs w:val="20"/>
                <w:color w:val="auto"/>
              </w:rPr>
            </w:pPr>
            <w:r>
              <w:rPr>
                <w:rFonts w:ascii="Arial" w:cs="Arial" w:eastAsia="Arial" w:hAnsi="Arial"/>
                <w:sz w:val="14"/>
                <w:szCs w:val="14"/>
                <w:b w:val="1"/>
                <w:bCs w:val="1"/>
                <w:color w:val="auto"/>
                <w:w w:val="94"/>
              </w:rPr>
              <w:t>Rate of Interest, Collateral,</w:t>
            </w:r>
          </w:p>
        </w:tc>
        <w:tc>
          <w:tcPr>
            <w:tcW w:w="1760" w:type="dxa"/>
            <w:vAlign w:val="bottom"/>
          </w:tcPr>
          <w:p>
            <w:pPr>
              <w:jc w:val="center"/>
              <w:ind w:left="419"/>
              <w:spacing w:after="0"/>
              <w:rPr>
                <w:sz w:val="20"/>
                <w:szCs w:val="20"/>
                <w:color w:val="auto"/>
              </w:rPr>
            </w:pPr>
            <w:r>
              <w:rPr>
                <w:rFonts w:ascii="Arial" w:cs="Arial" w:eastAsia="Arial" w:hAnsi="Arial"/>
                <w:sz w:val="14"/>
                <w:szCs w:val="14"/>
                <w:b w:val="1"/>
                <w:bCs w:val="1"/>
                <w:color w:val="auto"/>
                <w:w w:val="98"/>
              </w:rPr>
              <w:t>Current</w:t>
            </w:r>
          </w:p>
        </w:tc>
      </w:tr>
      <w:tr>
        <w:trPr>
          <w:trHeight w:val="276"/>
        </w:trPr>
        <w:tc>
          <w:tcPr>
            <w:tcW w:w="400" w:type="dxa"/>
            <w:vAlign w:val="bottom"/>
          </w:tcPr>
          <w:p>
            <w:pPr>
              <w:spacing w:after="0"/>
              <w:rPr>
                <w:sz w:val="24"/>
                <w:szCs w:val="24"/>
                <w:color w:val="auto"/>
              </w:rPr>
            </w:pPr>
          </w:p>
        </w:tc>
        <w:tc>
          <w:tcPr>
            <w:tcW w:w="4440" w:type="dxa"/>
            <w:vAlign w:val="bottom"/>
          </w:tcPr>
          <w:p>
            <w:pPr>
              <w:jc w:val="center"/>
              <w:ind w:left="880"/>
              <w:spacing w:after="0"/>
              <w:rPr>
                <w:sz w:val="20"/>
                <w:szCs w:val="20"/>
                <w:color w:val="auto"/>
              </w:rPr>
            </w:pPr>
            <w:r>
              <w:rPr>
                <w:rFonts w:ascii="Arial" w:cs="Arial" w:eastAsia="Arial" w:hAnsi="Arial"/>
                <w:sz w:val="14"/>
                <w:szCs w:val="14"/>
                <w:b w:val="1"/>
                <w:bCs w:val="1"/>
                <w:color w:val="auto"/>
                <w:w w:val="98"/>
              </w:rPr>
              <w:t>Similar Party</w:t>
            </w:r>
          </w:p>
        </w:tc>
        <w:tc>
          <w:tcPr>
            <w:tcW w:w="2100" w:type="dxa"/>
            <w:vAlign w:val="bottom"/>
          </w:tcPr>
          <w:p>
            <w:pPr>
              <w:spacing w:after="0"/>
              <w:rPr>
                <w:sz w:val="24"/>
                <w:szCs w:val="24"/>
                <w:color w:val="auto"/>
              </w:rPr>
            </w:pPr>
          </w:p>
        </w:tc>
        <w:tc>
          <w:tcPr>
            <w:tcW w:w="2720" w:type="dxa"/>
            <w:vAlign w:val="bottom"/>
          </w:tcPr>
          <w:p>
            <w:pPr>
              <w:jc w:val="center"/>
              <w:ind w:right="628"/>
              <w:spacing w:after="0"/>
              <w:rPr>
                <w:sz w:val="20"/>
                <w:szCs w:val="20"/>
                <w:color w:val="auto"/>
              </w:rPr>
            </w:pPr>
            <w:r>
              <w:rPr>
                <w:rFonts w:ascii="Arial" w:cs="Arial" w:eastAsia="Arial" w:hAnsi="Arial"/>
                <w:sz w:val="14"/>
                <w:szCs w:val="14"/>
                <w:b w:val="1"/>
                <w:bCs w:val="1"/>
                <w:color w:val="auto"/>
                <w:w w:val="95"/>
              </w:rPr>
              <w:t>Par, or Maturity Value</w:t>
            </w:r>
          </w:p>
        </w:tc>
        <w:tc>
          <w:tcPr>
            <w:tcW w:w="1760" w:type="dxa"/>
            <w:vAlign w:val="bottom"/>
          </w:tcPr>
          <w:p>
            <w:pPr>
              <w:jc w:val="center"/>
              <w:ind w:left="439"/>
              <w:spacing w:after="0"/>
              <w:rPr>
                <w:sz w:val="20"/>
                <w:szCs w:val="20"/>
                <w:color w:val="auto"/>
              </w:rPr>
            </w:pPr>
            <w:r>
              <w:rPr>
                <w:rFonts w:ascii="Arial" w:cs="Arial" w:eastAsia="Arial" w:hAnsi="Arial"/>
                <w:sz w:val="14"/>
                <w:szCs w:val="14"/>
                <w:b w:val="1"/>
                <w:bCs w:val="1"/>
                <w:color w:val="auto"/>
                <w:w w:val="96"/>
              </w:rPr>
              <w:t>Value</w:t>
            </w:r>
          </w:p>
        </w:tc>
      </w:tr>
      <w:tr>
        <w:trPr>
          <w:trHeight w:val="256"/>
        </w:trPr>
        <w:tc>
          <w:tcPr>
            <w:tcW w:w="400" w:type="dxa"/>
            <w:vAlign w:val="bottom"/>
            <w:tcBorders>
              <w:bottom w:val="single" w:sz="8" w:color="CCEEFF"/>
            </w:tcBorders>
            <w:shd w:val="clear" w:color="auto" w:fill="CCEEFF"/>
          </w:tcPr>
          <w:p>
            <w:pPr>
              <w:spacing w:after="0"/>
              <w:rPr>
                <w:sz w:val="22"/>
                <w:szCs w:val="22"/>
                <w:color w:val="auto"/>
              </w:rPr>
            </w:pPr>
          </w:p>
        </w:tc>
        <w:tc>
          <w:tcPr>
            <w:tcW w:w="4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GENWORTH FINL INC</w:t>
            </w:r>
          </w:p>
        </w:tc>
        <w:tc>
          <w:tcPr>
            <w:tcW w:w="21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27,591</w:t>
            </w:r>
          </w:p>
        </w:tc>
      </w:tr>
      <w:tr>
        <w:trPr>
          <w:trHeight w:val="237"/>
        </w:trPr>
        <w:tc>
          <w:tcPr>
            <w:tcW w:w="400" w:type="dxa"/>
            <w:vAlign w:val="bottom"/>
          </w:tcPr>
          <w:p>
            <w:pPr>
              <w:spacing w:after="0"/>
              <w:rPr>
                <w:sz w:val="20"/>
                <w:szCs w:val="20"/>
                <w:color w:val="auto"/>
              </w:rPr>
            </w:pPr>
          </w:p>
        </w:tc>
        <w:tc>
          <w:tcPr>
            <w:tcW w:w="4440" w:type="dxa"/>
            <w:vAlign w:val="bottom"/>
          </w:tcPr>
          <w:p>
            <w:pPr>
              <w:ind w:left="100"/>
              <w:spacing w:after="0"/>
              <w:rPr>
                <w:sz w:val="20"/>
                <w:szCs w:val="20"/>
                <w:color w:val="auto"/>
              </w:rPr>
            </w:pPr>
            <w:r>
              <w:rPr>
                <w:rFonts w:ascii="Arial" w:cs="Arial" w:eastAsia="Arial" w:hAnsi="Arial"/>
                <w:sz w:val="16"/>
                <w:szCs w:val="16"/>
                <w:color w:val="auto"/>
              </w:rPr>
              <w:t>GILEAD SCIENCES INC</w:t>
            </w:r>
          </w:p>
        </w:tc>
        <w:tc>
          <w:tcPr>
            <w:tcW w:w="2100" w:type="dxa"/>
            <w:vAlign w:val="bottom"/>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71,920</w:t>
            </w:r>
          </w:p>
        </w:tc>
      </w:tr>
      <w:tr>
        <w:trPr>
          <w:trHeight w:val="33"/>
        </w:trPr>
        <w:tc>
          <w:tcPr>
            <w:tcW w:w="4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GLOBAL PMTS INC W/I</w:t>
            </w:r>
          </w:p>
        </w:tc>
        <w:tc>
          <w:tcPr>
            <w:tcW w:w="21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8,073</w:t>
            </w:r>
          </w:p>
        </w:tc>
      </w:tr>
      <w:tr>
        <w:trPr>
          <w:trHeight w:val="237"/>
        </w:trPr>
        <w:tc>
          <w:tcPr>
            <w:tcW w:w="400" w:type="dxa"/>
            <w:vAlign w:val="bottom"/>
          </w:tcPr>
          <w:p>
            <w:pPr>
              <w:spacing w:after="0"/>
              <w:rPr>
                <w:sz w:val="20"/>
                <w:szCs w:val="20"/>
                <w:color w:val="auto"/>
              </w:rPr>
            </w:pPr>
          </w:p>
        </w:tc>
        <w:tc>
          <w:tcPr>
            <w:tcW w:w="4440" w:type="dxa"/>
            <w:vAlign w:val="bottom"/>
          </w:tcPr>
          <w:p>
            <w:pPr>
              <w:ind w:left="100"/>
              <w:spacing w:after="0"/>
              <w:rPr>
                <w:sz w:val="20"/>
                <w:szCs w:val="20"/>
                <w:color w:val="auto"/>
              </w:rPr>
            </w:pPr>
            <w:r>
              <w:rPr>
                <w:rFonts w:ascii="Arial" w:cs="Arial" w:eastAsia="Arial" w:hAnsi="Arial"/>
                <w:sz w:val="16"/>
                <w:szCs w:val="16"/>
                <w:color w:val="auto"/>
              </w:rPr>
              <w:t>GOLDMAN SACHS GROUP INC</w:t>
            </w:r>
          </w:p>
        </w:tc>
        <w:tc>
          <w:tcPr>
            <w:tcW w:w="2100" w:type="dxa"/>
            <w:vAlign w:val="bottom"/>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108,739</w:t>
            </w:r>
          </w:p>
        </w:tc>
      </w:tr>
      <w:tr>
        <w:trPr>
          <w:trHeight w:val="33"/>
        </w:trPr>
        <w:tc>
          <w:tcPr>
            <w:tcW w:w="4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GOODYEAR TIRE &amp; RUBR CO</w:t>
            </w:r>
          </w:p>
        </w:tc>
        <w:tc>
          <w:tcPr>
            <w:tcW w:w="21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61,597</w:t>
            </w:r>
          </w:p>
        </w:tc>
      </w:tr>
      <w:tr>
        <w:trPr>
          <w:trHeight w:val="237"/>
        </w:trPr>
        <w:tc>
          <w:tcPr>
            <w:tcW w:w="400" w:type="dxa"/>
            <w:vAlign w:val="bottom"/>
          </w:tcPr>
          <w:p>
            <w:pPr>
              <w:spacing w:after="0"/>
              <w:rPr>
                <w:sz w:val="20"/>
                <w:szCs w:val="20"/>
                <w:color w:val="auto"/>
              </w:rPr>
            </w:pPr>
          </w:p>
        </w:tc>
        <w:tc>
          <w:tcPr>
            <w:tcW w:w="4440" w:type="dxa"/>
            <w:vAlign w:val="bottom"/>
          </w:tcPr>
          <w:p>
            <w:pPr>
              <w:ind w:left="100"/>
              <w:spacing w:after="0"/>
              <w:rPr>
                <w:sz w:val="20"/>
                <w:szCs w:val="20"/>
                <w:color w:val="auto"/>
              </w:rPr>
            </w:pPr>
            <w:r>
              <w:rPr>
                <w:rFonts w:ascii="Arial" w:cs="Arial" w:eastAsia="Arial" w:hAnsi="Arial"/>
                <w:sz w:val="16"/>
                <w:szCs w:val="16"/>
                <w:color w:val="auto"/>
              </w:rPr>
              <w:t>GOOGLE INC</w:t>
            </w:r>
          </w:p>
        </w:tc>
        <w:tc>
          <w:tcPr>
            <w:tcW w:w="2100" w:type="dxa"/>
            <w:vAlign w:val="bottom"/>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80,660</w:t>
            </w:r>
          </w:p>
        </w:tc>
      </w:tr>
      <w:tr>
        <w:trPr>
          <w:trHeight w:val="33"/>
        </w:trPr>
        <w:tc>
          <w:tcPr>
            <w:tcW w:w="4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GOOGLE INC-CL C</w:t>
            </w:r>
          </w:p>
        </w:tc>
        <w:tc>
          <w:tcPr>
            <w:tcW w:w="21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115,282</w:t>
            </w:r>
          </w:p>
        </w:tc>
      </w:tr>
      <w:tr>
        <w:trPr>
          <w:trHeight w:val="237"/>
        </w:trPr>
        <w:tc>
          <w:tcPr>
            <w:tcW w:w="400" w:type="dxa"/>
            <w:vAlign w:val="bottom"/>
          </w:tcPr>
          <w:p>
            <w:pPr>
              <w:spacing w:after="0"/>
              <w:rPr>
                <w:sz w:val="20"/>
                <w:szCs w:val="20"/>
                <w:color w:val="auto"/>
              </w:rPr>
            </w:pPr>
          </w:p>
        </w:tc>
        <w:tc>
          <w:tcPr>
            <w:tcW w:w="4440" w:type="dxa"/>
            <w:vAlign w:val="bottom"/>
          </w:tcPr>
          <w:p>
            <w:pPr>
              <w:ind w:left="100"/>
              <w:spacing w:after="0"/>
              <w:rPr>
                <w:sz w:val="20"/>
                <w:szCs w:val="20"/>
                <w:color w:val="auto"/>
              </w:rPr>
            </w:pPr>
            <w:r>
              <w:rPr>
                <w:rFonts w:ascii="Arial" w:cs="Arial" w:eastAsia="Arial" w:hAnsi="Arial"/>
                <w:sz w:val="16"/>
                <w:szCs w:val="16"/>
                <w:color w:val="auto"/>
              </w:rPr>
              <w:t>GRAHAM HOLDINGS COMPANY</w:t>
            </w:r>
          </w:p>
        </w:tc>
        <w:tc>
          <w:tcPr>
            <w:tcW w:w="2100" w:type="dxa"/>
            <w:vAlign w:val="bottom"/>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39,731</w:t>
            </w:r>
          </w:p>
        </w:tc>
      </w:tr>
      <w:tr>
        <w:trPr>
          <w:trHeight w:val="33"/>
        </w:trPr>
        <w:tc>
          <w:tcPr>
            <w:tcW w:w="4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GRAPHIC PACKAGING HLDGCO</w:t>
            </w:r>
          </w:p>
        </w:tc>
        <w:tc>
          <w:tcPr>
            <w:tcW w:w="21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9,766</w:t>
            </w:r>
          </w:p>
        </w:tc>
      </w:tr>
      <w:tr>
        <w:trPr>
          <w:trHeight w:val="237"/>
        </w:trPr>
        <w:tc>
          <w:tcPr>
            <w:tcW w:w="400" w:type="dxa"/>
            <w:vAlign w:val="bottom"/>
          </w:tcPr>
          <w:p>
            <w:pPr>
              <w:spacing w:after="0"/>
              <w:rPr>
                <w:sz w:val="20"/>
                <w:szCs w:val="20"/>
                <w:color w:val="auto"/>
              </w:rPr>
            </w:pPr>
          </w:p>
        </w:tc>
        <w:tc>
          <w:tcPr>
            <w:tcW w:w="4440" w:type="dxa"/>
            <w:vAlign w:val="bottom"/>
          </w:tcPr>
          <w:p>
            <w:pPr>
              <w:ind w:left="100"/>
              <w:spacing w:after="0"/>
              <w:rPr>
                <w:sz w:val="20"/>
                <w:szCs w:val="20"/>
                <w:color w:val="auto"/>
              </w:rPr>
            </w:pPr>
            <w:r>
              <w:rPr>
                <w:rFonts w:ascii="Arial" w:cs="Arial" w:eastAsia="Arial" w:hAnsi="Arial"/>
                <w:sz w:val="16"/>
                <w:szCs w:val="16"/>
                <w:color w:val="auto"/>
              </w:rPr>
              <w:t>GREAT PLAINS ENERGY INC</w:t>
            </w:r>
          </w:p>
        </w:tc>
        <w:tc>
          <w:tcPr>
            <w:tcW w:w="2100" w:type="dxa"/>
            <w:vAlign w:val="bottom"/>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7,926</w:t>
            </w:r>
          </w:p>
        </w:tc>
      </w:tr>
      <w:tr>
        <w:trPr>
          <w:trHeight w:val="33"/>
        </w:trPr>
        <w:tc>
          <w:tcPr>
            <w:tcW w:w="4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GUESS INC</w:t>
            </w:r>
          </w:p>
        </w:tc>
        <w:tc>
          <w:tcPr>
            <w:tcW w:w="21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13,491</w:t>
            </w:r>
          </w:p>
        </w:tc>
      </w:tr>
      <w:tr>
        <w:trPr>
          <w:trHeight w:val="237"/>
        </w:trPr>
        <w:tc>
          <w:tcPr>
            <w:tcW w:w="400" w:type="dxa"/>
            <w:vAlign w:val="bottom"/>
          </w:tcPr>
          <w:p>
            <w:pPr>
              <w:spacing w:after="0"/>
              <w:rPr>
                <w:sz w:val="20"/>
                <w:szCs w:val="20"/>
                <w:color w:val="auto"/>
              </w:rPr>
            </w:pPr>
          </w:p>
        </w:tc>
        <w:tc>
          <w:tcPr>
            <w:tcW w:w="4440" w:type="dxa"/>
            <w:vAlign w:val="bottom"/>
          </w:tcPr>
          <w:p>
            <w:pPr>
              <w:ind w:left="100"/>
              <w:spacing w:after="0"/>
              <w:rPr>
                <w:sz w:val="20"/>
                <w:szCs w:val="20"/>
                <w:color w:val="auto"/>
              </w:rPr>
            </w:pPr>
            <w:r>
              <w:rPr>
                <w:rFonts w:ascii="Arial" w:cs="Arial" w:eastAsia="Arial" w:hAnsi="Arial"/>
                <w:sz w:val="16"/>
                <w:szCs w:val="16"/>
                <w:color w:val="auto"/>
              </w:rPr>
              <w:t>H &amp; E EQUIP SVCS INC</w:t>
            </w:r>
          </w:p>
        </w:tc>
        <w:tc>
          <w:tcPr>
            <w:tcW w:w="2100" w:type="dxa"/>
            <w:vAlign w:val="bottom"/>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7,416</w:t>
            </w:r>
          </w:p>
        </w:tc>
      </w:tr>
      <w:tr>
        <w:trPr>
          <w:trHeight w:val="33"/>
        </w:trPr>
        <w:tc>
          <w:tcPr>
            <w:tcW w:w="4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HALLIBURTON CO</w:t>
            </w:r>
          </w:p>
        </w:tc>
        <w:tc>
          <w:tcPr>
            <w:tcW w:w="21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24,975</w:t>
            </w:r>
          </w:p>
        </w:tc>
      </w:tr>
      <w:tr>
        <w:trPr>
          <w:trHeight w:val="237"/>
        </w:trPr>
        <w:tc>
          <w:tcPr>
            <w:tcW w:w="400" w:type="dxa"/>
            <w:vAlign w:val="bottom"/>
          </w:tcPr>
          <w:p>
            <w:pPr>
              <w:spacing w:after="0"/>
              <w:rPr>
                <w:sz w:val="20"/>
                <w:szCs w:val="20"/>
                <w:color w:val="auto"/>
              </w:rPr>
            </w:pPr>
          </w:p>
        </w:tc>
        <w:tc>
          <w:tcPr>
            <w:tcW w:w="4440" w:type="dxa"/>
            <w:vAlign w:val="bottom"/>
          </w:tcPr>
          <w:p>
            <w:pPr>
              <w:ind w:left="100"/>
              <w:spacing w:after="0"/>
              <w:rPr>
                <w:sz w:val="20"/>
                <w:szCs w:val="20"/>
                <w:color w:val="auto"/>
              </w:rPr>
            </w:pPr>
            <w:r>
              <w:rPr>
                <w:rFonts w:ascii="Arial" w:cs="Arial" w:eastAsia="Arial" w:hAnsi="Arial"/>
                <w:sz w:val="16"/>
                <w:szCs w:val="16"/>
                <w:color w:val="auto"/>
              </w:rPr>
              <w:t>HANESBRANDS INC</w:t>
            </w:r>
          </w:p>
        </w:tc>
        <w:tc>
          <w:tcPr>
            <w:tcW w:w="2100" w:type="dxa"/>
            <w:vAlign w:val="bottom"/>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18,641</w:t>
            </w:r>
          </w:p>
        </w:tc>
      </w:tr>
      <w:tr>
        <w:trPr>
          <w:trHeight w:val="33"/>
        </w:trPr>
        <w:tc>
          <w:tcPr>
            <w:tcW w:w="4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HANOVER INS GROUP INC</w:t>
            </w:r>
          </w:p>
        </w:tc>
        <w:tc>
          <w:tcPr>
            <w:tcW w:w="21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15,619</w:t>
            </w:r>
          </w:p>
        </w:tc>
      </w:tr>
      <w:tr>
        <w:trPr>
          <w:trHeight w:val="237"/>
        </w:trPr>
        <w:tc>
          <w:tcPr>
            <w:tcW w:w="400" w:type="dxa"/>
            <w:vAlign w:val="bottom"/>
          </w:tcPr>
          <w:p>
            <w:pPr>
              <w:spacing w:after="0"/>
              <w:rPr>
                <w:sz w:val="20"/>
                <w:szCs w:val="20"/>
                <w:color w:val="auto"/>
              </w:rPr>
            </w:pPr>
          </w:p>
        </w:tc>
        <w:tc>
          <w:tcPr>
            <w:tcW w:w="4440" w:type="dxa"/>
            <w:vAlign w:val="bottom"/>
          </w:tcPr>
          <w:p>
            <w:pPr>
              <w:ind w:left="100"/>
              <w:spacing w:after="0"/>
              <w:rPr>
                <w:sz w:val="20"/>
                <w:szCs w:val="20"/>
                <w:color w:val="auto"/>
              </w:rPr>
            </w:pPr>
            <w:r>
              <w:rPr>
                <w:rFonts w:ascii="Arial" w:cs="Arial" w:eastAsia="Arial" w:hAnsi="Arial"/>
                <w:sz w:val="16"/>
                <w:szCs w:val="16"/>
                <w:color w:val="auto"/>
              </w:rPr>
              <w:t>HARLEY DAVIDSON INC</w:t>
            </w:r>
          </w:p>
        </w:tc>
        <w:tc>
          <w:tcPr>
            <w:tcW w:w="2100" w:type="dxa"/>
            <w:vAlign w:val="bottom"/>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11,468</w:t>
            </w:r>
          </w:p>
        </w:tc>
      </w:tr>
      <w:tr>
        <w:trPr>
          <w:trHeight w:val="33"/>
        </w:trPr>
        <w:tc>
          <w:tcPr>
            <w:tcW w:w="4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HARMAN INTL INDS INC NEW COM</w:t>
            </w:r>
          </w:p>
        </w:tc>
        <w:tc>
          <w:tcPr>
            <w:tcW w:w="21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12,485</w:t>
            </w:r>
          </w:p>
        </w:tc>
      </w:tr>
      <w:tr>
        <w:trPr>
          <w:trHeight w:val="237"/>
        </w:trPr>
        <w:tc>
          <w:tcPr>
            <w:tcW w:w="400" w:type="dxa"/>
            <w:vAlign w:val="bottom"/>
          </w:tcPr>
          <w:p>
            <w:pPr>
              <w:spacing w:after="0"/>
              <w:rPr>
                <w:sz w:val="20"/>
                <w:szCs w:val="20"/>
                <w:color w:val="auto"/>
              </w:rPr>
            </w:pPr>
          </w:p>
        </w:tc>
        <w:tc>
          <w:tcPr>
            <w:tcW w:w="4440" w:type="dxa"/>
            <w:vAlign w:val="bottom"/>
          </w:tcPr>
          <w:p>
            <w:pPr>
              <w:ind w:left="100"/>
              <w:spacing w:after="0"/>
              <w:rPr>
                <w:sz w:val="20"/>
                <w:szCs w:val="20"/>
                <w:color w:val="auto"/>
              </w:rPr>
            </w:pPr>
            <w:r>
              <w:rPr>
                <w:rFonts w:ascii="Arial" w:cs="Arial" w:eastAsia="Arial" w:hAnsi="Arial"/>
                <w:sz w:val="16"/>
                <w:szCs w:val="16"/>
                <w:color w:val="auto"/>
              </w:rPr>
              <w:t>HARRIS CORP DEL</w:t>
            </w:r>
          </w:p>
        </w:tc>
        <w:tc>
          <w:tcPr>
            <w:tcW w:w="2100" w:type="dxa"/>
            <w:vAlign w:val="bottom"/>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34,761</w:t>
            </w:r>
          </w:p>
        </w:tc>
      </w:tr>
      <w:tr>
        <w:trPr>
          <w:trHeight w:val="33"/>
        </w:trPr>
        <w:tc>
          <w:tcPr>
            <w:tcW w:w="4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HARSCO CORP</w:t>
            </w:r>
          </w:p>
        </w:tc>
        <w:tc>
          <w:tcPr>
            <w:tcW w:w="21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13,506</w:t>
            </w:r>
          </w:p>
        </w:tc>
      </w:tr>
      <w:tr>
        <w:trPr>
          <w:trHeight w:val="237"/>
        </w:trPr>
        <w:tc>
          <w:tcPr>
            <w:tcW w:w="400" w:type="dxa"/>
            <w:vAlign w:val="bottom"/>
          </w:tcPr>
          <w:p>
            <w:pPr>
              <w:spacing w:after="0"/>
              <w:rPr>
                <w:sz w:val="20"/>
                <w:szCs w:val="20"/>
                <w:color w:val="auto"/>
              </w:rPr>
            </w:pPr>
          </w:p>
        </w:tc>
        <w:tc>
          <w:tcPr>
            <w:tcW w:w="4440" w:type="dxa"/>
            <w:vAlign w:val="bottom"/>
          </w:tcPr>
          <w:p>
            <w:pPr>
              <w:ind w:left="100"/>
              <w:spacing w:after="0"/>
              <w:rPr>
                <w:sz w:val="20"/>
                <w:szCs w:val="20"/>
                <w:color w:val="auto"/>
              </w:rPr>
            </w:pPr>
            <w:r>
              <w:rPr>
                <w:rFonts w:ascii="Arial" w:cs="Arial" w:eastAsia="Arial" w:hAnsi="Arial"/>
                <w:sz w:val="16"/>
                <w:szCs w:val="16"/>
                <w:color w:val="auto"/>
              </w:rPr>
              <w:t>HARTFORD FINANCIAL SERVICES GROUP</w:t>
            </w:r>
          </w:p>
        </w:tc>
        <w:tc>
          <w:tcPr>
            <w:tcW w:w="2100" w:type="dxa"/>
            <w:vAlign w:val="bottom"/>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71,748</w:t>
            </w:r>
          </w:p>
        </w:tc>
      </w:tr>
      <w:tr>
        <w:trPr>
          <w:trHeight w:val="33"/>
        </w:trPr>
        <w:tc>
          <w:tcPr>
            <w:tcW w:w="4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HASBRO INC</w:t>
            </w:r>
          </w:p>
        </w:tc>
        <w:tc>
          <w:tcPr>
            <w:tcW w:w="21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23,536</w:t>
            </w:r>
          </w:p>
        </w:tc>
      </w:tr>
      <w:tr>
        <w:trPr>
          <w:trHeight w:val="237"/>
        </w:trPr>
        <w:tc>
          <w:tcPr>
            <w:tcW w:w="400" w:type="dxa"/>
            <w:vAlign w:val="bottom"/>
          </w:tcPr>
          <w:p>
            <w:pPr>
              <w:spacing w:after="0"/>
              <w:rPr>
                <w:sz w:val="20"/>
                <w:szCs w:val="20"/>
                <w:color w:val="auto"/>
              </w:rPr>
            </w:pPr>
          </w:p>
        </w:tc>
        <w:tc>
          <w:tcPr>
            <w:tcW w:w="4440" w:type="dxa"/>
            <w:vAlign w:val="bottom"/>
          </w:tcPr>
          <w:p>
            <w:pPr>
              <w:ind w:left="100"/>
              <w:spacing w:after="0"/>
              <w:rPr>
                <w:sz w:val="20"/>
                <w:szCs w:val="20"/>
                <w:color w:val="auto"/>
              </w:rPr>
            </w:pPr>
            <w:r>
              <w:rPr>
                <w:rFonts w:ascii="Arial" w:cs="Arial" w:eastAsia="Arial" w:hAnsi="Arial"/>
                <w:sz w:val="16"/>
                <w:szCs w:val="16"/>
                <w:color w:val="auto"/>
              </w:rPr>
              <w:t>HATTERAS FINANCIAL CORP</w:t>
            </w:r>
          </w:p>
        </w:tc>
        <w:tc>
          <w:tcPr>
            <w:tcW w:w="2100" w:type="dxa"/>
            <w:vAlign w:val="bottom"/>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6,745</w:t>
            </w:r>
          </w:p>
        </w:tc>
      </w:tr>
      <w:tr>
        <w:trPr>
          <w:trHeight w:val="33"/>
        </w:trPr>
        <w:tc>
          <w:tcPr>
            <w:tcW w:w="4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HAWAIIAN ELEC INDS INC</w:t>
            </w:r>
          </w:p>
        </w:tc>
        <w:tc>
          <w:tcPr>
            <w:tcW w:w="21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13,827</w:t>
            </w:r>
          </w:p>
        </w:tc>
      </w:tr>
      <w:tr>
        <w:trPr>
          <w:trHeight w:val="237"/>
        </w:trPr>
        <w:tc>
          <w:tcPr>
            <w:tcW w:w="400" w:type="dxa"/>
            <w:vAlign w:val="bottom"/>
          </w:tcPr>
          <w:p>
            <w:pPr>
              <w:spacing w:after="0"/>
              <w:rPr>
                <w:sz w:val="20"/>
                <w:szCs w:val="20"/>
                <w:color w:val="auto"/>
              </w:rPr>
            </w:pPr>
          </w:p>
        </w:tc>
        <w:tc>
          <w:tcPr>
            <w:tcW w:w="4440" w:type="dxa"/>
            <w:vAlign w:val="bottom"/>
          </w:tcPr>
          <w:p>
            <w:pPr>
              <w:ind w:left="100"/>
              <w:spacing w:after="0"/>
              <w:rPr>
                <w:sz w:val="20"/>
                <w:szCs w:val="20"/>
                <w:color w:val="auto"/>
              </w:rPr>
            </w:pPr>
            <w:r>
              <w:rPr>
                <w:rFonts w:ascii="Arial" w:cs="Arial" w:eastAsia="Arial" w:hAnsi="Arial"/>
                <w:sz w:val="16"/>
                <w:szCs w:val="16"/>
                <w:color w:val="auto"/>
              </w:rPr>
              <w:t>HAWAIIAN HOLDINGS INC</w:t>
            </w:r>
          </w:p>
        </w:tc>
        <w:tc>
          <w:tcPr>
            <w:tcW w:w="2100" w:type="dxa"/>
            <w:vAlign w:val="bottom"/>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11,332</w:t>
            </w:r>
          </w:p>
        </w:tc>
      </w:tr>
      <w:tr>
        <w:trPr>
          <w:trHeight w:val="33"/>
        </w:trPr>
        <w:tc>
          <w:tcPr>
            <w:tcW w:w="4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HCA HOLDINGS INC</w:t>
            </w:r>
          </w:p>
        </w:tc>
        <w:tc>
          <w:tcPr>
            <w:tcW w:w="21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161,238</w:t>
            </w:r>
          </w:p>
        </w:tc>
      </w:tr>
      <w:tr>
        <w:trPr>
          <w:trHeight w:val="237"/>
        </w:trPr>
        <w:tc>
          <w:tcPr>
            <w:tcW w:w="400" w:type="dxa"/>
            <w:vAlign w:val="bottom"/>
          </w:tcPr>
          <w:p>
            <w:pPr>
              <w:spacing w:after="0"/>
              <w:rPr>
                <w:sz w:val="20"/>
                <w:szCs w:val="20"/>
                <w:color w:val="auto"/>
              </w:rPr>
            </w:pPr>
          </w:p>
        </w:tc>
        <w:tc>
          <w:tcPr>
            <w:tcW w:w="4440" w:type="dxa"/>
            <w:vAlign w:val="bottom"/>
          </w:tcPr>
          <w:p>
            <w:pPr>
              <w:ind w:left="100"/>
              <w:spacing w:after="0"/>
              <w:rPr>
                <w:sz w:val="20"/>
                <w:szCs w:val="20"/>
                <w:color w:val="auto"/>
              </w:rPr>
            </w:pPr>
            <w:r>
              <w:rPr>
                <w:rFonts w:ascii="Arial" w:cs="Arial" w:eastAsia="Arial" w:hAnsi="Arial"/>
                <w:sz w:val="16"/>
                <w:szCs w:val="16"/>
                <w:color w:val="auto"/>
              </w:rPr>
              <w:t>HCC INS HLDGS INC COM</w:t>
            </w:r>
          </w:p>
        </w:tc>
        <w:tc>
          <w:tcPr>
            <w:tcW w:w="2100" w:type="dxa"/>
            <w:vAlign w:val="bottom"/>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12,738</w:t>
            </w:r>
          </w:p>
        </w:tc>
      </w:tr>
      <w:tr>
        <w:trPr>
          <w:trHeight w:val="33"/>
        </w:trPr>
        <w:tc>
          <w:tcPr>
            <w:tcW w:w="4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HEALTH NET INC</w:t>
            </w:r>
          </w:p>
        </w:tc>
        <w:tc>
          <w:tcPr>
            <w:tcW w:w="21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63,380</w:t>
            </w:r>
          </w:p>
        </w:tc>
      </w:tr>
      <w:tr>
        <w:trPr>
          <w:trHeight w:val="237"/>
        </w:trPr>
        <w:tc>
          <w:tcPr>
            <w:tcW w:w="400" w:type="dxa"/>
            <w:vAlign w:val="bottom"/>
          </w:tcPr>
          <w:p>
            <w:pPr>
              <w:spacing w:after="0"/>
              <w:rPr>
                <w:sz w:val="20"/>
                <w:szCs w:val="20"/>
                <w:color w:val="auto"/>
              </w:rPr>
            </w:pPr>
          </w:p>
        </w:tc>
        <w:tc>
          <w:tcPr>
            <w:tcW w:w="4440" w:type="dxa"/>
            <w:vAlign w:val="bottom"/>
          </w:tcPr>
          <w:p>
            <w:pPr>
              <w:ind w:left="100"/>
              <w:spacing w:after="0"/>
              <w:rPr>
                <w:sz w:val="20"/>
                <w:szCs w:val="20"/>
                <w:color w:val="auto"/>
              </w:rPr>
            </w:pPr>
            <w:r>
              <w:rPr>
                <w:rFonts w:ascii="Arial" w:cs="Arial" w:eastAsia="Arial" w:hAnsi="Arial"/>
                <w:sz w:val="16"/>
                <w:szCs w:val="16"/>
                <w:color w:val="auto"/>
              </w:rPr>
              <w:t>HEALTHSOUTH REHABILITATION CORPORAT</w:t>
            </w:r>
          </w:p>
        </w:tc>
        <w:tc>
          <w:tcPr>
            <w:tcW w:w="2100" w:type="dxa"/>
            <w:vAlign w:val="bottom"/>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17,576</w:t>
            </w:r>
          </w:p>
        </w:tc>
      </w:tr>
      <w:tr>
        <w:trPr>
          <w:trHeight w:val="33"/>
        </w:trPr>
        <w:tc>
          <w:tcPr>
            <w:tcW w:w="4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HELMERICH &amp; PAYNE INC</w:t>
            </w:r>
          </w:p>
        </w:tc>
        <w:tc>
          <w:tcPr>
            <w:tcW w:w="21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14,765</w:t>
            </w:r>
          </w:p>
        </w:tc>
      </w:tr>
      <w:tr>
        <w:trPr>
          <w:trHeight w:val="237"/>
        </w:trPr>
        <w:tc>
          <w:tcPr>
            <w:tcW w:w="400" w:type="dxa"/>
            <w:vAlign w:val="bottom"/>
          </w:tcPr>
          <w:p>
            <w:pPr>
              <w:spacing w:after="0"/>
              <w:rPr>
                <w:sz w:val="20"/>
                <w:szCs w:val="20"/>
                <w:color w:val="auto"/>
              </w:rPr>
            </w:pPr>
          </w:p>
        </w:tc>
        <w:tc>
          <w:tcPr>
            <w:tcW w:w="4440" w:type="dxa"/>
            <w:vAlign w:val="bottom"/>
          </w:tcPr>
          <w:p>
            <w:pPr>
              <w:ind w:left="100"/>
              <w:spacing w:after="0"/>
              <w:rPr>
                <w:sz w:val="20"/>
                <w:szCs w:val="20"/>
                <w:color w:val="auto"/>
              </w:rPr>
            </w:pPr>
            <w:r>
              <w:rPr>
                <w:rFonts w:ascii="Arial" w:cs="Arial" w:eastAsia="Arial" w:hAnsi="Arial"/>
                <w:sz w:val="16"/>
                <w:szCs w:val="16"/>
                <w:color w:val="auto"/>
              </w:rPr>
              <w:t>HERTZ GLOBAL HOLDINGS INC</w:t>
            </w:r>
          </w:p>
        </w:tc>
        <w:tc>
          <w:tcPr>
            <w:tcW w:w="2100" w:type="dxa"/>
            <w:vAlign w:val="bottom"/>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18,855</w:t>
            </w:r>
          </w:p>
        </w:tc>
      </w:tr>
      <w:tr>
        <w:trPr>
          <w:trHeight w:val="33"/>
        </w:trPr>
        <w:tc>
          <w:tcPr>
            <w:tcW w:w="4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HESS CORP</w:t>
            </w:r>
          </w:p>
        </w:tc>
        <w:tc>
          <w:tcPr>
            <w:tcW w:w="21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74,853</w:t>
            </w:r>
          </w:p>
        </w:tc>
      </w:tr>
      <w:tr>
        <w:trPr>
          <w:trHeight w:val="237"/>
        </w:trPr>
        <w:tc>
          <w:tcPr>
            <w:tcW w:w="400" w:type="dxa"/>
            <w:vAlign w:val="bottom"/>
          </w:tcPr>
          <w:p>
            <w:pPr>
              <w:spacing w:after="0"/>
              <w:rPr>
                <w:sz w:val="20"/>
                <w:szCs w:val="20"/>
                <w:color w:val="auto"/>
              </w:rPr>
            </w:pPr>
          </w:p>
        </w:tc>
        <w:tc>
          <w:tcPr>
            <w:tcW w:w="4440" w:type="dxa"/>
            <w:vAlign w:val="bottom"/>
          </w:tcPr>
          <w:p>
            <w:pPr>
              <w:ind w:left="100"/>
              <w:spacing w:after="0"/>
              <w:rPr>
                <w:sz w:val="20"/>
                <w:szCs w:val="20"/>
                <w:color w:val="auto"/>
              </w:rPr>
            </w:pPr>
            <w:r>
              <w:rPr>
                <w:rFonts w:ascii="Arial" w:cs="Arial" w:eastAsia="Arial" w:hAnsi="Arial"/>
                <w:sz w:val="16"/>
                <w:szCs w:val="16"/>
                <w:color w:val="auto"/>
              </w:rPr>
              <w:t>HEWLETT PACKARD CO</w:t>
            </w:r>
          </w:p>
        </w:tc>
        <w:tc>
          <w:tcPr>
            <w:tcW w:w="2100" w:type="dxa"/>
            <w:vAlign w:val="bottom"/>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669,288</w:t>
            </w:r>
          </w:p>
        </w:tc>
      </w:tr>
      <w:tr>
        <w:trPr>
          <w:trHeight w:val="33"/>
        </w:trPr>
        <w:tc>
          <w:tcPr>
            <w:tcW w:w="4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HILL ROM HLDGS</w:t>
            </w:r>
          </w:p>
        </w:tc>
        <w:tc>
          <w:tcPr>
            <w:tcW w:w="21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9,078</w:t>
            </w:r>
          </w:p>
        </w:tc>
      </w:tr>
      <w:tr>
        <w:trPr>
          <w:trHeight w:val="237"/>
        </w:trPr>
        <w:tc>
          <w:tcPr>
            <w:tcW w:w="400" w:type="dxa"/>
            <w:vAlign w:val="bottom"/>
          </w:tcPr>
          <w:p>
            <w:pPr>
              <w:spacing w:after="0"/>
              <w:rPr>
                <w:sz w:val="20"/>
                <w:szCs w:val="20"/>
                <w:color w:val="auto"/>
              </w:rPr>
            </w:pPr>
          </w:p>
        </w:tc>
        <w:tc>
          <w:tcPr>
            <w:tcW w:w="4440" w:type="dxa"/>
            <w:vAlign w:val="bottom"/>
          </w:tcPr>
          <w:p>
            <w:pPr>
              <w:ind w:left="100"/>
              <w:spacing w:after="0"/>
              <w:rPr>
                <w:sz w:val="20"/>
                <w:szCs w:val="20"/>
                <w:color w:val="auto"/>
              </w:rPr>
            </w:pPr>
            <w:r>
              <w:rPr>
                <w:rFonts w:ascii="Arial" w:cs="Arial" w:eastAsia="Arial" w:hAnsi="Arial"/>
                <w:sz w:val="16"/>
                <w:szCs w:val="16"/>
                <w:color w:val="auto"/>
              </w:rPr>
              <w:t>HOLLYFRONTIER CORP</w:t>
            </w:r>
          </w:p>
        </w:tc>
        <w:tc>
          <w:tcPr>
            <w:tcW w:w="2100" w:type="dxa"/>
            <w:vAlign w:val="bottom"/>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16,341</w:t>
            </w:r>
          </w:p>
        </w:tc>
      </w:tr>
      <w:tr>
        <w:trPr>
          <w:trHeight w:val="33"/>
        </w:trPr>
        <w:tc>
          <w:tcPr>
            <w:tcW w:w="4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HOLOGIC INC COM</w:t>
            </w:r>
          </w:p>
        </w:tc>
        <w:tc>
          <w:tcPr>
            <w:tcW w:w="21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5,963</w:t>
            </w:r>
          </w:p>
        </w:tc>
      </w:tr>
      <w:tr>
        <w:trPr>
          <w:trHeight w:val="237"/>
        </w:trPr>
        <w:tc>
          <w:tcPr>
            <w:tcW w:w="400" w:type="dxa"/>
            <w:vAlign w:val="bottom"/>
          </w:tcPr>
          <w:p>
            <w:pPr>
              <w:spacing w:after="0"/>
              <w:rPr>
                <w:sz w:val="20"/>
                <w:szCs w:val="20"/>
                <w:color w:val="auto"/>
              </w:rPr>
            </w:pPr>
          </w:p>
        </w:tc>
        <w:tc>
          <w:tcPr>
            <w:tcW w:w="4440" w:type="dxa"/>
            <w:vAlign w:val="bottom"/>
          </w:tcPr>
          <w:p>
            <w:pPr>
              <w:ind w:left="100"/>
              <w:spacing w:after="0"/>
              <w:rPr>
                <w:sz w:val="20"/>
                <w:szCs w:val="20"/>
                <w:color w:val="auto"/>
              </w:rPr>
            </w:pPr>
            <w:r>
              <w:rPr>
                <w:rFonts w:ascii="Arial" w:cs="Arial" w:eastAsia="Arial" w:hAnsi="Arial"/>
                <w:sz w:val="16"/>
                <w:szCs w:val="16"/>
                <w:color w:val="auto"/>
              </w:rPr>
              <w:t>HOME DEPOT INC</w:t>
            </w:r>
          </w:p>
        </w:tc>
        <w:tc>
          <w:tcPr>
            <w:tcW w:w="2100" w:type="dxa"/>
            <w:vAlign w:val="bottom"/>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138,980</w:t>
            </w:r>
          </w:p>
        </w:tc>
      </w:tr>
      <w:tr>
        <w:trPr>
          <w:trHeight w:val="33"/>
        </w:trPr>
        <w:tc>
          <w:tcPr>
            <w:tcW w:w="4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HONEYWELL INTERNATIONAL INC</w:t>
            </w:r>
          </w:p>
        </w:tc>
        <w:tc>
          <w:tcPr>
            <w:tcW w:w="21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90,827</w:t>
            </w:r>
          </w:p>
        </w:tc>
      </w:tr>
      <w:tr>
        <w:trPr>
          <w:trHeight w:val="237"/>
        </w:trPr>
        <w:tc>
          <w:tcPr>
            <w:tcW w:w="400" w:type="dxa"/>
            <w:vAlign w:val="bottom"/>
          </w:tcPr>
          <w:p>
            <w:pPr>
              <w:spacing w:after="0"/>
              <w:rPr>
                <w:sz w:val="20"/>
                <w:szCs w:val="20"/>
                <w:color w:val="auto"/>
              </w:rPr>
            </w:pPr>
          </w:p>
        </w:tc>
        <w:tc>
          <w:tcPr>
            <w:tcW w:w="4440" w:type="dxa"/>
            <w:vAlign w:val="bottom"/>
          </w:tcPr>
          <w:p>
            <w:pPr>
              <w:ind w:left="100"/>
              <w:spacing w:after="0"/>
              <w:rPr>
                <w:sz w:val="20"/>
                <w:szCs w:val="20"/>
                <w:color w:val="auto"/>
              </w:rPr>
            </w:pPr>
            <w:r>
              <w:rPr>
                <w:rFonts w:ascii="Arial" w:cs="Arial" w:eastAsia="Arial" w:hAnsi="Arial"/>
                <w:sz w:val="16"/>
                <w:szCs w:val="16"/>
                <w:color w:val="auto"/>
              </w:rPr>
              <w:t>HOSPIRA INC</w:t>
            </w:r>
          </w:p>
        </w:tc>
        <w:tc>
          <w:tcPr>
            <w:tcW w:w="2100" w:type="dxa"/>
            <w:vAlign w:val="bottom"/>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32,463</w:t>
            </w:r>
          </w:p>
        </w:tc>
      </w:tr>
      <w:tr>
        <w:trPr>
          <w:trHeight w:val="33"/>
        </w:trPr>
        <w:tc>
          <w:tcPr>
            <w:tcW w:w="4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HUDSON CITY BANCORP INC</w:t>
            </w:r>
          </w:p>
        </w:tc>
        <w:tc>
          <w:tcPr>
            <w:tcW w:w="21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20,969</w:t>
            </w:r>
          </w:p>
        </w:tc>
      </w:tr>
      <w:tr>
        <w:trPr>
          <w:trHeight w:val="237"/>
        </w:trPr>
        <w:tc>
          <w:tcPr>
            <w:tcW w:w="400" w:type="dxa"/>
            <w:vAlign w:val="bottom"/>
          </w:tcPr>
          <w:p>
            <w:pPr>
              <w:spacing w:after="0"/>
              <w:rPr>
                <w:sz w:val="20"/>
                <w:szCs w:val="20"/>
                <w:color w:val="auto"/>
              </w:rPr>
            </w:pPr>
          </w:p>
        </w:tc>
        <w:tc>
          <w:tcPr>
            <w:tcW w:w="4440" w:type="dxa"/>
            <w:vAlign w:val="bottom"/>
          </w:tcPr>
          <w:p>
            <w:pPr>
              <w:ind w:left="100"/>
              <w:spacing w:after="0"/>
              <w:rPr>
                <w:sz w:val="20"/>
                <w:szCs w:val="20"/>
                <w:color w:val="auto"/>
              </w:rPr>
            </w:pPr>
            <w:r>
              <w:rPr>
                <w:rFonts w:ascii="Arial" w:cs="Arial" w:eastAsia="Arial" w:hAnsi="Arial"/>
                <w:sz w:val="16"/>
                <w:szCs w:val="16"/>
                <w:color w:val="auto"/>
              </w:rPr>
              <w:t>HUMANA INC</w:t>
            </w:r>
          </w:p>
        </w:tc>
        <w:tc>
          <w:tcPr>
            <w:tcW w:w="2100" w:type="dxa"/>
            <w:vAlign w:val="bottom"/>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85,173</w:t>
            </w:r>
          </w:p>
        </w:tc>
      </w:tr>
      <w:tr>
        <w:trPr>
          <w:trHeight w:val="33"/>
        </w:trPr>
        <w:tc>
          <w:tcPr>
            <w:tcW w:w="4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HUNTINGTON BANCSHARES INC</w:t>
            </w:r>
          </w:p>
        </w:tc>
        <w:tc>
          <w:tcPr>
            <w:tcW w:w="21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10,741</w:t>
            </w:r>
          </w:p>
        </w:tc>
      </w:tr>
      <w:tr>
        <w:trPr>
          <w:trHeight w:val="237"/>
        </w:trPr>
        <w:tc>
          <w:tcPr>
            <w:tcW w:w="400" w:type="dxa"/>
            <w:vAlign w:val="bottom"/>
          </w:tcPr>
          <w:p>
            <w:pPr>
              <w:spacing w:after="0"/>
              <w:rPr>
                <w:sz w:val="20"/>
                <w:szCs w:val="20"/>
                <w:color w:val="auto"/>
              </w:rPr>
            </w:pPr>
          </w:p>
        </w:tc>
        <w:tc>
          <w:tcPr>
            <w:tcW w:w="4440" w:type="dxa"/>
            <w:vAlign w:val="bottom"/>
          </w:tcPr>
          <w:p>
            <w:pPr>
              <w:ind w:left="100"/>
              <w:spacing w:after="0"/>
              <w:rPr>
                <w:sz w:val="20"/>
                <w:szCs w:val="20"/>
                <w:color w:val="auto"/>
              </w:rPr>
            </w:pPr>
            <w:r>
              <w:rPr>
                <w:rFonts w:ascii="Arial" w:cs="Arial" w:eastAsia="Arial" w:hAnsi="Arial"/>
                <w:sz w:val="16"/>
                <w:szCs w:val="16"/>
                <w:color w:val="auto"/>
              </w:rPr>
              <w:t>HUNTINGTON INGALLS INDUSTRIES</w:t>
            </w:r>
          </w:p>
        </w:tc>
        <w:tc>
          <w:tcPr>
            <w:tcW w:w="2100" w:type="dxa"/>
            <w:vAlign w:val="bottom"/>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15,969</w:t>
            </w:r>
          </w:p>
        </w:tc>
      </w:tr>
      <w:tr>
        <w:trPr>
          <w:trHeight w:val="33"/>
        </w:trPr>
        <w:tc>
          <w:tcPr>
            <w:tcW w:w="4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HUNTSMAN CORP</w:t>
            </w:r>
          </w:p>
        </w:tc>
        <w:tc>
          <w:tcPr>
            <w:tcW w:w="21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23,144</w:t>
            </w:r>
          </w:p>
        </w:tc>
      </w:tr>
      <w:tr>
        <w:trPr>
          <w:trHeight w:val="237"/>
        </w:trPr>
        <w:tc>
          <w:tcPr>
            <w:tcW w:w="400" w:type="dxa"/>
            <w:vAlign w:val="bottom"/>
          </w:tcPr>
          <w:p>
            <w:pPr>
              <w:spacing w:after="0"/>
              <w:rPr>
                <w:sz w:val="20"/>
                <w:szCs w:val="20"/>
                <w:color w:val="auto"/>
              </w:rPr>
            </w:pPr>
          </w:p>
        </w:tc>
        <w:tc>
          <w:tcPr>
            <w:tcW w:w="4440" w:type="dxa"/>
            <w:vAlign w:val="bottom"/>
          </w:tcPr>
          <w:p>
            <w:pPr>
              <w:ind w:left="100"/>
              <w:spacing w:after="0"/>
              <w:rPr>
                <w:sz w:val="20"/>
                <w:szCs w:val="20"/>
                <w:color w:val="auto"/>
              </w:rPr>
            </w:pPr>
            <w:r>
              <w:rPr>
                <w:rFonts w:ascii="Arial" w:cs="Arial" w:eastAsia="Arial" w:hAnsi="Arial"/>
                <w:sz w:val="16"/>
                <w:szCs w:val="16"/>
                <w:color w:val="auto"/>
              </w:rPr>
              <w:t>IAC/INTERACTIVECORP</w:t>
            </w:r>
          </w:p>
        </w:tc>
        <w:tc>
          <w:tcPr>
            <w:tcW w:w="2100" w:type="dxa"/>
            <w:vAlign w:val="bottom"/>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15,015</w:t>
            </w:r>
          </w:p>
        </w:tc>
      </w:tr>
      <w:tr>
        <w:trPr>
          <w:trHeight w:val="33"/>
        </w:trPr>
        <w:tc>
          <w:tcPr>
            <w:tcW w:w="4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ILLINOIS TOOL WORKS INC</w:t>
            </w:r>
          </w:p>
        </w:tc>
        <w:tc>
          <w:tcPr>
            <w:tcW w:w="21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50,759</w:t>
            </w:r>
          </w:p>
        </w:tc>
      </w:tr>
      <w:tr>
        <w:trPr>
          <w:trHeight w:val="237"/>
        </w:trPr>
        <w:tc>
          <w:tcPr>
            <w:tcW w:w="400" w:type="dxa"/>
            <w:vAlign w:val="bottom"/>
          </w:tcPr>
          <w:p>
            <w:pPr>
              <w:spacing w:after="0"/>
              <w:rPr>
                <w:sz w:val="20"/>
                <w:szCs w:val="20"/>
                <w:color w:val="auto"/>
              </w:rPr>
            </w:pPr>
          </w:p>
        </w:tc>
        <w:tc>
          <w:tcPr>
            <w:tcW w:w="4440" w:type="dxa"/>
            <w:vAlign w:val="bottom"/>
          </w:tcPr>
          <w:p>
            <w:pPr>
              <w:ind w:left="100"/>
              <w:spacing w:after="0"/>
              <w:rPr>
                <w:sz w:val="20"/>
                <w:szCs w:val="20"/>
                <w:color w:val="auto"/>
              </w:rPr>
            </w:pPr>
            <w:r>
              <w:rPr>
                <w:rFonts w:ascii="Arial" w:cs="Arial" w:eastAsia="Arial" w:hAnsi="Arial"/>
                <w:sz w:val="16"/>
                <w:szCs w:val="16"/>
                <w:color w:val="auto"/>
              </w:rPr>
              <w:t>INGRAM MICRO INC CL A COM</w:t>
            </w:r>
          </w:p>
        </w:tc>
        <w:tc>
          <w:tcPr>
            <w:tcW w:w="2100" w:type="dxa"/>
            <w:vAlign w:val="bottom"/>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60,615</w:t>
            </w:r>
          </w:p>
        </w:tc>
      </w:tr>
      <w:tr>
        <w:trPr>
          <w:trHeight w:val="33"/>
        </w:trPr>
        <w:tc>
          <w:tcPr>
            <w:tcW w:w="4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INSIGHT ENTERPRISES INC COM</w:t>
            </w:r>
          </w:p>
        </w:tc>
        <w:tc>
          <w:tcPr>
            <w:tcW w:w="21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15,327</w:t>
            </w:r>
          </w:p>
        </w:tc>
      </w:tr>
      <w:tr>
        <w:trPr>
          <w:trHeight w:val="237"/>
        </w:trPr>
        <w:tc>
          <w:tcPr>
            <w:tcW w:w="400" w:type="dxa"/>
            <w:vAlign w:val="bottom"/>
          </w:tcPr>
          <w:p>
            <w:pPr>
              <w:spacing w:after="0"/>
              <w:rPr>
                <w:sz w:val="20"/>
                <w:szCs w:val="20"/>
                <w:color w:val="auto"/>
              </w:rPr>
            </w:pPr>
          </w:p>
        </w:tc>
        <w:tc>
          <w:tcPr>
            <w:tcW w:w="4440" w:type="dxa"/>
            <w:vAlign w:val="bottom"/>
          </w:tcPr>
          <w:p>
            <w:pPr>
              <w:ind w:left="100"/>
              <w:spacing w:after="0"/>
              <w:rPr>
                <w:sz w:val="20"/>
                <w:szCs w:val="20"/>
                <w:color w:val="auto"/>
              </w:rPr>
            </w:pPr>
            <w:r>
              <w:rPr>
                <w:rFonts w:ascii="Arial" w:cs="Arial" w:eastAsia="Arial" w:hAnsi="Arial"/>
                <w:sz w:val="16"/>
                <w:szCs w:val="16"/>
                <w:color w:val="auto"/>
              </w:rPr>
              <w:t>INTEGRYS ENERGY GROUP INCORPORATED</w:t>
            </w:r>
          </w:p>
        </w:tc>
        <w:tc>
          <w:tcPr>
            <w:tcW w:w="2100" w:type="dxa"/>
            <w:vAlign w:val="bottom"/>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21,331</w:t>
            </w:r>
          </w:p>
        </w:tc>
      </w:tr>
      <w:tr>
        <w:trPr>
          <w:trHeight w:val="33"/>
        </w:trPr>
        <w:tc>
          <w:tcPr>
            <w:tcW w:w="4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400" w:type="dxa"/>
            <w:vAlign w:val="bottom"/>
            <w:shd w:val="clear" w:color="auto" w:fill="CCEEFF"/>
          </w:tcPr>
          <w:p>
            <w:pPr>
              <w:spacing w:after="0"/>
              <w:rPr>
                <w:sz w:val="20"/>
                <w:szCs w:val="20"/>
                <w:color w:val="auto"/>
              </w:rPr>
            </w:pPr>
          </w:p>
        </w:tc>
        <w:tc>
          <w:tcPr>
            <w:tcW w:w="4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INTEL CORP</w:t>
            </w:r>
          </w:p>
        </w:tc>
        <w:tc>
          <w:tcPr>
            <w:tcW w:w="21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Common Stock</w:t>
            </w:r>
          </w:p>
        </w:tc>
        <w:tc>
          <w:tcPr>
            <w:tcW w:w="272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708,562</w:t>
            </w:r>
          </w:p>
        </w:tc>
      </w:tr>
      <w:tr>
        <w:trPr>
          <w:trHeight w:val="33"/>
        </w:trPr>
        <w:tc>
          <w:tcPr>
            <w:tcW w:w="400" w:type="dxa"/>
            <w:vAlign w:val="bottom"/>
            <w:shd w:val="clear" w:color="auto" w:fill="CCEEFF"/>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301" w:right="239" w:bottom="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720" w:type="dxa"/>
            <w:vAlign w:val="bottom"/>
          </w:tcPr>
          <w:p>
            <w:pPr>
              <w:ind w:left="500"/>
              <w:spacing w:after="0"/>
              <w:rPr>
                <w:sz w:val="20"/>
                <w:szCs w:val="20"/>
                <w:color w:val="auto"/>
              </w:rPr>
            </w:pPr>
            <w:r>
              <w:rPr>
                <w:rFonts w:ascii="Arial" w:cs="Arial" w:eastAsia="Arial" w:hAnsi="Arial"/>
                <w:sz w:val="16"/>
                <w:szCs w:val="16"/>
                <w:color w:val="auto"/>
              </w:rPr>
              <w:t>INTERACTIVE BROKERS GROUP INC</w:t>
            </w:r>
          </w:p>
        </w:tc>
        <w:tc>
          <w:tcPr>
            <w:tcW w:w="406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640" w:type="dxa"/>
            <w:vAlign w:val="bottom"/>
          </w:tcPr>
          <w:p>
            <w:pPr>
              <w:jc w:val="right"/>
              <w:ind w:right="19"/>
              <w:spacing w:after="0"/>
              <w:rPr>
                <w:sz w:val="20"/>
                <w:szCs w:val="20"/>
                <w:color w:val="auto"/>
              </w:rPr>
            </w:pPr>
            <w:r>
              <w:rPr>
                <w:rFonts w:ascii="Arial" w:cs="Arial" w:eastAsia="Arial" w:hAnsi="Arial"/>
                <w:sz w:val="16"/>
                <w:szCs w:val="16"/>
                <w:color w:val="auto"/>
              </w:rPr>
              <w:t>32,776</w:t>
            </w:r>
          </w:p>
        </w:tc>
      </w:tr>
      <w:tr>
        <w:trPr>
          <w:trHeight w:val="47"/>
        </w:trPr>
        <w:tc>
          <w:tcPr>
            <w:tcW w:w="4720" w:type="dxa"/>
            <w:vAlign w:val="bottom"/>
          </w:tcPr>
          <w:p>
            <w:pPr>
              <w:spacing w:after="0"/>
              <w:rPr>
                <w:sz w:val="4"/>
                <w:szCs w:val="4"/>
                <w:color w:val="auto"/>
              </w:rPr>
            </w:pPr>
          </w:p>
        </w:tc>
        <w:tc>
          <w:tcPr>
            <w:tcW w:w="4060" w:type="dxa"/>
            <w:vAlign w:val="bottom"/>
          </w:tcPr>
          <w:p>
            <w:pPr>
              <w:spacing w:after="0"/>
              <w:rPr>
                <w:sz w:val="4"/>
                <w:szCs w:val="4"/>
                <w:color w:val="auto"/>
              </w:rPr>
            </w:pPr>
          </w:p>
        </w:tc>
        <w:tc>
          <w:tcPr>
            <w:tcW w:w="2640" w:type="dxa"/>
            <w:vAlign w:val="bottom"/>
          </w:tcPr>
          <w:p>
            <w:pPr>
              <w:spacing w:after="0"/>
              <w:rPr>
                <w:sz w:val="4"/>
                <w:szCs w:val="4"/>
                <w:color w:val="auto"/>
              </w:rPr>
            </w:pPr>
          </w:p>
        </w:tc>
      </w:tr>
      <w:tr>
        <w:trPr>
          <w:trHeight w:val="250"/>
        </w:trPr>
        <w:tc>
          <w:tcPr>
            <w:tcW w:w="4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INTERNATIONAL BANCSHARES CRP</w:t>
            </w:r>
          </w:p>
        </w:tc>
        <w:tc>
          <w:tcPr>
            <w:tcW w:w="40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7,750</w:t>
            </w:r>
          </w:p>
        </w:tc>
      </w:tr>
      <w:tr>
        <w:trPr>
          <w:trHeight w:val="237"/>
        </w:trPr>
        <w:tc>
          <w:tcPr>
            <w:tcW w:w="4720" w:type="dxa"/>
            <w:vAlign w:val="bottom"/>
          </w:tcPr>
          <w:p>
            <w:pPr>
              <w:ind w:left="500"/>
              <w:spacing w:after="0"/>
              <w:rPr>
                <w:sz w:val="20"/>
                <w:szCs w:val="20"/>
                <w:color w:val="auto"/>
              </w:rPr>
            </w:pPr>
            <w:r>
              <w:rPr>
                <w:rFonts w:ascii="Arial" w:cs="Arial" w:eastAsia="Arial" w:hAnsi="Arial"/>
                <w:sz w:val="16"/>
                <w:szCs w:val="16"/>
                <w:color w:val="auto"/>
              </w:rPr>
              <w:t>INTERNATIONAL BUSINESS MACHS CORP</w:t>
            </w:r>
          </w:p>
        </w:tc>
        <w:tc>
          <w:tcPr>
            <w:tcW w:w="406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640" w:type="dxa"/>
            <w:vAlign w:val="bottom"/>
          </w:tcPr>
          <w:p>
            <w:pPr>
              <w:jc w:val="right"/>
              <w:ind w:right="19"/>
              <w:spacing w:after="0"/>
              <w:rPr>
                <w:sz w:val="20"/>
                <w:szCs w:val="20"/>
                <w:color w:val="auto"/>
              </w:rPr>
            </w:pPr>
            <w:r>
              <w:rPr>
                <w:rFonts w:ascii="Arial" w:cs="Arial" w:eastAsia="Arial" w:hAnsi="Arial"/>
                <w:sz w:val="16"/>
                <w:szCs w:val="16"/>
                <w:color w:val="auto"/>
              </w:rPr>
              <w:t>446,023</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30" w:right="239" w:bottom="1440" w:gutter="0" w:footer="0" w:header="0"/>
        </w:sectPr>
      </w:pPr>
    </w:p>
    <w:bookmarkStart w:id="33" w:name="page34"/>
    <w:bookmarkEnd w:id="33"/>
    <w:p>
      <w:pPr>
        <w:ind w:left="40"/>
        <w:spacing w:after="0"/>
        <w:rPr>
          <w:sz w:val="20"/>
          <w:szCs w:val="20"/>
          <w:color w:val="auto"/>
        </w:rPr>
      </w:pPr>
      <w:r>
        <w:rPr>
          <w:rFonts w:ascii="Arial" w:cs="Arial" w:eastAsia="Arial" w:hAnsi="Arial"/>
          <w:sz w:val="16"/>
          <w:szCs w:val="16"/>
          <w:b w:val="1"/>
          <w:bCs w:val="1"/>
          <w:color w:val="auto"/>
        </w:rPr>
        <w:t>WESCO Distribution, Inc.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Retirement Savings Plan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Schedule H (Form 5500), line 4(i) - Schedule of Assets (Held at End of Year)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EIN 25-1723345, Plan Number 001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2014</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 w:type="dxa"/>
            <w:vAlign w:val="bottom"/>
          </w:tcPr>
          <w:p>
            <w:pPr>
              <w:ind w:left="160"/>
              <w:spacing w:after="0"/>
              <w:rPr>
                <w:sz w:val="20"/>
                <w:szCs w:val="20"/>
                <w:color w:val="auto"/>
              </w:rPr>
            </w:pPr>
            <w:r>
              <w:rPr>
                <w:rFonts w:ascii="Arial" w:cs="Arial" w:eastAsia="Arial" w:hAnsi="Arial"/>
                <w:sz w:val="14"/>
                <w:szCs w:val="14"/>
                <w:b w:val="1"/>
                <w:bCs w:val="1"/>
                <w:color w:val="auto"/>
              </w:rPr>
              <w:t>(a)</w:t>
            </w:r>
          </w:p>
        </w:tc>
        <w:tc>
          <w:tcPr>
            <w:tcW w:w="4480" w:type="dxa"/>
            <w:vAlign w:val="bottom"/>
          </w:tcPr>
          <w:p>
            <w:pPr>
              <w:jc w:val="center"/>
              <w:ind w:left="820"/>
              <w:spacing w:after="0"/>
              <w:rPr>
                <w:sz w:val="20"/>
                <w:szCs w:val="20"/>
                <w:color w:val="auto"/>
              </w:rPr>
            </w:pPr>
            <w:r>
              <w:rPr>
                <w:rFonts w:ascii="Arial" w:cs="Arial" w:eastAsia="Arial" w:hAnsi="Arial"/>
                <w:sz w:val="14"/>
                <w:szCs w:val="14"/>
                <w:b w:val="1"/>
                <w:bCs w:val="1"/>
                <w:color w:val="auto"/>
              </w:rPr>
              <w:t>(b)</w:t>
            </w:r>
          </w:p>
        </w:tc>
        <w:tc>
          <w:tcPr>
            <w:tcW w:w="2060" w:type="dxa"/>
            <w:vAlign w:val="bottom"/>
          </w:tcPr>
          <w:p>
            <w:pPr>
              <w:spacing w:after="0"/>
              <w:rPr>
                <w:sz w:val="16"/>
                <w:szCs w:val="16"/>
                <w:color w:val="auto"/>
              </w:rPr>
            </w:pPr>
          </w:p>
        </w:tc>
        <w:tc>
          <w:tcPr>
            <w:tcW w:w="2720" w:type="dxa"/>
            <w:vAlign w:val="bottom"/>
          </w:tcPr>
          <w:p>
            <w:pPr>
              <w:jc w:val="center"/>
              <w:ind w:right="648"/>
              <w:spacing w:after="0"/>
              <w:rPr>
                <w:sz w:val="20"/>
                <w:szCs w:val="20"/>
                <w:color w:val="auto"/>
              </w:rPr>
            </w:pPr>
            <w:r>
              <w:rPr>
                <w:rFonts w:ascii="Arial" w:cs="Arial" w:eastAsia="Arial" w:hAnsi="Arial"/>
                <w:sz w:val="14"/>
                <w:szCs w:val="14"/>
                <w:b w:val="1"/>
                <w:bCs w:val="1"/>
                <w:color w:val="auto"/>
                <w:w w:val="93"/>
              </w:rPr>
              <w:t>(c)</w:t>
            </w:r>
          </w:p>
        </w:tc>
        <w:tc>
          <w:tcPr>
            <w:tcW w:w="1760" w:type="dxa"/>
            <w:vAlign w:val="bottom"/>
          </w:tcPr>
          <w:p>
            <w:pPr>
              <w:jc w:val="center"/>
              <w:ind w:left="439"/>
              <w:spacing w:after="0"/>
              <w:rPr>
                <w:sz w:val="20"/>
                <w:szCs w:val="20"/>
                <w:color w:val="auto"/>
              </w:rPr>
            </w:pPr>
            <w:r>
              <w:rPr>
                <w:rFonts w:ascii="Arial" w:cs="Arial" w:eastAsia="Arial" w:hAnsi="Arial"/>
                <w:sz w:val="14"/>
                <w:szCs w:val="14"/>
                <w:b w:val="1"/>
                <w:bCs w:val="1"/>
                <w:color w:val="auto"/>
                <w:w w:val="89"/>
              </w:rPr>
              <w:t>(d)</w:t>
            </w:r>
          </w:p>
        </w:tc>
      </w:tr>
      <w:tr>
        <w:trPr>
          <w:trHeight w:val="270"/>
        </w:trPr>
        <w:tc>
          <w:tcPr>
            <w:tcW w:w="40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2720" w:type="dxa"/>
            <w:vAlign w:val="bottom"/>
          </w:tcPr>
          <w:p>
            <w:pPr>
              <w:jc w:val="center"/>
              <w:ind w:right="628"/>
              <w:spacing w:after="0"/>
              <w:rPr>
                <w:sz w:val="20"/>
                <w:szCs w:val="20"/>
                <w:color w:val="auto"/>
              </w:rPr>
            </w:pPr>
            <w:r>
              <w:rPr>
                <w:rFonts w:ascii="Arial" w:cs="Arial" w:eastAsia="Arial" w:hAnsi="Arial"/>
                <w:sz w:val="14"/>
                <w:szCs w:val="14"/>
                <w:b w:val="1"/>
                <w:bCs w:val="1"/>
                <w:color w:val="auto"/>
                <w:w w:val="91"/>
              </w:rPr>
              <w:t>Description of Investment</w:t>
            </w:r>
          </w:p>
        </w:tc>
        <w:tc>
          <w:tcPr>
            <w:tcW w:w="176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480" w:type="dxa"/>
            <w:vAlign w:val="bottom"/>
          </w:tcPr>
          <w:p>
            <w:pPr>
              <w:jc w:val="center"/>
              <w:ind w:left="820"/>
              <w:spacing w:after="0"/>
              <w:rPr>
                <w:sz w:val="20"/>
                <w:szCs w:val="20"/>
                <w:color w:val="auto"/>
              </w:rPr>
            </w:pPr>
            <w:r>
              <w:rPr>
                <w:rFonts w:ascii="Arial" w:cs="Arial" w:eastAsia="Arial" w:hAnsi="Arial"/>
                <w:sz w:val="14"/>
                <w:szCs w:val="14"/>
                <w:b w:val="1"/>
                <w:bCs w:val="1"/>
                <w:color w:val="auto"/>
                <w:w w:val="92"/>
              </w:rPr>
              <w:t>Identity of Issue,</w:t>
            </w:r>
          </w:p>
        </w:tc>
        <w:tc>
          <w:tcPr>
            <w:tcW w:w="2060" w:type="dxa"/>
            <w:vAlign w:val="bottom"/>
          </w:tcPr>
          <w:p>
            <w:pPr>
              <w:spacing w:after="0"/>
              <w:rPr>
                <w:sz w:val="23"/>
                <w:szCs w:val="23"/>
                <w:color w:val="auto"/>
              </w:rPr>
            </w:pPr>
          </w:p>
        </w:tc>
        <w:tc>
          <w:tcPr>
            <w:tcW w:w="2720" w:type="dxa"/>
            <w:vAlign w:val="bottom"/>
          </w:tcPr>
          <w:p>
            <w:pPr>
              <w:jc w:val="center"/>
              <w:ind w:right="628"/>
              <w:spacing w:after="0"/>
              <w:rPr>
                <w:sz w:val="20"/>
                <w:szCs w:val="20"/>
                <w:color w:val="auto"/>
              </w:rPr>
            </w:pPr>
            <w:r>
              <w:rPr>
                <w:rFonts w:ascii="Arial" w:cs="Arial" w:eastAsia="Arial" w:hAnsi="Arial"/>
                <w:sz w:val="14"/>
                <w:szCs w:val="14"/>
                <w:b w:val="1"/>
                <w:bCs w:val="1"/>
                <w:color w:val="auto"/>
                <w:w w:val="97"/>
              </w:rPr>
              <w:t>Including Maturity Date,</w:t>
            </w:r>
          </w:p>
        </w:tc>
        <w:tc>
          <w:tcPr>
            <w:tcW w:w="176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480" w:type="dxa"/>
            <w:vAlign w:val="bottom"/>
          </w:tcPr>
          <w:p>
            <w:pPr>
              <w:jc w:val="center"/>
              <w:ind w:left="840"/>
              <w:spacing w:after="0"/>
              <w:rPr>
                <w:sz w:val="20"/>
                <w:szCs w:val="20"/>
                <w:color w:val="auto"/>
              </w:rPr>
            </w:pPr>
            <w:r>
              <w:rPr>
                <w:rFonts w:ascii="Arial" w:cs="Arial" w:eastAsia="Arial" w:hAnsi="Arial"/>
                <w:sz w:val="14"/>
                <w:szCs w:val="14"/>
                <w:b w:val="1"/>
                <w:bCs w:val="1"/>
                <w:color w:val="auto"/>
                <w:w w:val="92"/>
              </w:rPr>
              <w:t>Borrower, Lessor or</w:t>
            </w:r>
          </w:p>
        </w:tc>
        <w:tc>
          <w:tcPr>
            <w:tcW w:w="2060" w:type="dxa"/>
            <w:vAlign w:val="bottom"/>
          </w:tcPr>
          <w:p>
            <w:pPr>
              <w:spacing w:after="0"/>
              <w:rPr>
                <w:sz w:val="23"/>
                <w:szCs w:val="23"/>
                <w:color w:val="auto"/>
              </w:rPr>
            </w:pPr>
          </w:p>
        </w:tc>
        <w:tc>
          <w:tcPr>
            <w:tcW w:w="2720" w:type="dxa"/>
            <w:vAlign w:val="bottom"/>
          </w:tcPr>
          <w:p>
            <w:pPr>
              <w:jc w:val="center"/>
              <w:ind w:right="648"/>
              <w:spacing w:after="0"/>
              <w:rPr>
                <w:sz w:val="20"/>
                <w:szCs w:val="20"/>
                <w:color w:val="auto"/>
              </w:rPr>
            </w:pPr>
            <w:r>
              <w:rPr>
                <w:rFonts w:ascii="Arial" w:cs="Arial" w:eastAsia="Arial" w:hAnsi="Arial"/>
                <w:sz w:val="14"/>
                <w:szCs w:val="14"/>
                <w:b w:val="1"/>
                <w:bCs w:val="1"/>
                <w:color w:val="auto"/>
                <w:w w:val="94"/>
              </w:rPr>
              <w:t>Rate of Interest, Collateral,</w:t>
            </w:r>
          </w:p>
        </w:tc>
        <w:tc>
          <w:tcPr>
            <w:tcW w:w="1760" w:type="dxa"/>
            <w:vAlign w:val="bottom"/>
          </w:tcPr>
          <w:p>
            <w:pPr>
              <w:jc w:val="center"/>
              <w:ind w:left="419"/>
              <w:spacing w:after="0"/>
              <w:rPr>
                <w:sz w:val="20"/>
                <w:szCs w:val="20"/>
                <w:color w:val="auto"/>
              </w:rPr>
            </w:pPr>
            <w:r>
              <w:rPr>
                <w:rFonts w:ascii="Arial" w:cs="Arial" w:eastAsia="Arial" w:hAnsi="Arial"/>
                <w:sz w:val="14"/>
                <w:szCs w:val="14"/>
                <w:b w:val="1"/>
                <w:bCs w:val="1"/>
                <w:color w:val="auto"/>
                <w:w w:val="98"/>
              </w:rPr>
              <w:t>Current</w:t>
            </w:r>
          </w:p>
        </w:tc>
      </w:tr>
      <w:tr>
        <w:trPr>
          <w:trHeight w:val="276"/>
        </w:trPr>
        <w:tc>
          <w:tcPr>
            <w:tcW w:w="400" w:type="dxa"/>
            <w:vAlign w:val="bottom"/>
          </w:tcPr>
          <w:p>
            <w:pPr>
              <w:spacing w:after="0"/>
              <w:rPr>
                <w:sz w:val="24"/>
                <w:szCs w:val="24"/>
                <w:color w:val="auto"/>
              </w:rPr>
            </w:pPr>
          </w:p>
        </w:tc>
        <w:tc>
          <w:tcPr>
            <w:tcW w:w="4480" w:type="dxa"/>
            <w:vAlign w:val="bottom"/>
          </w:tcPr>
          <w:p>
            <w:pPr>
              <w:jc w:val="center"/>
              <w:ind w:left="840"/>
              <w:spacing w:after="0"/>
              <w:rPr>
                <w:sz w:val="20"/>
                <w:szCs w:val="20"/>
                <w:color w:val="auto"/>
              </w:rPr>
            </w:pPr>
            <w:r>
              <w:rPr>
                <w:rFonts w:ascii="Arial" w:cs="Arial" w:eastAsia="Arial" w:hAnsi="Arial"/>
                <w:sz w:val="14"/>
                <w:szCs w:val="14"/>
                <w:b w:val="1"/>
                <w:bCs w:val="1"/>
                <w:color w:val="auto"/>
                <w:w w:val="98"/>
              </w:rPr>
              <w:t>Similar Party</w:t>
            </w:r>
          </w:p>
        </w:tc>
        <w:tc>
          <w:tcPr>
            <w:tcW w:w="2060" w:type="dxa"/>
            <w:vAlign w:val="bottom"/>
          </w:tcPr>
          <w:p>
            <w:pPr>
              <w:spacing w:after="0"/>
              <w:rPr>
                <w:sz w:val="24"/>
                <w:szCs w:val="24"/>
                <w:color w:val="auto"/>
              </w:rPr>
            </w:pPr>
          </w:p>
        </w:tc>
        <w:tc>
          <w:tcPr>
            <w:tcW w:w="2720" w:type="dxa"/>
            <w:vAlign w:val="bottom"/>
          </w:tcPr>
          <w:p>
            <w:pPr>
              <w:jc w:val="center"/>
              <w:ind w:right="628"/>
              <w:spacing w:after="0"/>
              <w:rPr>
                <w:sz w:val="20"/>
                <w:szCs w:val="20"/>
                <w:color w:val="auto"/>
              </w:rPr>
            </w:pPr>
            <w:r>
              <w:rPr>
                <w:rFonts w:ascii="Arial" w:cs="Arial" w:eastAsia="Arial" w:hAnsi="Arial"/>
                <w:sz w:val="14"/>
                <w:szCs w:val="14"/>
                <w:b w:val="1"/>
                <w:bCs w:val="1"/>
                <w:color w:val="auto"/>
                <w:w w:val="95"/>
              </w:rPr>
              <w:t>Par, or Maturity Value</w:t>
            </w:r>
          </w:p>
        </w:tc>
        <w:tc>
          <w:tcPr>
            <w:tcW w:w="1760" w:type="dxa"/>
            <w:vAlign w:val="bottom"/>
          </w:tcPr>
          <w:p>
            <w:pPr>
              <w:jc w:val="center"/>
              <w:ind w:left="439"/>
              <w:spacing w:after="0"/>
              <w:rPr>
                <w:sz w:val="20"/>
                <w:szCs w:val="20"/>
                <w:color w:val="auto"/>
              </w:rPr>
            </w:pPr>
            <w:r>
              <w:rPr>
                <w:rFonts w:ascii="Arial" w:cs="Arial" w:eastAsia="Arial" w:hAnsi="Arial"/>
                <w:sz w:val="14"/>
                <w:szCs w:val="14"/>
                <w:b w:val="1"/>
                <w:bCs w:val="1"/>
                <w:color w:val="auto"/>
                <w:w w:val="96"/>
              </w:rPr>
              <w:t>Value</w:t>
            </w:r>
          </w:p>
        </w:tc>
      </w:tr>
      <w:tr>
        <w:trPr>
          <w:trHeight w:val="256"/>
        </w:trPr>
        <w:tc>
          <w:tcPr>
            <w:tcW w:w="400" w:type="dxa"/>
            <w:vAlign w:val="bottom"/>
            <w:tcBorders>
              <w:bottom w:val="single" w:sz="8" w:color="CCEEFF"/>
            </w:tcBorders>
            <w:shd w:val="clear" w:color="auto" w:fill="CCEEFF"/>
          </w:tcPr>
          <w:p>
            <w:pPr>
              <w:spacing w:after="0"/>
              <w:rPr>
                <w:sz w:val="22"/>
                <w:szCs w:val="22"/>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INTERNATIONAL PAPER CO</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33,755</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INTERNATIONAL RECTIFIER CORP COM</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10,055</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INTERPUBLIC GROUP COS INC</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61,417</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INTERSIL CORPORATION</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21,039</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INVACARE CORP</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10,157</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INVESTMENT TECHNOLOGY GROUP INC NEW</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7,766</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IRON MOUNTAIN INC</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19,137</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ISTAR FINL INC</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10,743</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ITRON INC COM</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9,388</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ITT CORP</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18,571</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ITT EDL SVCS INC COM</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9,264</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JABIL CIRCUIT INC COM</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22,070</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JACK IN THE BOX, INC.</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18,871</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JACOBS ENGR GROUP INC</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11,485</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JETBLUE AWYS CORP</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30,515</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JM SMUCKER CO</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20,499</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JOHNSON &amp; JOHNSON</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590,402</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JOHNSON CONTROLS INC</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41,282</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JOY GLOBAL INC</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7,257</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JPMORGAN CHASE &amp; CO</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425,231</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JUNIPER NETWORKS INC</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55,309</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KBR INC</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9,984</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KELLOGG CO</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37,563</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KEMPER CORP</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7,980</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KEY ENERGY SERVICES INC</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1,708</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KEYCORP NEW</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39,629</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KIMBERLY CLARK CORP COM</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47,140</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KINDRED HEALTHCARE INC</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33,542</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KLA-TENCOR CORP COM</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9,212</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KOHLS CORP</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51,518</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KORN FERRY INTERNATIONAL</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13,000</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KRAFT FOODS GROUP INC</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47,810</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KROGER CO</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182,356</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L BRANDS INC</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62,316</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L-3 COMMUNICATIONS CORP COM</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45,436</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LABORATORY CRP OF AMER HLDGS</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5,611</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LACLEDE GROUP INC</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20,056</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LEAR CORP</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22,460</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LEGG MASON INC COM</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16,758</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LEGGETT &amp; PLATT INC</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19,899</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LEIDOS HOLDINGS, INC</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23,022</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LEVEL 3 COMMUNICATIONS, INC.</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50,615</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LEXMARK INTERNATIONAL INC</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46,965</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LIBERTY INTERACTIVE CORP-A</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34,039</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LIFEPOINT HOSPS INC</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29,555</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LINCOLN NATL CORP IND</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61,130</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LINEAR TECHNOLOGY CORP</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5,837</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LINN CO LLC</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2,779</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400" w:type="dxa"/>
            <w:vAlign w:val="bottom"/>
            <w:shd w:val="clear" w:color="auto" w:fill="CCEEFF"/>
          </w:tcPr>
          <w:p>
            <w:pPr>
              <w:spacing w:after="0"/>
              <w:rPr>
                <w:sz w:val="20"/>
                <w:szCs w:val="20"/>
                <w:color w:val="auto"/>
              </w:rPr>
            </w:pPr>
          </w:p>
        </w:tc>
        <w:tc>
          <w:tcPr>
            <w:tcW w:w="44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LIVE NATION ENT INC</w:t>
            </w:r>
          </w:p>
        </w:tc>
        <w:tc>
          <w:tcPr>
            <w:tcW w:w="2060" w:type="dxa"/>
            <w:vAlign w:val="bottom"/>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17,415</w:t>
            </w:r>
          </w:p>
        </w:tc>
      </w:tr>
      <w:tr>
        <w:trPr>
          <w:trHeight w:val="33"/>
        </w:trPr>
        <w:tc>
          <w:tcPr>
            <w:tcW w:w="400" w:type="dxa"/>
            <w:vAlign w:val="bottom"/>
            <w:shd w:val="clear" w:color="auto" w:fill="CCEEFF"/>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301" w:right="239" w:bottom="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20" w:type="dxa"/>
            <w:vAlign w:val="bottom"/>
          </w:tcPr>
          <w:p>
            <w:pPr>
              <w:ind w:left="500"/>
              <w:spacing w:after="0"/>
              <w:rPr>
                <w:sz w:val="20"/>
                <w:szCs w:val="20"/>
                <w:color w:val="auto"/>
              </w:rPr>
            </w:pPr>
            <w:r>
              <w:rPr>
                <w:rFonts w:ascii="Arial" w:cs="Arial" w:eastAsia="Arial" w:hAnsi="Arial"/>
                <w:sz w:val="16"/>
                <w:szCs w:val="16"/>
                <w:color w:val="auto"/>
              </w:rPr>
              <w:t>LOCKHEED MARTIN CORP</w:t>
            </w:r>
          </w:p>
        </w:tc>
        <w:tc>
          <w:tcPr>
            <w:tcW w:w="4660" w:type="dxa"/>
            <w:vAlign w:val="bottom"/>
          </w:tcPr>
          <w:p>
            <w:pPr>
              <w:ind w:left="1620"/>
              <w:spacing w:after="0"/>
              <w:rPr>
                <w:sz w:val="20"/>
                <w:szCs w:val="20"/>
                <w:color w:val="auto"/>
              </w:rPr>
            </w:pPr>
            <w:r>
              <w:rPr>
                <w:rFonts w:ascii="Arial" w:cs="Arial" w:eastAsia="Arial" w:hAnsi="Arial"/>
                <w:sz w:val="16"/>
                <w:szCs w:val="16"/>
                <w:color w:val="auto"/>
              </w:rPr>
              <w:t>Common Stock</w:t>
            </w:r>
          </w:p>
        </w:tc>
        <w:tc>
          <w:tcPr>
            <w:tcW w:w="2640" w:type="dxa"/>
            <w:vAlign w:val="bottom"/>
          </w:tcPr>
          <w:p>
            <w:pPr>
              <w:jc w:val="right"/>
              <w:ind w:right="19"/>
              <w:spacing w:after="0"/>
              <w:rPr>
                <w:sz w:val="20"/>
                <w:szCs w:val="20"/>
                <w:color w:val="auto"/>
              </w:rPr>
            </w:pPr>
            <w:r>
              <w:rPr>
                <w:rFonts w:ascii="Arial" w:cs="Arial" w:eastAsia="Arial" w:hAnsi="Arial"/>
                <w:sz w:val="16"/>
                <w:szCs w:val="16"/>
                <w:color w:val="auto"/>
              </w:rPr>
              <w:t>170,424</w:t>
            </w:r>
          </w:p>
        </w:tc>
      </w:tr>
      <w:tr>
        <w:trPr>
          <w:trHeight w:val="47"/>
        </w:trPr>
        <w:tc>
          <w:tcPr>
            <w:tcW w:w="4120" w:type="dxa"/>
            <w:vAlign w:val="bottom"/>
          </w:tcPr>
          <w:p>
            <w:pPr>
              <w:spacing w:after="0"/>
              <w:rPr>
                <w:sz w:val="4"/>
                <w:szCs w:val="4"/>
                <w:color w:val="auto"/>
              </w:rPr>
            </w:pPr>
          </w:p>
        </w:tc>
        <w:tc>
          <w:tcPr>
            <w:tcW w:w="4660" w:type="dxa"/>
            <w:vAlign w:val="bottom"/>
          </w:tcPr>
          <w:p>
            <w:pPr>
              <w:spacing w:after="0"/>
              <w:rPr>
                <w:sz w:val="4"/>
                <w:szCs w:val="4"/>
                <w:color w:val="auto"/>
              </w:rPr>
            </w:pPr>
          </w:p>
        </w:tc>
        <w:tc>
          <w:tcPr>
            <w:tcW w:w="2640" w:type="dxa"/>
            <w:vAlign w:val="bottom"/>
          </w:tcPr>
          <w:p>
            <w:pPr>
              <w:spacing w:after="0"/>
              <w:rPr>
                <w:sz w:val="4"/>
                <w:szCs w:val="4"/>
                <w:color w:val="auto"/>
              </w:rPr>
            </w:pPr>
          </w:p>
        </w:tc>
      </w:tr>
      <w:tr>
        <w:trPr>
          <w:trHeight w:val="250"/>
        </w:trPr>
        <w:tc>
          <w:tcPr>
            <w:tcW w:w="4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LOEWS CORP</w:t>
            </w:r>
          </w:p>
        </w:tc>
        <w:tc>
          <w:tcPr>
            <w:tcW w:w="466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6"/>
                <w:szCs w:val="16"/>
                <w:color w:val="auto"/>
              </w:rPr>
              <w:t>Common Stock</w:t>
            </w:r>
          </w:p>
        </w:tc>
        <w:tc>
          <w:tcPr>
            <w:tcW w:w="2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25,296</w:t>
            </w:r>
          </w:p>
        </w:tc>
      </w:tr>
      <w:tr>
        <w:trPr>
          <w:trHeight w:val="237"/>
        </w:trPr>
        <w:tc>
          <w:tcPr>
            <w:tcW w:w="4120" w:type="dxa"/>
            <w:vAlign w:val="bottom"/>
          </w:tcPr>
          <w:p>
            <w:pPr>
              <w:ind w:left="500"/>
              <w:spacing w:after="0"/>
              <w:rPr>
                <w:sz w:val="20"/>
                <w:szCs w:val="20"/>
                <w:color w:val="auto"/>
              </w:rPr>
            </w:pPr>
            <w:r>
              <w:rPr>
                <w:rFonts w:ascii="Arial" w:cs="Arial" w:eastAsia="Arial" w:hAnsi="Arial"/>
                <w:sz w:val="16"/>
                <w:szCs w:val="16"/>
                <w:color w:val="auto"/>
              </w:rPr>
              <w:t>LORILLARD INC</w:t>
            </w:r>
          </w:p>
        </w:tc>
        <w:tc>
          <w:tcPr>
            <w:tcW w:w="4660" w:type="dxa"/>
            <w:vAlign w:val="bottom"/>
          </w:tcPr>
          <w:p>
            <w:pPr>
              <w:ind w:left="1620"/>
              <w:spacing w:after="0"/>
              <w:rPr>
                <w:sz w:val="20"/>
                <w:szCs w:val="20"/>
                <w:color w:val="auto"/>
              </w:rPr>
            </w:pPr>
            <w:r>
              <w:rPr>
                <w:rFonts w:ascii="Arial" w:cs="Arial" w:eastAsia="Arial" w:hAnsi="Arial"/>
                <w:sz w:val="16"/>
                <w:szCs w:val="16"/>
                <w:color w:val="auto"/>
              </w:rPr>
              <w:t>Common Stock</w:t>
            </w:r>
          </w:p>
        </w:tc>
        <w:tc>
          <w:tcPr>
            <w:tcW w:w="2640" w:type="dxa"/>
            <w:vAlign w:val="bottom"/>
          </w:tcPr>
          <w:p>
            <w:pPr>
              <w:jc w:val="right"/>
              <w:ind w:right="19"/>
              <w:spacing w:after="0"/>
              <w:rPr>
                <w:sz w:val="20"/>
                <w:szCs w:val="20"/>
                <w:color w:val="auto"/>
              </w:rPr>
            </w:pPr>
            <w:r>
              <w:rPr>
                <w:rFonts w:ascii="Arial" w:cs="Arial" w:eastAsia="Arial" w:hAnsi="Arial"/>
                <w:sz w:val="16"/>
                <w:szCs w:val="16"/>
                <w:color w:val="auto"/>
              </w:rPr>
              <w:t>95,291</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30" w:right="239" w:bottom="1440" w:gutter="0" w:footer="0" w:header="0"/>
        </w:sectPr>
      </w:pPr>
    </w:p>
    <w:bookmarkStart w:id="35" w:name="page36"/>
    <w:bookmarkEnd w:id="35"/>
    <w:p>
      <w:pPr>
        <w:ind w:left="40"/>
        <w:spacing w:after="0"/>
        <w:rPr>
          <w:sz w:val="20"/>
          <w:szCs w:val="20"/>
          <w:color w:val="auto"/>
        </w:rPr>
      </w:pPr>
      <w:r>
        <w:rPr>
          <w:rFonts w:ascii="Arial" w:cs="Arial" w:eastAsia="Arial" w:hAnsi="Arial"/>
          <w:sz w:val="16"/>
          <w:szCs w:val="16"/>
          <w:b w:val="1"/>
          <w:bCs w:val="1"/>
          <w:color w:val="auto"/>
        </w:rPr>
        <w:t>WESCO Distribution, Inc.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Retirement Savings Plan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Schedule H (Form 5500), line 4(i) - Schedule of Assets (Held at End of Year)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EIN 25-1723345, Plan Number 001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2014</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 w:type="dxa"/>
            <w:vAlign w:val="bottom"/>
          </w:tcPr>
          <w:p>
            <w:pPr>
              <w:ind w:left="160"/>
              <w:spacing w:after="0"/>
              <w:rPr>
                <w:sz w:val="20"/>
                <w:szCs w:val="20"/>
                <w:color w:val="auto"/>
              </w:rPr>
            </w:pPr>
            <w:r>
              <w:rPr>
                <w:rFonts w:ascii="Arial" w:cs="Arial" w:eastAsia="Arial" w:hAnsi="Arial"/>
                <w:sz w:val="14"/>
                <w:szCs w:val="14"/>
                <w:b w:val="1"/>
                <w:bCs w:val="1"/>
                <w:color w:val="auto"/>
              </w:rPr>
              <w:t>(a)</w:t>
            </w:r>
          </w:p>
        </w:tc>
        <w:tc>
          <w:tcPr>
            <w:tcW w:w="4320" w:type="dxa"/>
            <w:vAlign w:val="bottom"/>
          </w:tcPr>
          <w:p>
            <w:pPr>
              <w:jc w:val="center"/>
              <w:ind w:left="980"/>
              <w:spacing w:after="0"/>
              <w:rPr>
                <w:sz w:val="20"/>
                <w:szCs w:val="20"/>
                <w:color w:val="auto"/>
              </w:rPr>
            </w:pPr>
            <w:r>
              <w:rPr>
                <w:rFonts w:ascii="Arial" w:cs="Arial" w:eastAsia="Arial" w:hAnsi="Arial"/>
                <w:sz w:val="14"/>
                <w:szCs w:val="14"/>
                <w:b w:val="1"/>
                <w:bCs w:val="1"/>
                <w:color w:val="auto"/>
              </w:rPr>
              <w:t>(b)</w:t>
            </w:r>
          </w:p>
        </w:tc>
        <w:tc>
          <w:tcPr>
            <w:tcW w:w="2220" w:type="dxa"/>
            <w:vAlign w:val="bottom"/>
          </w:tcPr>
          <w:p>
            <w:pPr>
              <w:spacing w:after="0"/>
              <w:rPr>
                <w:sz w:val="16"/>
                <w:szCs w:val="16"/>
                <w:color w:val="auto"/>
              </w:rPr>
            </w:pPr>
          </w:p>
        </w:tc>
        <w:tc>
          <w:tcPr>
            <w:tcW w:w="2720" w:type="dxa"/>
            <w:vAlign w:val="bottom"/>
          </w:tcPr>
          <w:p>
            <w:pPr>
              <w:jc w:val="center"/>
              <w:ind w:right="648"/>
              <w:spacing w:after="0"/>
              <w:rPr>
                <w:sz w:val="20"/>
                <w:szCs w:val="20"/>
                <w:color w:val="auto"/>
              </w:rPr>
            </w:pPr>
            <w:r>
              <w:rPr>
                <w:rFonts w:ascii="Arial" w:cs="Arial" w:eastAsia="Arial" w:hAnsi="Arial"/>
                <w:sz w:val="14"/>
                <w:szCs w:val="14"/>
                <w:b w:val="1"/>
                <w:bCs w:val="1"/>
                <w:color w:val="auto"/>
                <w:w w:val="93"/>
              </w:rPr>
              <w:t>(c)</w:t>
            </w:r>
          </w:p>
        </w:tc>
        <w:tc>
          <w:tcPr>
            <w:tcW w:w="1760" w:type="dxa"/>
            <w:vAlign w:val="bottom"/>
          </w:tcPr>
          <w:p>
            <w:pPr>
              <w:jc w:val="center"/>
              <w:ind w:left="439"/>
              <w:spacing w:after="0"/>
              <w:rPr>
                <w:sz w:val="20"/>
                <w:szCs w:val="20"/>
                <w:color w:val="auto"/>
              </w:rPr>
            </w:pPr>
            <w:r>
              <w:rPr>
                <w:rFonts w:ascii="Arial" w:cs="Arial" w:eastAsia="Arial" w:hAnsi="Arial"/>
                <w:sz w:val="14"/>
                <w:szCs w:val="14"/>
                <w:b w:val="1"/>
                <w:bCs w:val="1"/>
                <w:color w:val="auto"/>
                <w:w w:val="89"/>
              </w:rPr>
              <w:t>(d)</w:t>
            </w:r>
          </w:p>
        </w:tc>
      </w:tr>
      <w:tr>
        <w:trPr>
          <w:trHeight w:val="270"/>
        </w:trPr>
        <w:tc>
          <w:tcPr>
            <w:tcW w:w="40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2720" w:type="dxa"/>
            <w:vAlign w:val="bottom"/>
          </w:tcPr>
          <w:p>
            <w:pPr>
              <w:jc w:val="center"/>
              <w:ind w:right="628"/>
              <w:spacing w:after="0"/>
              <w:rPr>
                <w:sz w:val="20"/>
                <w:szCs w:val="20"/>
                <w:color w:val="auto"/>
              </w:rPr>
            </w:pPr>
            <w:r>
              <w:rPr>
                <w:rFonts w:ascii="Arial" w:cs="Arial" w:eastAsia="Arial" w:hAnsi="Arial"/>
                <w:sz w:val="14"/>
                <w:szCs w:val="14"/>
                <w:b w:val="1"/>
                <w:bCs w:val="1"/>
                <w:color w:val="auto"/>
                <w:w w:val="91"/>
              </w:rPr>
              <w:t>Description of Investment</w:t>
            </w:r>
          </w:p>
        </w:tc>
        <w:tc>
          <w:tcPr>
            <w:tcW w:w="176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320" w:type="dxa"/>
            <w:vAlign w:val="bottom"/>
          </w:tcPr>
          <w:p>
            <w:pPr>
              <w:jc w:val="center"/>
              <w:ind w:left="980"/>
              <w:spacing w:after="0"/>
              <w:rPr>
                <w:sz w:val="20"/>
                <w:szCs w:val="20"/>
                <w:color w:val="auto"/>
              </w:rPr>
            </w:pPr>
            <w:r>
              <w:rPr>
                <w:rFonts w:ascii="Arial" w:cs="Arial" w:eastAsia="Arial" w:hAnsi="Arial"/>
                <w:sz w:val="14"/>
                <w:szCs w:val="14"/>
                <w:b w:val="1"/>
                <w:bCs w:val="1"/>
                <w:color w:val="auto"/>
                <w:w w:val="92"/>
              </w:rPr>
              <w:t>Identity of Issue,</w:t>
            </w:r>
          </w:p>
        </w:tc>
        <w:tc>
          <w:tcPr>
            <w:tcW w:w="2220" w:type="dxa"/>
            <w:vAlign w:val="bottom"/>
          </w:tcPr>
          <w:p>
            <w:pPr>
              <w:spacing w:after="0"/>
              <w:rPr>
                <w:sz w:val="23"/>
                <w:szCs w:val="23"/>
                <w:color w:val="auto"/>
              </w:rPr>
            </w:pPr>
          </w:p>
        </w:tc>
        <w:tc>
          <w:tcPr>
            <w:tcW w:w="2720" w:type="dxa"/>
            <w:vAlign w:val="bottom"/>
          </w:tcPr>
          <w:p>
            <w:pPr>
              <w:jc w:val="center"/>
              <w:ind w:right="628"/>
              <w:spacing w:after="0"/>
              <w:rPr>
                <w:sz w:val="20"/>
                <w:szCs w:val="20"/>
                <w:color w:val="auto"/>
              </w:rPr>
            </w:pPr>
            <w:r>
              <w:rPr>
                <w:rFonts w:ascii="Arial" w:cs="Arial" w:eastAsia="Arial" w:hAnsi="Arial"/>
                <w:sz w:val="14"/>
                <w:szCs w:val="14"/>
                <w:b w:val="1"/>
                <w:bCs w:val="1"/>
                <w:color w:val="auto"/>
                <w:w w:val="97"/>
              </w:rPr>
              <w:t>Including Maturity Date,</w:t>
            </w:r>
          </w:p>
        </w:tc>
        <w:tc>
          <w:tcPr>
            <w:tcW w:w="176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320" w:type="dxa"/>
            <w:vAlign w:val="bottom"/>
          </w:tcPr>
          <w:p>
            <w:pPr>
              <w:jc w:val="center"/>
              <w:ind w:left="1000"/>
              <w:spacing w:after="0"/>
              <w:rPr>
                <w:sz w:val="20"/>
                <w:szCs w:val="20"/>
                <w:color w:val="auto"/>
              </w:rPr>
            </w:pPr>
            <w:r>
              <w:rPr>
                <w:rFonts w:ascii="Arial" w:cs="Arial" w:eastAsia="Arial" w:hAnsi="Arial"/>
                <w:sz w:val="14"/>
                <w:szCs w:val="14"/>
                <w:b w:val="1"/>
                <w:bCs w:val="1"/>
                <w:color w:val="auto"/>
                <w:w w:val="92"/>
              </w:rPr>
              <w:t>Borrower, Lessor or</w:t>
            </w:r>
          </w:p>
        </w:tc>
        <w:tc>
          <w:tcPr>
            <w:tcW w:w="2220" w:type="dxa"/>
            <w:vAlign w:val="bottom"/>
          </w:tcPr>
          <w:p>
            <w:pPr>
              <w:spacing w:after="0"/>
              <w:rPr>
                <w:sz w:val="23"/>
                <w:szCs w:val="23"/>
                <w:color w:val="auto"/>
              </w:rPr>
            </w:pPr>
          </w:p>
        </w:tc>
        <w:tc>
          <w:tcPr>
            <w:tcW w:w="2720" w:type="dxa"/>
            <w:vAlign w:val="bottom"/>
          </w:tcPr>
          <w:p>
            <w:pPr>
              <w:jc w:val="center"/>
              <w:ind w:right="648"/>
              <w:spacing w:after="0"/>
              <w:rPr>
                <w:sz w:val="20"/>
                <w:szCs w:val="20"/>
                <w:color w:val="auto"/>
              </w:rPr>
            </w:pPr>
            <w:r>
              <w:rPr>
                <w:rFonts w:ascii="Arial" w:cs="Arial" w:eastAsia="Arial" w:hAnsi="Arial"/>
                <w:sz w:val="14"/>
                <w:szCs w:val="14"/>
                <w:b w:val="1"/>
                <w:bCs w:val="1"/>
                <w:color w:val="auto"/>
                <w:w w:val="94"/>
              </w:rPr>
              <w:t>Rate of Interest, Collateral,</w:t>
            </w:r>
          </w:p>
        </w:tc>
        <w:tc>
          <w:tcPr>
            <w:tcW w:w="1760" w:type="dxa"/>
            <w:vAlign w:val="bottom"/>
          </w:tcPr>
          <w:p>
            <w:pPr>
              <w:jc w:val="center"/>
              <w:ind w:left="419"/>
              <w:spacing w:after="0"/>
              <w:rPr>
                <w:sz w:val="20"/>
                <w:szCs w:val="20"/>
                <w:color w:val="auto"/>
              </w:rPr>
            </w:pPr>
            <w:r>
              <w:rPr>
                <w:rFonts w:ascii="Arial" w:cs="Arial" w:eastAsia="Arial" w:hAnsi="Arial"/>
                <w:sz w:val="14"/>
                <w:szCs w:val="14"/>
                <w:b w:val="1"/>
                <w:bCs w:val="1"/>
                <w:color w:val="auto"/>
                <w:w w:val="98"/>
              </w:rPr>
              <w:t>Current</w:t>
            </w:r>
          </w:p>
        </w:tc>
      </w:tr>
      <w:tr>
        <w:trPr>
          <w:trHeight w:val="276"/>
        </w:trPr>
        <w:tc>
          <w:tcPr>
            <w:tcW w:w="400" w:type="dxa"/>
            <w:vAlign w:val="bottom"/>
          </w:tcPr>
          <w:p>
            <w:pPr>
              <w:spacing w:after="0"/>
              <w:rPr>
                <w:sz w:val="24"/>
                <w:szCs w:val="24"/>
                <w:color w:val="auto"/>
              </w:rPr>
            </w:pPr>
          </w:p>
        </w:tc>
        <w:tc>
          <w:tcPr>
            <w:tcW w:w="4320" w:type="dxa"/>
            <w:vAlign w:val="bottom"/>
          </w:tcPr>
          <w:p>
            <w:pPr>
              <w:jc w:val="center"/>
              <w:ind w:left="1000"/>
              <w:spacing w:after="0"/>
              <w:rPr>
                <w:sz w:val="20"/>
                <w:szCs w:val="20"/>
                <w:color w:val="auto"/>
              </w:rPr>
            </w:pPr>
            <w:r>
              <w:rPr>
                <w:rFonts w:ascii="Arial" w:cs="Arial" w:eastAsia="Arial" w:hAnsi="Arial"/>
                <w:sz w:val="14"/>
                <w:szCs w:val="14"/>
                <w:b w:val="1"/>
                <w:bCs w:val="1"/>
                <w:color w:val="auto"/>
                <w:w w:val="98"/>
              </w:rPr>
              <w:t>Similar Party</w:t>
            </w:r>
          </w:p>
        </w:tc>
        <w:tc>
          <w:tcPr>
            <w:tcW w:w="2220" w:type="dxa"/>
            <w:vAlign w:val="bottom"/>
          </w:tcPr>
          <w:p>
            <w:pPr>
              <w:spacing w:after="0"/>
              <w:rPr>
                <w:sz w:val="24"/>
                <w:szCs w:val="24"/>
                <w:color w:val="auto"/>
              </w:rPr>
            </w:pPr>
          </w:p>
        </w:tc>
        <w:tc>
          <w:tcPr>
            <w:tcW w:w="2720" w:type="dxa"/>
            <w:vAlign w:val="bottom"/>
          </w:tcPr>
          <w:p>
            <w:pPr>
              <w:jc w:val="center"/>
              <w:ind w:right="628"/>
              <w:spacing w:after="0"/>
              <w:rPr>
                <w:sz w:val="20"/>
                <w:szCs w:val="20"/>
                <w:color w:val="auto"/>
              </w:rPr>
            </w:pPr>
            <w:r>
              <w:rPr>
                <w:rFonts w:ascii="Arial" w:cs="Arial" w:eastAsia="Arial" w:hAnsi="Arial"/>
                <w:sz w:val="14"/>
                <w:szCs w:val="14"/>
                <w:b w:val="1"/>
                <w:bCs w:val="1"/>
                <w:color w:val="auto"/>
                <w:w w:val="95"/>
              </w:rPr>
              <w:t>Par, or Maturity Value</w:t>
            </w:r>
          </w:p>
        </w:tc>
        <w:tc>
          <w:tcPr>
            <w:tcW w:w="1760" w:type="dxa"/>
            <w:vAlign w:val="bottom"/>
          </w:tcPr>
          <w:p>
            <w:pPr>
              <w:jc w:val="center"/>
              <w:ind w:left="439"/>
              <w:spacing w:after="0"/>
              <w:rPr>
                <w:sz w:val="20"/>
                <w:szCs w:val="20"/>
                <w:color w:val="auto"/>
              </w:rPr>
            </w:pPr>
            <w:r>
              <w:rPr>
                <w:rFonts w:ascii="Arial" w:cs="Arial" w:eastAsia="Arial" w:hAnsi="Arial"/>
                <w:sz w:val="14"/>
                <w:szCs w:val="14"/>
                <w:b w:val="1"/>
                <w:bCs w:val="1"/>
                <w:color w:val="auto"/>
                <w:w w:val="96"/>
              </w:rPr>
              <w:t>Value</w:t>
            </w:r>
          </w:p>
        </w:tc>
      </w:tr>
      <w:tr>
        <w:trPr>
          <w:trHeight w:val="256"/>
        </w:trPr>
        <w:tc>
          <w:tcPr>
            <w:tcW w:w="400" w:type="dxa"/>
            <w:vAlign w:val="bottom"/>
            <w:tcBorders>
              <w:bottom w:val="single" w:sz="8" w:color="CCEEFF"/>
            </w:tcBorders>
            <w:shd w:val="clear" w:color="auto" w:fill="CCEEFF"/>
          </w:tcPr>
          <w:p>
            <w:pPr>
              <w:spacing w:after="0"/>
              <w:rPr>
                <w:sz w:val="22"/>
                <w:szCs w:val="22"/>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LOWES COS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110,286</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MACY S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61,937</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MAGELLAN HEALTH,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9,785</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MANPOWERGROUP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35,789</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MARATHON OIL CORP</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86,681</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MARATHON PETROLEUM CORP</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30,869</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MARRIOTT VACATIONS WORLDWIDE 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17,442</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MASCO CORP</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14,087</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MASIMO CORP</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10,668</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MASTERCARD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28,519</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MATTEL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24,168</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MAXIM INTEGRATED PRODS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37,830</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MCDONALDS CORP</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169,972</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MCGRAW-HILL FINANCIAL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46,181</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MCKESSON CORP</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90,505</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MDU RES GROUP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21,949</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MEADWESTVACO CORP</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31,029</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MEDTRONIC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145,122</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MENS WEARHOUSE INC COM</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7,550</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MERCK &amp; CO INC NEW</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187,634</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MEREDITH CORP</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11,679</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MERITOR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7,681</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METLIFE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114,292</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MGM RESORTS INTERNATIONAL</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20,696</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MICROCHIP TECHNOLOGY INC COM</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15,924</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MICRON TECHNOLOGY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142,071</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MICROSOFT CORP</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707,805</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MOLINA HEALTHCARE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8,244</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MOLSON COORS BREWING CO</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9,688</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MONDELEZ INTERNATIONAL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114,605</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MONSANTO CO NEW</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78,253</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MONSTER WORLDWIDE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7,581</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MORGAN STANLEY</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47,297</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MOSAIC CO/THE</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44,189</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MOTOROLA SOLUTIONS,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36,156</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MURPHY OIL CORP</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31,626</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MYLAN LABS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6,708</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NASDAQ OMX GRP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22,973</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NATIONAL FUEL GAS CO N J</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25,309</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NATIONAL OILWELL INC COM</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33,879</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NAVISTAR INTL CORP COM</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6,729</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NCR CORPORATION COM</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7,460</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NETAPP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30,632</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NEW JERSEY RES CORP</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7,160</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NEW YORK TIMES CO CL A</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13,841</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NEWELL RUBBERMAID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16,874</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NEWFIELD EXPL CO COM</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46,348</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NEWMONT MINING CORP</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53,619</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400" w:type="dxa"/>
            <w:vAlign w:val="bottom"/>
            <w:shd w:val="clear" w:color="auto" w:fill="CCEEFF"/>
          </w:tcPr>
          <w:p>
            <w:pPr>
              <w:spacing w:after="0"/>
              <w:rPr>
                <w:sz w:val="20"/>
                <w:szCs w:val="20"/>
                <w:color w:val="auto"/>
              </w:rPr>
            </w:pPr>
          </w:p>
        </w:tc>
        <w:tc>
          <w:tcPr>
            <w:tcW w:w="4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NEXTERA ENERGY INC</w:t>
            </w:r>
          </w:p>
        </w:tc>
        <w:tc>
          <w:tcPr>
            <w:tcW w:w="222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80,993</w:t>
            </w:r>
          </w:p>
        </w:tc>
      </w:tr>
      <w:tr>
        <w:trPr>
          <w:trHeight w:val="33"/>
        </w:trPr>
        <w:tc>
          <w:tcPr>
            <w:tcW w:w="40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301" w:right="239" w:bottom="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900" w:type="dxa"/>
            <w:vAlign w:val="bottom"/>
          </w:tcPr>
          <w:p>
            <w:pPr>
              <w:ind w:left="500"/>
              <w:spacing w:after="0"/>
              <w:rPr>
                <w:sz w:val="20"/>
                <w:szCs w:val="20"/>
                <w:color w:val="auto"/>
              </w:rPr>
            </w:pPr>
            <w:r>
              <w:rPr>
                <w:rFonts w:ascii="Arial" w:cs="Arial" w:eastAsia="Arial" w:hAnsi="Arial"/>
                <w:sz w:val="16"/>
                <w:szCs w:val="16"/>
                <w:color w:val="auto"/>
              </w:rPr>
              <w:t>NIKE INC CL B</w:t>
            </w:r>
          </w:p>
        </w:tc>
        <w:tc>
          <w:tcPr>
            <w:tcW w:w="4920" w:type="dxa"/>
            <w:vAlign w:val="bottom"/>
          </w:tcPr>
          <w:p>
            <w:pPr>
              <w:ind w:left="1840"/>
              <w:spacing w:after="0"/>
              <w:rPr>
                <w:sz w:val="20"/>
                <w:szCs w:val="20"/>
                <w:color w:val="auto"/>
              </w:rPr>
            </w:pPr>
            <w:r>
              <w:rPr>
                <w:rFonts w:ascii="Arial" w:cs="Arial" w:eastAsia="Arial" w:hAnsi="Arial"/>
                <w:sz w:val="16"/>
                <w:szCs w:val="16"/>
                <w:color w:val="auto"/>
              </w:rPr>
              <w:t>Common Stock</w:t>
            </w:r>
          </w:p>
        </w:tc>
        <w:tc>
          <w:tcPr>
            <w:tcW w:w="2600" w:type="dxa"/>
            <w:vAlign w:val="bottom"/>
          </w:tcPr>
          <w:p>
            <w:pPr>
              <w:jc w:val="right"/>
              <w:ind w:right="19"/>
              <w:spacing w:after="0"/>
              <w:rPr>
                <w:sz w:val="20"/>
                <w:szCs w:val="20"/>
                <w:color w:val="auto"/>
              </w:rPr>
            </w:pPr>
            <w:r>
              <w:rPr>
                <w:rFonts w:ascii="Arial" w:cs="Arial" w:eastAsia="Arial" w:hAnsi="Arial"/>
                <w:sz w:val="16"/>
                <w:szCs w:val="16"/>
                <w:color w:val="auto"/>
              </w:rPr>
              <w:t>73,266</w:t>
            </w:r>
          </w:p>
        </w:tc>
      </w:tr>
      <w:tr>
        <w:trPr>
          <w:trHeight w:val="47"/>
        </w:trPr>
        <w:tc>
          <w:tcPr>
            <w:tcW w:w="3900" w:type="dxa"/>
            <w:vAlign w:val="bottom"/>
          </w:tcPr>
          <w:p>
            <w:pPr>
              <w:spacing w:after="0"/>
              <w:rPr>
                <w:sz w:val="4"/>
                <w:szCs w:val="4"/>
                <w:color w:val="auto"/>
              </w:rPr>
            </w:pPr>
          </w:p>
        </w:tc>
        <w:tc>
          <w:tcPr>
            <w:tcW w:w="4920" w:type="dxa"/>
            <w:vAlign w:val="bottom"/>
          </w:tcPr>
          <w:p>
            <w:pPr>
              <w:spacing w:after="0"/>
              <w:rPr>
                <w:sz w:val="4"/>
                <w:szCs w:val="4"/>
                <w:color w:val="auto"/>
              </w:rPr>
            </w:pPr>
          </w:p>
        </w:tc>
        <w:tc>
          <w:tcPr>
            <w:tcW w:w="2600" w:type="dxa"/>
            <w:vAlign w:val="bottom"/>
          </w:tcPr>
          <w:p>
            <w:pPr>
              <w:spacing w:after="0"/>
              <w:rPr>
                <w:sz w:val="4"/>
                <w:szCs w:val="4"/>
                <w:color w:val="auto"/>
              </w:rPr>
            </w:pPr>
          </w:p>
        </w:tc>
      </w:tr>
      <w:tr>
        <w:trPr>
          <w:trHeight w:val="250"/>
        </w:trPr>
        <w:tc>
          <w:tcPr>
            <w:tcW w:w="3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NISOURCE INC</w:t>
            </w:r>
          </w:p>
        </w:tc>
        <w:tc>
          <w:tcPr>
            <w:tcW w:w="4920" w:type="dxa"/>
            <w:vAlign w:val="bottom"/>
            <w:tcBorders>
              <w:bottom w:val="single" w:sz="8" w:color="CCEEFF"/>
            </w:tcBorders>
            <w:shd w:val="clear" w:color="auto" w:fill="CCEEFF"/>
          </w:tcPr>
          <w:p>
            <w:pPr>
              <w:ind w:left="1840"/>
              <w:spacing w:after="0"/>
              <w:rPr>
                <w:sz w:val="20"/>
                <w:szCs w:val="20"/>
                <w:color w:val="auto"/>
              </w:rPr>
            </w:pPr>
            <w:r>
              <w:rPr>
                <w:rFonts w:ascii="Arial" w:cs="Arial" w:eastAsia="Arial" w:hAnsi="Arial"/>
                <w:sz w:val="16"/>
                <w:szCs w:val="16"/>
                <w:color w:val="auto"/>
              </w:rPr>
              <w:t>Common Stock</w:t>
            </w:r>
          </w:p>
        </w:tc>
        <w:tc>
          <w:tcPr>
            <w:tcW w:w="2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44,074</w:t>
            </w:r>
          </w:p>
        </w:tc>
      </w:tr>
      <w:tr>
        <w:trPr>
          <w:trHeight w:val="237"/>
        </w:trPr>
        <w:tc>
          <w:tcPr>
            <w:tcW w:w="3900" w:type="dxa"/>
            <w:vAlign w:val="bottom"/>
          </w:tcPr>
          <w:p>
            <w:pPr>
              <w:ind w:left="500"/>
              <w:spacing w:after="0"/>
              <w:rPr>
                <w:sz w:val="20"/>
                <w:szCs w:val="20"/>
                <w:color w:val="auto"/>
              </w:rPr>
            </w:pPr>
            <w:r>
              <w:rPr>
                <w:rFonts w:ascii="Arial" w:cs="Arial" w:eastAsia="Arial" w:hAnsi="Arial"/>
                <w:sz w:val="16"/>
                <w:szCs w:val="16"/>
                <w:color w:val="auto"/>
              </w:rPr>
              <w:t>NOBLE ENERGY INC</w:t>
            </w:r>
          </w:p>
        </w:tc>
        <w:tc>
          <w:tcPr>
            <w:tcW w:w="4920" w:type="dxa"/>
            <w:vAlign w:val="bottom"/>
          </w:tcPr>
          <w:p>
            <w:pPr>
              <w:ind w:left="1840"/>
              <w:spacing w:after="0"/>
              <w:rPr>
                <w:sz w:val="20"/>
                <w:szCs w:val="20"/>
                <w:color w:val="auto"/>
              </w:rPr>
            </w:pPr>
            <w:r>
              <w:rPr>
                <w:rFonts w:ascii="Arial" w:cs="Arial" w:eastAsia="Arial" w:hAnsi="Arial"/>
                <w:sz w:val="16"/>
                <w:szCs w:val="16"/>
                <w:color w:val="auto"/>
              </w:rPr>
              <w:t>Common Stock</w:t>
            </w:r>
          </w:p>
        </w:tc>
        <w:tc>
          <w:tcPr>
            <w:tcW w:w="2600" w:type="dxa"/>
            <w:vAlign w:val="bottom"/>
          </w:tcPr>
          <w:p>
            <w:pPr>
              <w:jc w:val="right"/>
              <w:ind w:right="19"/>
              <w:spacing w:after="0"/>
              <w:rPr>
                <w:sz w:val="20"/>
                <w:szCs w:val="20"/>
                <w:color w:val="auto"/>
              </w:rPr>
            </w:pPr>
            <w:r>
              <w:rPr>
                <w:rFonts w:ascii="Arial" w:cs="Arial" w:eastAsia="Arial" w:hAnsi="Arial"/>
                <w:sz w:val="16"/>
                <w:szCs w:val="16"/>
                <w:color w:val="auto"/>
              </w:rPr>
              <w:t>9,249</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30" w:right="239" w:bottom="1440" w:gutter="0" w:footer="0" w:header="0"/>
        </w:sectPr>
      </w:pPr>
    </w:p>
    <w:bookmarkStart w:id="37" w:name="page38"/>
    <w:bookmarkEnd w:id="37"/>
    <w:p>
      <w:pPr>
        <w:ind w:left="40"/>
        <w:spacing w:after="0"/>
        <w:rPr>
          <w:sz w:val="20"/>
          <w:szCs w:val="20"/>
          <w:color w:val="auto"/>
        </w:rPr>
      </w:pPr>
      <w:r>
        <w:rPr>
          <w:rFonts w:ascii="Arial" w:cs="Arial" w:eastAsia="Arial" w:hAnsi="Arial"/>
          <w:sz w:val="16"/>
          <w:szCs w:val="16"/>
          <w:b w:val="1"/>
          <w:bCs w:val="1"/>
          <w:color w:val="auto"/>
        </w:rPr>
        <w:t>WESCO Distribution, Inc.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Retirement Savings Plan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Schedule H (Form 5500), line 4(i) - Schedule of Assets (Held at End of Year)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EIN 25-1723345, Plan Number 001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2014</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 w:type="dxa"/>
            <w:vAlign w:val="bottom"/>
          </w:tcPr>
          <w:p>
            <w:pPr>
              <w:ind w:left="160"/>
              <w:spacing w:after="0"/>
              <w:rPr>
                <w:sz w:val="20"/>
                <w:szCs w:val="20"/>
                <w:color w:val="auto"/>
              </w:rPr>
            </w:pPr>
            <w:r>
              <w:rPr>
                <w:rFonts w:ascii="Arial" w:cs="Arial" w:eastAsia="Arial" w:hAnsi="Arial"/>
                <w:sz w:val="14"/>
                <w:szCs w:val="14"/>
                <w:b w:val="1"/>
                <w:bCs w:val="1"/>
                <w:color w:val="auto"/>
              </w:rPr>
              <w:t>(a)</w:t>
            </w:r>
          </w:p>
        </w:tc>
        <w:tc>
          <w:tcPr>
            <w:tcW w:w="4320" w:type="dxa"/>
            <w:vAlign w:val="bottom"/>
          </w:tcPr>
          <w:p>
            <w:pPr>
              <w:jc w:val="center"/>
              <w:ind w:left="980"/>
              <w:spacing w:after="0"/>
              <w:rPr>
                <w:sz w:val="20"/>
                <w:szCs w:val="20"/>
                <w:color w:val="auto"/>
              </w:rPr>
            </w:pPr>
            <w:r>
              <w:rPr>
                <w:rFonts w:ascii="Arial" w:cs="Arial" w:eastAsia="Arial" w:hAnsi="Arial"/>
                <w:sz w:val="14"/>
                <w:szCs w:val="14"/>
                <w:b w:val="1"/>
                <w:bCs w:val="1"/>
                <w:color w:val="auto"/>
              </w:rPr>
              <w:t>(b)</w:t>
            </w:r>
          </w:p>
        </w:tc>
        <w:tc>
          <w:tcPr>
            <w:tcW w:w="2220" w:type="dxa"/>
            <w:vAlign w:val="bottom"/>
          </w:tcPr>
          <w:p>
            <w:pPr>
              <w:spacing w:after="0"/>
              <w:rPr>
                <w:sz w:val="16"/>
                <w:szCs w:val="16"/>
                <w:color w:val="auto"/>
              </w:rPr>
            </w:pPr>
          </w:p>
        </w:tc>
        <w:tc>
          <w:tcPr>
            <w:tcW w:w="2720" w:type="dxa"/>
            <w:vAlign w:val="bottom"/>
          </w:tcPr>
          <w:p>
            <w:pPr>
              <w:jc w:val="center"/>
              <w:ind w:right="648"/>
              <w:spacing w:after="0"/>
              <w:rPr>
                <w:sz w:val="20"/>
                <w:szCs w:val="20"/>
                <w:color w:val="auto"/>
              </w:rPr>
            </w:pPr>
            <w:r>
              <w:rPr>
                <w:rFonts w:ascii="Arial" w:cs="Arial" w:eastAsia="Arial" w:hAnsi="Arial"/>
                <w:sz w:val="14"/>
                <w:szCs w:val="14"/>
                <w:b w:val="1"/>
                <w:bCs w:val="1"/>
                <w:color w:val="auto"/>
                <w:w w:val="93"/>
              </w:rPr>
              <w:t>(c)</w:t>
            </w:r>
          </w:p>
        </w:tc>
        <w:tc>
          <w:tcPr>
            <w:tcW w:w="1760" w:type="dxa"/>
            <w:vAlign w:val="bottom"/>
          </w:tcPr>
          <w:p>
            <w:pPr>
              <w:jc w:val="center"/>
              <w:ind w:left="439"/>
              <w:spacing w:after="0"/>
              <w:rPr>
                <w:sz w:val="20"/>
                <w:szCs w:val="20"/>
                <w:color w:val="auto"/>
              </w:rPr>
            </w:pPr>
            <w:r>
              <w:rPr>
                <w:rFonts w:ascii="Arial" w:cs="Arial" w:eastAsia="Arial" w:hAnsi="Arial"/>
                <w:sz w:val="14"/>
                <w:szCs w:val="14"/>
                <w:b w:val="1"/>
                <w:bCs w:val="1"/>
                <w:color w:val="auto"/>
                <w:w w:val="89"/>
              </w:rPr>
              <w:t>(d)</w:t>
            </w:r>
          </w:p>
        </w:tc>
      </w:tr>
      <w:tr>
        <w:trPr>
          <w:trHeight w:val="270"/>
        </w:trPr>
        <w:tc>
          <w:tcPr>
            <w:tcW w:w="40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2720" w:type="dxa"/>
            <w:vAlign w:val="bottom"/>
          </w:tcPr>
          <w:p>
            <w:pPr>
              <w:jc w:val="center"/>
              <w:ind w:right="628"/>
              <w:spacing w:after="0"/>
              <w:rPr>
                <w:sz w:val="20"/>
                <w:szCs w:val="20"/>
                <w:color w:val="auto"/>
              </w:rPr>
            </w:pPr>
            <w:r>
              <w:rPr>
                <w:rFonts w:ascii="Arial" w:cs="Arial" w:eastAsia="Arial" w:hAnsi="Arial"/>
                <w:sz w:val="14"/>
                <w:szCs w:val="14"/>
                <w:b w:val="1"/>
                <w:bCs w:val="1"/>
                <w:color w:val="auto"/>
                <w:w w:val="91"/>
              </w:rPr>
              <w:t>Description of Investment</w:t>
            </w:r>
          </w:p>
        </w:tc>
        <w:tc>
          <w:tcPr>
            <w:tcW w:w="176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320" w:type="dxa"/>
            <w:vAlign w:val="bottom"/>
          </w:tcPr>
          <w:p>
            <w:pPr>
              <w:jc w:val="center"/>
              <w:ind w:left="980"/>
              <w:spacing w:after="0"/>
              <w:rPr>
                <w:sz w:val="20"/>
                <w:szCs w:val="20"/>
                <w:color w:val="auto"/>
              </w:rPr>
            </w:pPr>
            <w:r>
              <w:rPr>
                <w:rFonts w:ascii="Arial" w:cs="Arial" w:eastAsia="Arial" w:hAnsi="Arial"/>
                <w:sz w:val="14"/>
                <w:szCs w:val="14"/>
                <w:b w:val="1"/>
                <w:bCs w:val="1"/>
                <w:color w:val="auto"/>
                <w:w w:val="92"/>
              </w:rPr>
              <w:t>Identity of Issue,</w:t>
            </w:r>
          </w:p>
        </w:tc>
        <w:tc>
          <w:tcPr>
            <w:tcW w:w="2220" w:type="dxa"/>
            <w:vAlign w:val="bottom"/>
          </w:tcPr>
          <w:p>
            <w:pPr>
              <w:spacing w:after="0"/>
              <w:rPr>
                <w:sz w:val="23"/>
                <w:szCs w:val="23"/>
                <w:color w:val="auto"/>
              </w:rPr>
            </w:pPr>
          </w:p>
        </w:tc>
        <w:tc>
          <w:tcPr>
            <w:tcW w:w="2720" w:type="dxa"/>
            <w:vAlign w:val="bottom"/>
          </w:tcPr>
          <w:p>
            <w:pPr>
              <w:jc w:val="center"/>
              <w:ind w:right="628"/>
              <w:spacing w:after="0"/>
              <w:rPr>
                <w:sz w:val="20"/>
                <w:szCs w:val="20"/>
                <w:color w:val="auto"/>
              </w:rPr>
            </w:pPr>
            <w:r>
              <w:rPr>
                <w:rFonts w:ascii="Arial" w:cs="Arial" w:eastAsia="Arial" w:hAnsi="Arial"/>
                <w:sz w:val="14"/>
                <w:szCs w:val="14"/>
                <w:b w:val="1"/>
                <w:bCs w:val="1"/>
                <w:color w:val="auto"/>
                <w:w w:val="97"/>
              </w:rPr>
              <w:t>Including Maturity Date,</w:t>
            </w:r>
          </w:p>
        </w:tc>
        <w:tc>
          <w:tcPr>
            <w:tcW w:w="176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320" w:type="dxa"/>
            <w:vAlign w:val="bottom"/>
          </w:tcPr>
          <w:p>
            <w:pPr>
              <w:jc w:val="center"/>
              <w:ind w:left="1000"/>
              <w:spacing w:after="0"/>
              <w:rPr>
                <w:sz w:val="20"/>
                <w:szCs w:val="20"/>
                <w:color w:val="auto"/>
              </w:rPr>
            </w:pPr>
            <w:r>
              <w:rPr>
                <w:rFonts w:ascii="Arial" w:cs="Arial" w:eastAsia="Arial" w:hAnsi="Arial"/>
                <w:sz w:val="14"/>
                <w:szCs w:val="14"/>
                <w:b w:val="1"/>
                <w:bCs w:val="1"/>
                <w:color w:val="auto"/>
                <w:w w:val="92"/>
              </w:rPr>
              <w:t>Borrower, Lessor or</w:t>
            </w:r>
          </w:p>
        </w:tc>
        <w:tc>
          <w:tcPr>
            <w:tcW w:w="2220" w:type="dxa"/>
            <w:vAlign w:val="bottom"/>
          </w:tcPr>
          <w:p>
            <w:pPr>
              <w:spacing w:after="0"/>
              <w:rPr>
                <w:sz w:val="23"/>
                <w:szCs w:val="23"/>
                <w:color w:val="auto"/>
              </w:rPr>
            </w:pPr>
          </w:p>
        </w:tc>
        <w:tc>
          <w:tcPr>
            <w:tcW w:w="2720" w:type="dxa"/>
            <w:vAlign w:val="bottom"/>
          </w:tcPr>
          <w:p>
            <w:pPr>
              <w:jc w:val="center"/>
              <w:ind w:right="648"/>
              <w:spacing w:after="0"/>
              <w:rPr>
                <w:sz w:val="20"/>
                <w:szCs w:val="20"/>
                <w:color w:val="auto"/>
              </w:rPr>
            </w:pPr>
            <w:r>
              <w:rPr>
                <w:rFonts w:ascii="Arial" w:cs="Arial" w:eastAsia="Arial" w:hAnsi="Arial"/>
                <w:sz w:val="14"/>
                <w:szCs w:val="14"/>
                <w:b w:val="1"/>
                <w:bCs w:val="1"/>
                <w:color w:val="auto"/>
                <w:w w:val="94"/>
              </w:rPr>
              <w:t>Rate of Interest, Collateral,</w:t>
            </w:r>
          </w:p>
        </w:tc>
        <w:tc>
          <w:tcPr>
            <w:tcW w:w="1760" w:type="dxa"/>
            <w:vAlign w:val="bottom"/>
          </w:tcPr>
          <w:p>
            <w:pPr>
              <w:jc w:val="center"/>
              <w:ind w:left="419"/>
              <w:spacing w:after="0"/>
              <w:rPr>
                <w:sz w:val="20"/>
                <w:szCs w:val="20"/>
                <w:color w:val="auto"/>
              </w:rPr>
            </w:pPr>
            <w:r>
              <w:rPr>
                <w:rFonts w:ascii="Arial" w:cs="Arial" w:eastAsia="Arial" w:hAnsi="Arial"/>
                <w:sz w:val="14"/>
                <w:szCs w:val="14"/>
                <w:b w:val="1"/>
                <w:bCs w:val="1"/>
                <w:color w:val="auto"/>
                <w:w w:val="98"/>
              </w:rPr>
              <w:t>Current</w:t>
            </w:r>
          </w:p>
        </w:tc>
      </w:tr>
      <w:tr>
        <w:trPr>
          <w:trHeight w:val="276"/>
        </w:trPr>
        <w:tc>
          <w:tcPr>
            <w:tcW w:w="400" w:type="dxa"/>
            <w:vAlign w:val="bottom"/>
          </w:tcPr>
          <w:p>
            <w:pPr>
              <w:spacing w:after="0"/>
              <w:rPr>
                <w:sz w:val="24"/>
                <w:szCs w:val="24"/>
                <w:color w:val="auto"/>
              </w:rPr>
            </w:pPr>
          </w:p>
        </w:tc>
        <w:tc>
          <w:tcPr>
            <w:tcW w:w="4320" w:type="dxa"/>
            <w:vAlign w:val="bottom"/>
          </w:tcPr>
          <w:p>
            <w:pPr>
              <w:jc w:val="center"/>
              <w:ind w:left="1000"/>
              <w:spacing w:after="0"/>
              <w:rPr>
                <w:sz w:val="20"/>
                <w:szCs w:val="20"/>
                <w:color w:val="auto"/>
              </w:rPr>
            </w:pPr>
            <w:r>
              <w:rPr>
                <w:rFonts w:ascii="Arial" w:cs="Arial" w:eastAsia="Arial" w:hAnsi="Arial"/>
                <w:sz w:val="14"/>
                <w:szCs w:val="14"/>
                <w:b w:val="1"/>
                <w:bCs w:val="1"/>
                <w:color w:val="auto"/>
                <w:w w:val="98"/>
              </w:rPr>
              <w:t>Similar Party</w:t>
            </w:r>
          </w:p>
        </w:tc>
        <w:tc>
          <w:tcPr>
            <w:tcW w:w="2220" w:type="dxa"/>
            <w:vAlign w:val="bottom"/>
          </w:tcPr>
          <w:p>
            <w:pPr>
              <w:spacing w:after="0"/>
              <w:rPr>
                <w:sz w:val="24"/>
                <w:szCs w:val="24"/>
                <w:color w:val="auto"/>
              </w:rPr>
            </w:pPr>
          </w:p>
        </w:tc>
        <w:tc>
          <w:tcPr>
            <w:tcW w:w="2720" w:type="dxa"/>
            <w:vAlign w:val="bottom"/>
          </w:tcPr>
          <w:p>
            <w:pPr>
              <w:jc w:val="center"/>
              <w:ind w:right="628"/>
              <w:spacing w:after="0"/>
              <w:rPr>
                <w:sz w:val="20"/>
                <w:szCs w:val="20"/>
                <w:color w:val="auto"/>
              </w:rPr>
            </w:pPr>
            <w:r>
              <w:rPr>
                <w:rFonts w:ascii="Arial" w:cs="Arial" w:eastAsia="Arial" w:hAnsi="Arial"/>
                <w:sz w:val="14"/>
                <w:szCs w:val="14"/>
                <w:b w:val="1"/>
                <w:bCs w:val="1"/>
                <w:color w:val="auto"/>
                <w:w w:val="95"/>
              </w:rPr>
              <w:t>Par, or Maturity Value</w:t>
            </w:r>
          </w:p>
        </w:tc>
        <w:tc>
          <w:tcPr>
            <w:tcW w:w="1760" w:type="dxa"/>
            <w:vAlign w:val="bottom"/>
          </w:tcPr>
          <w:p>
            <w:pPr>
              <w:jc w:val="center"/>
              <w:ind w:left="439"/>
              <w:spacing w:after="0"/>
              <w:rPr>
                <w:sz w:val="20"/>
                <w:szCs w:val="20"/>
                <w:color w:val="auto"/>
              </w:rPr>
            </w:pPr>
            <w:r>
              <w:rPr>
                <w:rFonts w:ascii="Arial" w:cs="Arial" w:eastAsia="Arial" w:hAnsi="Arial"/>
                <w:sz w:val="14"/>
                <w:szCs w:val="14"/>
                <w:b w:val="1"/>
                <w:bCs w:val="1"/>
                <w:color w:val="auto"/>
                <w:w w:val="96"/>
              </w:rPr>
              <w:t>Value</w:t>
            </w:r>
          </w:p>
        </w:tc>
      </w:tr>
      <w:tr>
        <w:trPr>
          <w:trHeight w:val="256"/>
        </w:trPr>
        <w:tc>
          <w:tcPr>
            <w:tcW w:w="400" w:type="dxa"/>
            <w:vAlign w:val="bottom"/>
            <w:tcBorders>
              <w:bottom w:val="single" w:sz="8" w:color="CCEEFF"/>
            </w:tcBorders>
            <w:shd w:val="clear" w:color="auto" w:fill="CCEEFF"/>
          </w:tcPr>
          <w:p>
            <w:pPr>
              <w:spacing w:after="0"/>
              <w:rPr>
                <w:sz w:val="22"/>
                <w:szCs w:val="22"/>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NORDSTROM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18,577</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NORFOLK SOUTHERN CORP</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55,901</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NORTHERN TRUST CORP</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21,164</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NORTHROP GRUMMAN CORP</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179,079</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NORTHWESTERN CORP</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13,183</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NRG ENERGY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26,438</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NU SKIN ENTERPRISES</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5,069</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NUCOR CORP</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9,712</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NUVASIVE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6,414</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O REILLY AUTOMOTIVE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10,787</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OCCIDENTAL PETE CORP</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158,882</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OFFICE DEPOT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35,449</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OLD REP INTL CORP</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6,847</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OM GROUP INC COM</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10,221</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OMNICARE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26,911</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OMNICOM GROUP</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98,852</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OMNIVISION TECHNOLOGIES</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11,726</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ON SEMICONDUCTOR CORP</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17,180</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ORACLE CORPORATION</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215,047</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ORBITAL SCIENCES CORP</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6,830</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ORBITZ WORLDWIDE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5,761</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OSHKOSH CORPORATION</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15,714</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OWENS &amp; MINOR INC COM</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9,725</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OWENS CORNING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10,600</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OWENS ILL INC COM NEW</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22,753</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PACCAR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37,678</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PACKAGING CORP OF AMERICA</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16,547</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PANTRY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11,859</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PARKER DRILLING CO</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2,106</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PARKER HANNIFIN CORP</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26,435</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PATTERSON-UTI ENERGY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14,102</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PAYCHEX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27,748</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PEABODY ENERGY CORPORATION</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7,539</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PENN VIRGINIA CORP</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9,432</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PENNEY J C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8,767</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PEOPLE S UNITED FINANCIAL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11,127</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PEPCO HOLDINGS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34,794</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PEPSICO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266,092</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PFIZER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300,068</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PG&amp;E CORP COM</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90,561</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PHH CORP</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26,452</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PHILIP MORRIS INTERNATIONAL IN</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196,457</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PHILLIPS 66</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41,873</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PIEDMONT NAT GAS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13,045</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PIEDMONT OFFICE REALTY TRU-A</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7,027</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PINNACLE WEST CAP CORP</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25,753</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PIONEER ENERGY SERVICES CORP</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4,404</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PITNEY BOWES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97,748</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400" w:type="dxa"/>
            <w:vAlign w:val="bottom"/>
            <w:shd w:val="clear" w:color="auto" w:fill="CCEEFF"/>
          </w:tcPr>
          <w:p>
            <w:pPr>
              <w:spacing w:after="0"/>
              <w:rPr>
                <w:sz w:val="20"/>
                <w:szCs w:val="20"/>
                <w:color w:val="auto"/>
              </w:rPr>
            </w:pPr>
          </w:p>
        </w:tc>
        <w:tc>
          <w:tcPr>
            <w:tcW w:w="4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PLEXUS CORP COM</w:t>
            </w:r>
          </w:p>
        </w:tc>
        <w:tc>
          <w:tcPr>
            <w:tcW w:w="222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9,561</w:t>
            </w:r>
          </w:p>
        </w:tc>
      </w:tr>
      <w:tr>
        <w:trPr>
          <w:trHeight w:val="33"/>
        </w:trPr>
        <w:tc>
          <w:tcPr>
            <w:tcW w:w="40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301" w:right="239" w:bottom="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20" w:type="dxa"/>
            <w:vAlign w:val="bottom"/>
          </w:tcPr>
          <w:p>
            <w:pPr>
              <w:ind w:left="500"/>
              <w:spacing w:after="0"/>
              <w:rPr>
                <w:sz w:val="20"/>
                <w:szCs w:val="20"/>
                <w:color w:val="auto"/>
              </w:rPr>
            </w:pPr>
            <w:r>
              <w:rPr>
                <w:rFonts w:ascii="Arial" w:cs="Arial" w:eastAsia="Arial" w:hAnsi="Arial"/>
                <w:sz w:val="16"/>
                <w:szCs w:val="16"/>
                <w:color w:val="auto"/>
              </w:rPr>
              <w:t>PLUM CREEK TIMBER CO INC</w:t>
            </w:r>
          </w:p>
        </w:tc>
        <w:tc>
          <w:tcPr>
            <w:tcW w:w="4400" w:type="dxa"/>
            <w:vAlign w:val="bottom"/>
          </w:tcPr>
          <w:p>
            <w:pPr>
              <w:ind w:left="1320"/>
              <w:spacing w:after="0"/>
              <w:rPr>
                <w:sz w:val="20"/>
                <w:szCs w:val="20"/>
                <w:color w:val="auto"/>
              </w:rPr>
            </w:pPr>
            <w:r>
              <w:rPr>
                <w:rFonts w:ascii="Arial" w:cs="Arial" w:eastAsia="Arial" w:hAnsi="Arial"/>
                <w:sz w:val="16"/>
                <w:szCs w:val="16"/>
                <w:color w:val="auto"/>
              </w:rPr>
              <w:t>Common Stock</w:t>
            </w:r>
          </w:p>
        </w:tc>
        <w:tc>
          <w:tcPr>
            <w:tcW w:w="2600" w:type="dxa"/>
            <w:vAlign w:val="bottom"/>
          </w:tcPr>
          <w:p>
            <w:pPr>
              <w:jc w:val="right"/>
              <w:ind w:right="19"/>
              <w:spacing w:after="0"/>
              <w:rPr>
                <w:sz w:val="20"/>
                <w:szCs w:val="20"/>
                <w:color w:val="auto"/>
              </w:rPr>
            </w:pPr>
            <w:r>
              <w:rPr>
                <w:rFonts w:ascii="Arial" w:cs="Arial" w:eastAsia="Arial" w:hAnsi="Arial"/>
                <w:sz w:val="16"/>
                <w:szCs w:val="16"/>
                <w:color w:val="auto"/>
              </w:rPr>
              <w:t>18,870</w:t>
            </w:r>
          </w:p>
        </w:tc>
      </w:tr>
      <w:tr>
        <w:trPr>
          <w:trHeight w:val="47"/>
        </w:trPr>
        <w:tc>
          <w:tcPr>
            <w:tcW w:w="4420" w:type="dxa"/>
            <w:vAlign w:val="bottom"/>
          </w:tcPr>
          <w:p>
            <w:pPr>
              <w:spacing w:after="0"/>
              <w:rPr>
                <w:sz w:val="4"/>
                <w:szCs w:val="4"/>
                <w:color w:val="auto"/>
              </w:rPr>
            </w:pPr>
          </w:p>
        </w:tc>
        <w:tc>
          <w:tcPr>
            <w:tcW w:w="4400" w:type="dxa"/>
            <w:vAlign w:val="bottom"/>
          </w:tcPr>
          <w:p>
            <w:pPr>
              <w:spacing w:after="0"/>
              <w:rPr>
                <w:sz w:val="4"/>
                <w:szCs w:val="4"/>
                <w:color w:val="auto"/>
              </w:rPr>
            </w:pPr>
          </w:p>
        </w:tc>
        <w:tc>
          <w:tcPr>
            <w:tcW w:w="2600" w:type="dxa"/>
            <w:vAlign w:val="bottom"/>
          </w:tcPr>
          <w:p>
            <w:pPr>
              <w:spacing w:after="0"/>
              <w:rPr>
                <w:sz w:val="4"/>
                <w:szCs w:val="4"/>
                <w:color w:val="auto"/>
              </w:rPr>
            </w:pPr>
          </w:p>
        </w:tc>
      </w:tr>
      <w:tr>
        <w:trPr>
          <w:trHeight w:val="250"/>
        </w:trPr>
        <w:tc>
          <w:tcPr>
            <w:tcW w:w="4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PMC SIERRA INC COM</w:t>
            </w:r>
          </w:p>
        </w:tc>
        <w:tc>
          <w:tcPr>
            <w:tcW w:w="440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6"/>
                <w:szCs w:val="16"/>
                <w:color w:val="auto"/>
              </w:rPr>
              <w:t>Common Stock</w:t>
            </w:r>
          </w:p>
        </w:tc>
        <w:tc>
          <w:tcPr>
            <w:tcW w:w="2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12,540</w:t>
            </w:r>
          </w:p>
        </w:tc>
      </w:tr>
      <w:tr>
        <w:trPr>
          <w:trHeight w:val="237"/>
        </w:trPr>
        <w:tc>
          <w:tcPr>
            <w:tcW w:w="4420" w:type="dxa"/>
            <w:vAlign w:val="bottom"/>
          </w:tcPr>
          <w:p>
            <w:pPr>
              <w:ind w:left="500"/>
              <w:spacing w:after="0"/>
              <w:rPr>
                <w:sz w:val="20"/>
                <w:szCs w:val="20"/>
                <w:color w:val="auto"/>
              </w:rPr>
            </w:pPr>
            <w:r>
              <w:rPr>
                <w:rFonts w:ascii="Arial" w:cs="Arial" w:eastAsia="Arial" w:hAnsi="Arial"/>
                <w:sz w:val="16"/>
                <w:szCs w:val="16"/>
                <w:color w:val="auto"/>
              </w:rPr>
              <w:t>PNC FINANCIAL SERVICES GROUP</w:t>
            </w:r>
          </w:p>
        </w:tc>
        <w:tc>
          <w:tcPr>
            <w:tcW w:w="4400" w:type="dxa"/>
            <w:vAlign w:val="bottom"/>
          </w:tcPr>
          <w:p>
            <w:pPr>
              <w:ind w:left="1320"/>
              <w:spacing w:after="0"/>
              <w:rPr>
                <w:sz w:val="20"/>
                <w:szCs w:val="20"/>
                <w:color w:val="auto"/>
              </w:rPr>
            </w:pPr>
            <w:r>
              <w:rPr>
                <w:rFonts w:ascii="Arial" w:cs="Arial" w:eastAsia="Arial" w:hAnsi="Arial"/>
                <w:sz w:val="16"/>
                <w:szCs w:val="16"/>
                <w:color w:val="auto"/>
              </w:rPr>
              <w:t>Common Stock</w:t>
            </w:r>
          </w:p>
        </w:tc>
        <w:tc>
          <w:tcPr>
            <w:tcW w:w="2600" w:type="dxa"/>
            <w:vAlign w:val="bottom"/>
          </w:tcPr>
          <w:p>
            <w:pPr>
              <w:jc w:val="right"/>
              <w:ind w:right="19"/>
              <w:spacing w:after="0"/>
              <w:rPr>
                <w:sz w:val="20"/>
                <w:szCs w:val="20"/>
                <w:color w:val="auto"/>
              </w:rPr>
            </w:pPr>
            <w:r>
              <w:rPr>
                <w:rFonts w:ascii="Arial" w:cs="Arial" w:eastAsia="Arial" w:hAnsi="Arial"/>
                <w:sz w:val="16"/>
                <w:szCs w:val="16"/>
                <w:color w:val="auto"/>
              </w:rPr>
              <w:t>74,170</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30" w:right="239" w:bottom="1440" w:gutter="0" w:footer="0" w:header="0"/>
        </w:sectPr>
      </w:pPr>
    </w:p>
    <w:bookmarkStart w:id="39" w:name="page40"/>
    <w:bookmarkEnd w:id="39"/>
    <w:p>
      <w:pPr>
        <w:ind w:left="40"/>
        <w:spacing w:after="0"/>
        <w:rPr>
          <w:sz w:val="20"/>
          <w:szCs w:val="20"/>
          <w:color w:val="auto"/>
        </w:rPr>
      </w:pPr>
      <w:r>
        <w:rPr>
          <w:rFonts w:ascii="Arial" w:cs="Arial" w:eastAsia="Arial" w:hAnsi="Arial"/>
          <w:sz w:val="16"/>
          <w:szCs w:val="16"/>
          <w:b w:val="1"/>
          <w:bCs w:val="1"/>
          <w:color w:val="auto"/>
        </w:rPr>
        <w:t>WESCO Distribution, Inc.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Retirement Savings Plan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Schedule H (Form 5500), line 4(i) - Schedule of Assets (Held at End of Year)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EIN 25-1723345, Plan Number 001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2014</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 w:type="dxa"/>
            <w:vAlign w:val="bottom"/>
          </w:tcPr>
          <w:p>
            <w:pPr>
              <w:ind w:left="160"/>
              <w:spacing w:after="0"/>
              <w:rPr>
                <w:sz w:val="20"/>
                <w:szCs w:val="20"/>
                <w:color w:val="auto"/>
              </w:rPr>
            </w:pPr>
            <w:r>
              <w:rPr>
                <w:rFonts w:ascii="Arial" w:cs="Arial" w:eastAsia="Arial" w:hAnsi="Arial"/>
                <w:sz w:val="14"/>
                <w:szCs w:val="14"/>
                <w:b w:val="1"/>
                <w:bCs w:val="1"/>
                <w:color w:val="auto"/>
              </w:rPr>
              <w:t>(a)</w:t>
            </w:r>
          </w:p>
        </w:tc>
        <w:tc>
          <w:tcPr>
            <w:tcW w:w="4400" w:type="dxa"/>
            <w:vAlign w:val="bottom"/>
          </w:tcPr>
          <w:p>
            <w:pPr>
              <w:jc w:val="center"/>
              <w:ind w:left="900"/>
              <w:spacing w:after="0"/>
              <w:rPr>
                <w:sz w:val="20"/>
                <w:szCs w:val="20"/>
                <w:color w:val="auto"/>
              </w:rPr>
            </w:pPr>
            <w:r>
              <w:rPr>
                <w:rFonts w:ascii="Arial" w:cs="Arial" w:eastAsia="Arial" w:hAnsi="Arial"/>
                <w:sz w:val="14"/>
                <w:szCs w:val="14"/>
                <w:b w:val="1"/>
                <w:bCs w:val="1"/>
                <w:color w:val="auto"/>
              </w:rPr>
              <w:t>(b)</w:t>
            </w:r>
          </w:p>
        </w:tc>
        <w:tc>
          <w:tcPr>
            <w:tcW w:w="2140" w:type="dxa"/>
            <w:vAlign w:val="bottom"/>
          </w:tcPr>
          <w:p>
            <w:pPr>
              <w:spacing w:after="0"/>
              <w:rPr>
                <w:sz w:val="16"/>
                <w:szCs w:val="16"/>
                <w:color w:val="auto"/>
              </w:rPr>
            </w:pPr>
          </w:p>
        </w:tc>
        <w:tc>
          <w:tcPr>
            <w:tcW w:w="2720" w:type="dxa"/>
            <w:vAlign w:val="bottom"/>
          </w:tcPr>
          <w:p>
            <w:pPr>
              <w:jc w:val="center"/>
              <w:ind w:right="648"/>
              <w:spacing w:after="0"/>
              <w:rPr>
                <w:sz w:val="20"/>
                <w:szCs w:val="20"/>
                <w:color w:val="auto"/>
              </w:rPr>
            </w:pPr>
            <w:r>
              <w:rPr>
                <w:rFonts w:ascii="Arial" w:cs="Arial" w:eastAsia="Arial" w:hAnsi="Arial"/>
                <w:sz w:val="14"/>
                <w:szCs w:val="14"/>
                <w:b w:val="1"/>
                <w:bCs w:val="1"/>
                <w:color w:val="auto"/>
                <w:w w:val="93"/>
              </w:rPr>
              <w:t>(c)</w:t>
            </w:r>
          </w:p>
        </w:tc>
        <w:tc>
          <w:tcPr>
            <w:tcW w:w="1760" w:type="dxa"/>
            <w:vAlign w:val="bottom"/>
          </w:tcPr>
          <w:p>
            <w:pPr>
              <w:jc w:val="center"/>
              <w:ind w:left="439"/>
              <w:spacing w:after="0"/>
              <w:rPr>
                <w:sz w:val="20"/>
                <w:szCs w:val="20"/>
                <w:color w:val="auto"/>
              </w:rPr>
            </w:pPr>
            <w:r>
              <w:rPr>
                <w:rFonts w:ascii="Arial" w:cs="Arial" w:eastAsia="Arial" w:hAnsi="Arial"/>
                <w:sz w:val="14"/>
                <w:szCs w:val="14"/>
                <w:b w:val="1"/>
                <w:bCs w:val="1"/>
                <w:color w:val="auto"/>
                <w:w w:val="89"/>
              </w:rPr>
              <w:t>(d)</w:t>
            </w:r>
          </w:p>
        </w:tc>
      </w:tr>
      <w:tr>
        <w:trPr>
          <w:trHeight w:val="270"/>
        </w:trPr>
        <w:tc>
          <w:tcPr>
            <w:tcW w:w="400" w:type="dxa"/>
            <w:vAlign w:val="bottom"/>
          </w:tcPr>
          <w:p>
            <w:pPr>
              <w:spacing w:after="0"/>
              <w:rPr>
                <w:sz w:val="23"/>
                <w:szCs w:val="23"/>
                <w:color w:val="auto"/>
              </w:rPr>
            </w:pPr>
          </w:p>
        </w:tc>
        <w:tc>
          <w:tcPr>
            <w:tcW w:w="440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2720" w:type="dxa"/>
            <w:vAlign w:val="bottom"/>
          </w:tcPr>
          <w:p>
            <w:pPr>
              <w:jc w:val="center"/>
              <w:ind w:right="628"/>
              <w:spacing w:after="0"/>
              <w:rPr>
                <w:sz w:val="20"/>
                <w:szCs w:val="20"/>
                <w:color w:val="auto"/>
              </w:rPr>
            </w:pPr>
            <w:r>
              <w:rPr>
                <w:rFonts w:ascii="Arial" w:cs="Arial" w:eastAsia="Arial" w:hAnsi="Arial"/>
                <w:sz w:val="14"/>
                <w:szCs w:val="14"/>
                <w:b w:val="1"/>
                <w:bCs w:val="1"/>
                <w:color w:val="auto"/>
                <w:w w:val="91"/>
              </w:rPr>
              <w:t>Description of Investment</w:t>
            </w:r>
          </w:p>
        </w:tc>
        <w:tc>
          <w:tcPr>
            <w:tcW w:w="176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400" w:type="dxa"/>
            <w:vAlign w:val="bottom"/>
          </w:tcPr>
          <w:p>
            <w:pPr>
              <w:jc w:val="center"/>
              <w:ind w:left="900"/>
              <w:spacing w:after="0"/>
              <w:rPr>
                <w:sz w:val="20"/>
                <w:szCs w:val="20"/>
                <w:color w:val="auto"/>
              </w:rPr>
            </w:pPr>
            <w:r>
              <w:rPr>
                <w:rFonts w:ascii="Arial" w:cs="Arial" w:eastAsia="Arial" w:hAnsi="Arial"/>
                <w:sz w:val="14"/>
                <w:szCs w:val="14"/>
                <w:b w:val="1"/>
                <w:bCs w:val="1"/>
                <w:color w:val="auto"/>
                <w:w w:val="92"/>
              </w:rPr>
              <w:t>Identity of Issue,</w:t>
            </w:r>
          </w:p>
        </w:tc>
        <w:tc>
          <w:tcPr>
            <w:tcW w:w="2140" w:type="dxa"/>
            <w:vAlign w:val="bottom"/>
          </w:tcPr>
          <w:p>
            <w:pPr>
              <w:spacing w:after="0"/>
              <w:rPr>
                <w:sz w:val="23"/>
                <w:szCs w:val="23"/>
                <w:color w:val="auto"/>
              </w:rPr>
            </w:pPr>
          </w:p>
        </w:tc>
        <w:tc>
          <w:tcPr>
            <w:tcW w:w="2720" w:type="dxa"/>
            <w:vAlign w:val="bottom"/>
          </w:tcPr>
          <w:p>
            <w:pPr>
              <w:jc w:val="center"/>
              <w:ind w:right="628"/>
              <w:spacing w:after="0"/>
              <w:rPr>
                <w:sz w:val="20"/>
                <w:szCs w:val="20"/>
                <w:color w:val="auto"/>
              </w:rPr>
            </w:pPr>
            <w:r>
              <w:rPr>
                <w:rFonts w:ascii="Arial" w:cs="Arial" w:eastAsia="Arial" w:hAnsi="Arial"/>
                <w:sz w:val="14"/>
                <w:szCs w:val="14"/>
                <w:b w:val="1"/>
                <w:bCs w:val="1"/>
                <w:color w:val="auto"/>
                <w:w w:val="97"/>
              </w:rPr>
              <w:t>Including Maturity Date,</w:t>
            </w:r>
          </w:p>
        </w:tc>
        <w:tc>
          <w:tcPr>
            <w:tcW w:w="176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400" w:type="dxa"/>
            <w:vAlign w:val="bottom"/>
          </w:tcPr>
          <w:p>
            <w:pPr>
              <w:jc w:val="center"/>
              <w:ind w:left="920"/>
              <w:spacing w:after="0"/>
              <w:rPr>
                <w:sz w:val="20"/>
                <w:szCs w:val="20"/>
                <w:color w:val="auto"/>
              </w:rPr>
            </w:pPr>
            <w:r>
              <w:rPr>
                <w:rFonts w:ascii="Arial" w:cs="Arial" w:eastAsia="Arial" w:hAnsi="Arial"/>
                <w:sz w:val="14"/>
                <w:szCs w:val="14"/>
                <w:b w:val="1"/>
                <w:bCs w:val="1"/>
                <w:color w:val="auto"/>
                <w:w w:val="92"/>
              </w:rPr>
              <w:t>Borrower, Lessor or</w:t>
            </w:r>
          </w:p>
        </w:tc>
        <w:tc>
          <w:tcPr>
            <w:tcW w:w="2140" w:type="dxa"/>
            <w:vAlign w:val="bottom"/>
          </w:tcPr>
          <w:p>
            <w:pPr>
              <w:spacing w:after="0"/>
              <w:rPr>
                <w:sz w:val="23"/>
                <w:szCs w:val="23"/>
                <w:color w:val="auto"/>
              </w:rPr>
            </w:pPr>
          </w:p>
        </w:tc>
        <w:tc>
          <w:tcPr>
            <w:tcW w:w="2720" w:type="dxa"/>
            <w:vAlign w:val="bottom"/>
          </w:tcPr>
          <w:p>
            <w:pPr>
              <w:jc w:val="center"/>
              <w:ind w:right="648"/>
              <w:spacing w:after="0"/>
              <w:rPr>
                <w:sz w:val="20"/>
                <w:szCs w:val="20"/>
                <w:color w:val="auto"/>
              </w:rPr>
            </w:pPr>
            <w:r>
              <w:rPr>
                <w:rFonts w:ascii="Arial" w:cs="Arial" w:eastAsia="Arial" w:hAnsi="Arial"/>
                <w:sz w:val="14"/>
                <w:szCs w:val="14"/>
                <w:b w:val="1"/>
                <w:bCs w:val="1"/>
                <w:color w:val="auto"/>
                <w:w w:val="94"/>
              </w:rPr>
              <w:t>Rate of Interest, Collateral,</w:t>
            </w:r>
          </w:p>
        </w:tc>
        <w:tc>
          <w:tcPr>
            <w:tcW w:w="1760" w:type="dxa"/>
            <w:vAlign w:val="bottom"/>
          </w:tcPr>
          <w:p>
            <w:pPr>
              <w:jc w:val="center"/>
              <w:ind w:left="419"/>
              <w:spacing w:after="0"/>
              <w:rPr>
                <w:sz w:val="20"/>
                <w:szCs w:val="20"/>
                <w:color w:val="auto"/>
              </w:rPr>
            </w:pPr>
            <w:r>
              <w:rPr>
                <w:rFonts w:ascii="Arial" w:cs="Arial" w:eastAsia="Arial" w:hAnsi="Arial"/>
                <w:sz w:val="14"/>
                <w:szCs w:val="14"/>
                <w:b w:val="1"/>
                <w:bCs w:val="1"/>
                <w:color w:val="auto"/>
                <w:w w:val="98"/>
              </w:rPr>
              <w:t>Current</w:t>
            </w:r>
          </w:p>
        </w:tc>
      </w:tr>
      <w:tr>
        <w:trPr>
          <w:trHeight w:val="276"/>
        </w:trPr>
        <w:tc>
          <w:tcPr>
            <w:tcW w:w="400" w:type="dxa"/>
            <w:vAlign w:val="bottom"/>
          </w:tcPr>
          <w:p>
            <w:pPr>
              <w:spacing w:after="0"/>
              <w:rPr>
                <w:sz w:val="24"/>
                <w:szCs w:val="24"/>
                <w:color w:val="auto"/>
              </w:rPr>
            </w:pPr>
          </w:p>
        </w:tc>
        <w:tc>
          <w:tcPr>
            <w:tcW w:w="4400" w:type="dxa"/>
            <w:vAlign w:val="bottom"/>
          </w:tcPr>
          <w:p>
            <w:pPr>
              <w:jc w:val="center"/>
              <w:ind w:left="920"/>
              <w:spacing w:after="0"/>
              <w:rPr>
                <w:sz w:val="20"/>
                <w:szCs w:val="20"/>
                <w:color w:val="auto"/>
              </w:rPr>
            </w:pPr>
            <w:r>
              <w:rPr>
                <w:rFonts w:ascii="Arial" w:cs="Arial" w:eastAsia="Arial" w:hAnsi="Arial"/>
                <w:sz w:val="14"/>
                <w:szCs w:val="14"/>
                <w:b w:val="1"/>
                <w:bCs w:val="1"/>
                <w:color w:val="auto"/>
                <w:w w:val="98"/>
              </w:rPr>
              <w:t>Similar Party</w:t>
            </w:r>
          </w:p>
        </w:tc>
        <w:tc>
          <w:tcPr>
            <w:tcW w:w="2140" w:type="dxa"/>
            <w:vAlign w:val="bottom"/>
          </w:tcPr>
          <w:p>
            <w:pPr>
              <w:spacing w:after="0"/>
              <w:rPr>
                <w:sz w:val="24"/>
                <w:szCs w:val="24"/>
                <w:color w:val="auto"/>
              </w:rPr>
            </w:pPr>
          </w:p>
        </w:tc>
        <w:tc>
          <w:tcPr>
            <w:tcW w:w="2720" w:type="dxa"/>
            <w:vAlign w:val="bottom"/>
          </w:tcPr>
          <w:p>
            <w:pPr>
              <w:jc w:val="center"/>
              <w:ind w:right="628"/>
              <w:spacing w:after="0"/>
              <w:rPr>
                <w:sz w:val="20"/>
                <w:szCs w:val="20"/>
                <w:color w:val="auto"/>
              </w:rPr>
            </w:pPr>
            <w:r>
              <w:rPr>
                <w:rFonts w:ascii="Arial" w:cs="Arial" w:eastAsia="Arial" w:hAnsi="Arial"/>
                <w:sz w:val="14"/>
                <w:szCs w:val="14"/>
                <w:b w:val="1"/>
                <w:bCs w:val="1"/>
                <w:color w:val="auto"/>
                <w:w w:val="95"/>
              </w:rPr>
              <w:t>Par, or Maturity Value</w:t>
            </w:r>
          </w:p>
        </w:tc>
        <w:tc>
          <w:tcPr>
            <w:tcW w:w="1760" w:type="dxa"/>
            <w:vAlign w:val="bottom"/>
          </w:tcPr>
          <w:p>
            <w:pPr>
              <w:jc w:val="center"/>
              <w:ind w:left="439"/>
              <w:spacing w:after="0"/>
              <w:rPr>
                <w:sz w:val="20"/>
                <w:szCs w:val="20"/>
                <w:color w:val="auto"/>
              </w:rPr>
            </w:pPr>
            <w:r>
              <w:rPr>
                <w:rFonts w:ascii="Arial" w:cs="Arial" w:eastAsia="Arial" w:hAnsi="Arial"/>
                <w:sz w:val="14"/>
                <w:szCs w:val="14"/>
                <w:b w:val="1"/>
                <w:bCs w:val="1"/>
                <w:color w:val="auto"/>
                <w:w w:val="96"/>
              </w:rPr>
              <w:t>Value</w:t>
            </w:r>
          </w:p>
        </w:tc>
      </w:tr>
      <w:tr>
        <w:trPr>
          <w:trHeight w:val="256"/>
        </w:trPr>
        <w:tc>
          <w:tcPr>
            <w:tcW w:w="400" w:type="dxa"/>
            <w:vAlign w:val="bottom"/>
            <w:tcBorders>
              <w:bottom w:val="single" w:sz="8" w:color="CCEEFF"/>
            </w:tcBorders>
            <w:shd w:val="clear" w:color="auto" w:fill="CCEEFF"/>
          </w:tcPr>
          <w:p>
            <w:pPr>
              <w:spacing w:after="0"/>
              <w:rPr>
                <w:sz w:val="22"/>
                <w:szCs w:val="22"/>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PNM RES INC</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11,378</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POLYCOM INC COM</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22,356</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PORTLAND GEN ELEC CO</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13,467</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POST HOLDINGS INC</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9,677</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PPG INDUSTRIES INC</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66,571</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PPL CORPORATION</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36,512</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PRAXAIR INC COM</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36,277</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PRIMERICA INC</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17,146</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PRINCIPAL FINANCIAL GROUP</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25,347</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PROCTER &amp; GAMBLE CO</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453,537</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PROGRESS SOFTWARE CORP</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7,782</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PROGRESSIVE CORP OHIO</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30,634</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PROTECTIVE LIFE CORP</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31,203</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PRUDENTIAL FINL INC</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110,271</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PUBLIC STORAGE INC COM</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10,536</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PUBLIC SVC ENTERPRISE GROUP INC</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80,708</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QEP RESOURCES INC</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7,764</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QLOGIC CORP COM</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7,965</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QUAD/GRAPHICS INC</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10,355</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QUALCOMM INC</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57,977</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QUEST DIAGNOSTICS INC</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13,680</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QUESTAR CORP</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14,460</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QUICKSILVER RESOURCES INC</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604</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QUIKSILVER INC COM</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2,661</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RADIOSHACK CORP</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2,903</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RAYMOND JAMES FINL INC</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13,177</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RAYTHEON CO</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121,259</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REGAL ENTERTAINMENT GROUP- CL A</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11,705</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REGIONS FINL CORP NEW</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39,885</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REGIS CORP</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7,643</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REINSURANCE GROUP AMER CLASS A NEW</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25,585</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RELIANCE STL &amp; ALUM CO COM</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6,801</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RENT-A-CENTER INC</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17,543</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REPUBLIC AWYS HLDGS INC</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18,310</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REPUBLIC SERVICES INC CL A COMM</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10,183</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REYNOLDS AMERICAN INC</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78,088</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RITE AID CORP</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122,125</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RLI CORP COM</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10,078</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ROBERT HALF INTL INC</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13,486</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ROCKWELL COLLINS</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15,544</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ROCKWOOD HLDGS INC</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13,554</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RPM INTERNATIONAL INC</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14,604</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RR DONNELLEY &amp; SONS CO</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61,120</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RYDER SYS INC</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36,304</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SAFEWAY INC NEW</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106,589</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SANDISK CORP COM</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6,565</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SANDRIDGE ENERGY INC</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3,360</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SANMINA CORP</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20,048</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400" w:type="dxa"/>
            <w:vAlign w:val="bottom"/>
            <w:shd w:val="clear" w:color="auto" w:fill="CCEEFF"/>
          </w:tcPr>
          <w:p>
            <w:pPr>
              <w:spacing w:after="0"/>
              <w:rPr>
                <w:sz w:val="20"/>
                <w:szCs w:val="20"/>
                <w:color w:val="auto"/>
              </w:rPr>
            </w:pPr>
          </w:p>
        </w:tc>
        <w:tc>
          <w:tcPr>
            <w:tcW w:w="44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SCANA CORP-W/I</w:t>
            </w:r>
          </w:p>
        </w:tc>
        <w:tc>
          <w:tcPr>
            <w:tcW w:w="2140" w:type="dxa"/>
            <w:vAlign w:val="bottom"/>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10,268</w:t>
            </w:r>
          </w:p>
        </w:tc>
      </w:tr>
      <w:tr>
        <w:trPr>
          <w:trHeight w:val="33"/>
        </w:trPr>
        <w:tc>
          <w:tcPr>
            <w:tcW w:w="400" w:type="dxa"/>
            <w:vAlign w:val="bottom"/>
            <w:shd w:val="clear" w:color="auto" w:fill="CCEEFF"/>
          </w:tcPr>
          <w:p>
            <w:pPr>
              <w:spacing w:after="0"/>
              <w:rPr>
                <w:sz w:val="2"/>
                <w:szCs w:val="2"/>
                <w:color w:val="auto"/>
              </w:rPr>
            </w:pPr>
          </w:p>
        </w:tc>
        <w:tc>
          <w:tcPr>
            <w:tcW w:w="440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301" w:right="239" w:bottom="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60" w:type="dxa"/>
            <w:vAlign w:val="bottom"/>
          </w:tcPr>
          <w:p>
            <w:pPr>
              <w:ind w:left="500"/>
              <w:spacing w:after="0"/>
              <w:rPr>
                <w:sz w:val="20"/>
                <w:szCs w:val="20"/>
                <w:color w:val="auto"/>
              </w:rPr>
            </w:pPr>
            <w:r>
              <w:rPr>
                <w:rFonts w:ascii="Arial" w:cs="Arial" w:eastAsia="Arial" w:hAnsi="Arial"/>
                <w:sz w:val="16"/>
                <w:szCs w:val="16"/>
                <w:color w:val="auto"/>
              </w:rPr>
              <w:t>SCHEIN HENRY INC</w:t>
            </w:r>
          </w:p>
        </w:tc>
        <w:tc>
          <w:tcPr>
            <w:tcW w:w="4760" w:type="dxa"/>
            <w:vAlign w:val="bottom"/>
          </w:tcPr>
          <w:p>
            <w:pPr>
              <w:ind w:left="1680"/>
              <w:spacing w:after="0"/>
              <w:rPr>
                <w:sz w:val="20"/>
                <w:szCs w:val="20"/>
                <w:color w:val="auto"/>
              </w:rPr>
            </w:pPr>
            <w:r>
              <w:rPr>
                <w:rFonts w:ascii="Arial" w:cs="Arial" w:eastAsia="Arial" w:hAnsi="Arial"/>
                <w:sz w:val="16"/>
                <w:szCs w:val="16"/>
                <w:color w:val="auto"/>
              </w:rPr>
              <w:t>Common Stock</w:t>
            </w:r>
          </w:p>
        </w:tc>
        <w:tc>
          <w:tcPr>
            <w:tcW w:w="2600" w:type="dxa"/>
            <w:vAlign w:val="bottom"/>
          </w:tcPr>
          <w:p>
            <w:pPr>
              <w:jc w:val="right"/>
              <w:ind w:right="19"/>
              <w:spacing w:after="0"/>
              <w:rPr>
                <w:sz w:val="20"/>
                <w:szCs w:val="20"/>
                <w:color w:val="auto"/>
              </w:rPr>
            </w:pPr>
            <w:r>
              <w:rPr>
                <w:rFonts w:ascii="Arial" w:cs="Arial" w:eastAsia="Arial" w:hAnsi="Arial"/>
                <w:sz w:val="16"/>
                <w:szCs w:val="16"/>
                <w:color w:val="auto"/>
              </w:rPr>
              <w:t>12,526</w:t>
            </w:r>
          </w:p>
        </w:tc>
      </w:tr>
      <w:tr>
        <w:trPr>
          <w:trHeight w:val="47"/>
        </w:trPr>
        <w:tc>
          <w:tcPr>
            <w:tcW w:w="4060" w:type="dxa"/>
            <w:vAlign w:val="bottom"/>
          </w:tcPr>
          <w:p>
            <w:pPr>
              <w:spacing w:after="0"/>
              <w:rPr>
                <w:sz w:val="4"/>
                <w:szCs w:val="4"/>
                <w:color w:val="auto"/>
              </w:rPr>
            </w:pPr>
          </w:p>
        </w:tc>
        <w:tc>
          <w:tcPr>
            <w:tcW w:w="4760" w:type="dxa"/>
            <w:vAlign w:val="bottom"/>
          </w:tcPr>
          <w:p>
            <w:pPr>
              <w:spacing w:after="0"/>
              <w:rPr>
                <w:sz w:val="4"/>
                <w:szCs w:val="4"/>
                <w:color w:val="auto"/>
              </w:rPr>
            </w:pPr>
          </w:p>
        </w:tc>
        <w:tc>
          <w:tcPr>
            <w:tcW w:w="2600" w:type="dxa"/>
            <w:vAlign w:val="bottom"/>
          </w:tcPr>
          <w:p>
            <w:pPr>
              <w:spacing w:after="0"/>
              <w:rPr>
                <w:sz w:val="4"/>
                <w:szCs w:val="4"/>
                <w:color w:val="auto"/>
              </w:rPr>
            </w:pPr>
          </w:p>
        </w:tc>
      </w:tr>
      <w:tr>
        <w:trPr>
          <w:trHeight w:val="250"/>
        </w:trPr>
        <w:tc>
          <w:tcPr>
            <w:tcW w:w="4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SCHOLASTIC CORP COM</w:t>
            </w:r>
          </w:p>
        </w:tc>
        <w:tc>
          <w:tcPr>
            <w:tcW w:w="476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6"/>
                <w:szCs w:val="16"/>
                <w:color w:val="auto"/>
              </w:rPr>
              <w:t>Common Stock</w:t>
            </w:r>
          </w:p>
        </w:tc>
        <w:tc>
          <w:tcPr>
            <w:tcW w:w="2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9,287</w:t>
            </w:r>
          </w:p>
        </w:tc>
      </w:tr>
      <w:tr>
        <w:trPr>
          <w:trHeight w:val="237"/>
        </w:trPr>
        <w:tc>
          <w:tcPr>
            <w:tcW w:w="4060" w:type="dxa"/>
            <w:vAlign w:val="bottom"/>
          </w:tcPr>
          <w:p>
            <w:pPr>
              <w:ind w:left="500"/>
              <w:spacing w:after="0"/>
              <w:rPr>
                <w:sz w:val="20"/>
                <w:szCs w:val="20"/>
                <w:color w:val="auto"/>
              </w:rPr>
            </w:pPr>
            <w:r>
              <w:rPr>
                <w:rFonts w:ascii="Arial" w:cs="Arial" w:eastAsia="Arial" w:hAnsi="Arial"/>
                <w:sz w:val="16"/>
                <w:szCs w:val="16"/>
                <w:color w:val="auto"/>
              </w:rPr>
              <w:t>SCHULMAN A INC</w:t>
            </w:r>
          </w:p>
        </w:tc>
        <w:tc>
          <w:tcPr>
            <w:tcW w:w="4760" w:type="dxa"/>
            <w:vAlign w:val="bottom"/>
          </w:tcPr>
          <w:p>
            <w:pPr>
              <w:ind w:left="1680"/>
              <w:spacing w:after="0"/>
              <w:rPr>
                <w:sz w:val="20"/>
                <w:szCs w:val="20"/>
                <w:color w:val="auto"/>
              </w:rPr>
            </w:pPr>
            <w:r>
              <w:rPr>
                <w:rFonts w:ascii="Arial" w:cs="Arial" w:eastAsia="Arial" w:hAnsi="Arial"/>
                <w:sz w:val="16"/>
                <w:szCs w:val="16"/>
                <w:color w:val="auto"/>
              </w:rPr>
              <w:t>Common Stock</w:t>
            </w:r>
          </w:p>
        </w:tc>
        <w:tc>
          <w:tcPr>
            <w:tcW w:w="2600" w:type="dxa"/>
            <w:vAlign w:val="bottom"/>
          </w:tcPr>
          <w:p>
            <w:pPr>
              <w:jc w:val="right"/>
              <w:ind w:right="19"/>
              <w:spacing w:after="0"/>
              <w:rPr>
                <w:sz w:val="20"/>
                <w:szCs w:val="20"/>
                <w:color w:val="auto"/>
              </w:rPr>
            </w:pPr>
            <w:r>
              <w:rPr>
                <w:rFonts w:ascii="Arial" w:cs="Arial" w:eastAsia="Arial" w:hAnsi="Arial"/>
                <w:sz w:val="16"/>
                <w:szCs w:val="16"/>
                <w:color w:val="auto"/>
              </w:rPr>
              <w:t>5,917</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30" w:right="239" w:bottom="1440" w:gutter="0" w:footer="0" w:header="0"/>
        </w:sectPr>
      </w:pPr>
    </w:p>
    <w:bookmarkStart w:id="41" w:name="page42"/>
    <w:bookmarkEnd w:id="41"/>
    <w:p>
      <w:pPr>
        <w:ind w:left="40"/>
        <w:spacing w:after="0"/>
        <w:rPr>
          <w:sz w:val="20"/>
          <w:szCs w:val="20"/>
          <w:color w:val="auto"/>
        </w:rPr>
      </w:pPr>
      <w:r>
        <w:rPr>
          <w:rFonts w:ascii="Arial" w:cs="Arial" w:eastAsia="Arial" w:hAnsi="Arial"/>
          <w:sz w:val="16"/>
          <w:szCs w:val="16"/>
          <w:b w:val="1"/>
          <w:bCs w:val="1"/>
          <w:color w:val="auto"/>
        </w:rPr>
        <w:t>WESCO Distribution, Inc.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Retirement Savings Plan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Schedule H (Form 5500), line 4(i) - Schedule of Assets (Held at End of Year)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EIN 25-1723345, Plan Number 001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2014</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 w:type="dxa"/>
            <w:vAlign w:val="bottom"/>
          </w:tcPr>
          <w:p>
            <w:pPr>
              <w:ind w:left="160"/>
              <w:spacing w:after="0"/>
              <w:rPr>
                <w:sz w:val="20"/>
                <w:szCs w:val="20"/>
                <w:color w:val="auto"/>
              </w:rPr>
            </w:pPr>
            <w:r>
              <w:rPr>
                <w:rFonts w:ascii="Arial" w:cs="Arial" w:eastAsia="Arial" w:hAnsi="Arial"/>
                <w:sz w:val="14"/>
                <w:szCs w:val="14"/>
                <w:b w:val="1"/>
                <w:bCs w:val="1"/>
                <w:color w:val="auto"/>
              </w:rPr>
              <w:t>(a)</w:t>
            </w:r>
          </w:p>
        </w:tc>
        <w:tc>
          <w:tcPr>
            <w:tcW w:w="4480" w:type="dxa"/>
            <w:vAlign w:val="bottom"/>
          </w:tcPr>
          <w:p>
            <w:pPr>
              <w:jc w:val="center"/>
              <w:ind w:left="820"/>
              <w:spacing w:after="0"/>
              <w:rPr>
                <w:sz w:val="20"/>
                <w:szCs w:val="20"/>
                <w:color w:val="auto"/>
              </w:rPr>
            </w:pPr>
            <w:r>
              <w:rPr>
                <w:rFonts w:ascii="Arial" w:cs="Arial" w:eastAsia="Arial" w:hAnsi="Arial"/>
                <w:sz w:val="14"/>
                <w:szCs w:val="14"/>
                <w:b w:val="1"/>
                <w:bCs w:val="1"/>
                <w:color w:val="auto"/>
              </w:rPr>
              <w:t>(b)</w:t>
            </w:r>
          </w:p>
        </w:tc>
        <w:tc>
          <w:tcPr>
            <w:tcW w:w="2060" w:type="dxa"/>
            <w:vAlign w:val="bottom"/>
          </w:tcPr>
          <w:p>
            <w:pPr>
              <w:spacing w:after="0"/>
              <w:rPr>
                <w:sz w:val="16"/>
                <w:szCs w:val="16"/>
                <w:color w:val="auto"/>
              </w:rPr>
            </w:pPr>
          </w:p>
        </w:tc>
        <w:tc>
          <w:tcPr>
            <w:tcW w:w="2720" w:type="dxa"/>
            <w:vAlign w:val="bottom"/>
          </w:tcPr>
          <w:p>
            <w:pPr>
              <w:jc w:val="center"/>
              <w:ind w:right="648"/>
              <w:spacing w:after="0"/>
              <w:rPr>
                <w:sz w:val="20"/>
                <w:szCs w:val="20"/>
                <w:color w:val="auto"/>
              </w:rPr>
            </w:pPr>
            <w:r>
              <w:rPr>
                <w:rFonts w:ascii="Arial" w:cs="Arial" w:eastAsia="Arial" w:hAnsi="Arial"/>
                <w:sz w:val="14"/>
                <w:szCs w:val="14"/>
                <w:b w:val="1"/>
                <w:bCs w:val="1"/>
                <w:color w:val="auto"/>
                <w:w w:val="93"/>
              </w:rPr>
              <w:t>(c)</w:t>
            </w:r>
          </w:p>
        </w:tc>
        <w:tc>
          <w:tcPr>
            <w:tcW w:w="1760" w:type="dxa"/>
            <w:vAlign w:val="bottom"/>
          </w:tcPr>
          <w:p>
            <w:pPr>
              <w:jc w:val="center"/>
              <w:ind w:left="439"/>
              <w:spacing w:after="0"/>
              <w:rPr>
                <w:sz w:val="20"/>
                <w:szCs w:val="20"/>
                <w:color w:val="auto"/>
              </w:rPr>
            </w:pPr>
            <w:r>
              <w:rPr>
                <w:rFonts w:ascii="Arial" w:cs="Arial" w:eastAsia="Arial" w:hAnsi="Arial"/>
                <w:sz w:val="14"/>
                <w:szCs w:val="14"/>
                <w:b w:val="1"/>
                <w:bCs w:val="1"/>
                <w:color w:val="auto"/>
                <w:w w:val="89"/>
              </w:rPr>
              <w:t>(d)</w:t>
            </w:r>
          </w:p>
        </w:tc>
      </w:tr>
      <w:tr>
        <w:trPr>
          <w:trHeight w:val="270"/>
        </w:trPr>
        <w:tc>
          <w:tcPr>
            <w:tcW w:w="40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2720" w:type="dxa"/>
            <w:vAlign w:val="bottom"/>
          </w:tcPr>
          <w:p>
            <w:pPr>
              <w:jc w:val="center"/>
              <w:ind w:right="628"/>
              <w:spacing w:after="0"/>
              <w:rPr>
                <w:sz w:val="20"/>
                <w:szCs w:val="20"/>
                <w:color w:val="auto"/>
              </w:rPr>
            </w:pPr>
            <w:r>
              <w:rPr>
                <w:rFonts w:ascii="Arial" w:cs="Arial" w:eastAsia="Arial" w:hAnsi="Arial"/>
                <w:sz w:val="14"/>
                <w:szCs w:val="14"/>
                <w:b w:val="1"/>
                <w:bCs w:val="1"/>
                <w:color w:val="auto"/>
                <w:w w:val="91"/>
              </w:rPr>
              <w:t>Description of Investment</w:t>
            </w:r>
          </w:p>
        </w:tc>
        <w:tc>
          <w:tcPr>
            <w:tcW w:w="176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480" w:type="dxa"/>
            <w:vAlign w:val="bottom"/>
          </w:tcPr>
          <w:p>
            <w:pPr>
              <w:jc w:val="center"/>
              <w:ind w:left="820"/>
              <w:spacing w:after="0"/>
              <w:rPr>
                <w:sz w:val="20"/>
                <w:szCs w:val="20"/>
                <w:color w:val="auto"/>
              </w:rPr>
            </w:pPr>
            <w:r>
              <w:rPr>
                <w:rFonts w:ascii="Arial" w:cs="Arial" w:eastAsia="Arial" w:hAnsi="Arial"/>
                <w:sz w:val="14"/>
                <w:szCs w:val="14"/>
                <w:b w:val="1"/>
                <w:bCs w:val="1"/>
                <w:color w:val="auto"/>
                <w:w w:val="92"/>
              </w:rPr>
              <w:t>Identity of Issue,</w:t>
            </w:r>
          </w:p>
        </w:tc>
        <w:tc>
          <w:tcPr>
            <w:tcW w:w="2060" w:type="dxa"/>
            <w:vAlign w:val="bottom"/>
          </w:tcPr>
          <w:p>
            <w:pPr>
              <w:spacing w:after="0"/>
              <w:rPr>
                <w:sz w:val="23"/>
                <w:szCs w:val="23"/>
                <w:color w:val="auto"/>
              </w:rPr>
            </w:pPr>
          </w:p>
        </w:tc>
        <w:tc>
          <w:tcPr>
            <w:tcW w:w="2720" w:type="dxa"/>
            <w:vAlign w:val="bottom"/>
          </w:tcPr>
          <w:p>
            <w:pPr>
              <w:jc w:val="center"/>
              <w:ind w:right="628"/>
              <w:spacing w:after="0"/>
              <w:rPr>
                <w:sz w:val="20"/>
                <w:szCs w:val="20"/>
                <w:color w:val="auto"/>
              </w:rPr>
            </w:pPr>
            <w:r>
              <w:rPr>
                <w:rFonts w:ascii="Arial" w:cs="Arial" w:eastAsia="Arial" w:hAnsi="Arial"/>
                <w:sz w:val="14"/>
                <w:szCs w:val="14"/>
                <w:b w:val="1"/>
                <w:bCs w:val="1"/>
                <w:color w:val="auto"/>
                <w:w w:val="97"/>
              </w:rPr>
              <w:t>Including Maturity Date,</w:t>
            </w:r>
          </w:p>
        </w:tc>
        <w:tc>
          <w:tcPr>
            <w:tcW w:w="176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480" w:type="dxa"/>
            <w:vAlign w:val="bottom"/>
          </w:tcPr>
          <w:p>
            <w:pPr>
              <w:jc w:val="center"/>
              <w:ind w:left="840"/>
              <w:spacing w:after="0"/>
              <w:rPr>
                <w:sz w:val="20"/>
                <w:szCs w:val="20"/>
                <w:color w:val="auto"/>
              </w:rPr>
            </w:pPr>
            <w:r>
              <w:rPr>
                <w:rFonts w:ascii="Arial" w:cs="Arial" w:eastAsia="Arial" w:hAnsi="Arial"/>
                <w:sz w:val="14"/>
                <w:szCs w:val="14"/>
                <w:b w:val="1"/>
                <w:bCs w:val="1"/>
                <w:color w:val="auto"/>
                <w:w w:val="92"/>
              </w:rPr>
              <w:t>Borrower, Lessor or</w:t>
            </w:r>
          </w:p>
        </w:tc>
        <w:tc>
          <w:tcPr>
            <w:tcW w:w="2060" w:type="dxa"/>
            <w:vAlign w:val="bottom"/>
          </w:tcPr>
          <w:p>
            <w:pPr>
              <w:spacing w:after="0"/>
              <w:rPr>
                <w:sz w:val="23"/>
                <w:szCs w:val="23"/>
                <w:color w:val="auto"/>
              </w:rPr>
            </w:pPr>
          </w:p>
        </w:tc>
        <w:tc>
          <w:tcPr>
            <w:tcW w:w="2720" w:type="dxa"/>
            <w:vAlign w:val="bottom"/>
          </w:tcPr>
          <w:p>
            <w:pPr>
              <w:jc w:val="center"/>
              <w:ind w:right="648"/>
              <w:spacing w:after="0"/>
              <w:rPr>
                <w:sz w:val="20"/>
                <w:szCs w:val="20"/>
                <w:color w:val="auto"/>
              </w:rPr>
            </w:pPr>
            <w:r>
              <w:rPr>
                <w:rFonts w:ascii="Arial" w:cs="Arial" w:eastAsia="Arial" w:hAnsi="Arial"/>
                <w:sz w:val="14"/>
                <w:szCs w:val="14"/>
                <w:b w:val="1"/>
                <w:bCs w:val="1"/>
                <w:color w:val="auto"/>
                <w:w w:val="94"/>
              </w:rPr>
              <w:t>Rate of Interest, Collateral,</w:t>
            </w:r>
          </w:p>
        </w:tc>
        <w:tc>
          <w:tcPr>
            <w:tcW w:w="1760" w:type="dxa"/>
            <w:vAlign w:val="bottom"/>
          </w:tcPr>
          <w:p>
            <w:pPr>
              <w:jc w:val="center"/>
              <w:ind w:left="419"/>
              <w:spacing w:after="0"/>
              <w:rPr>
                <w:sz w:val="20"/>
                <w:szCs w:val="20"/>
                <w:color w:val="auto"/>
              </w:rPr>
            </w:pPr>
            <w:r>
              <w:rPr>
                <w:rFonts w:ascii="Arial" w:cs="Arial" w:eastAsia="Arial" w:hAnsi="Arial"/>
                <w:sz w:val="14"/>
                <w:szCs w:val="14"/>
                <w:b w:val="1"/>
                <w:bCs w:val="1"/>
                <w:color w:val="auto"/>
                <w:w w:val="98"/>
              </w:rPr>
              <w:t>Current</w:t>
            </w:r>
          </w:p>
        </w:tc>
      </w:tr>
      <w:tr>
        <w:trPr>
          <w:trHeight w:val="276"/>
        </w:trPr>
        <w:tc>
          <w:tcPr>
            <w:tcW w:w="400" w:type="dxa"/>
            <w:vAlign w:val="bottom"/>
          </w:tcPr>
          <w:p>
            <w:pPr>
              <w:spacing w:after="0"/>
              <w:rPr>
                <w:sz w:val="24"/>
                <w:szCs w:val="24"/>
                <w:color w:val="auto"/>
              </w:rPr>
            </w:pPr>
          </w:p>
        </w:tc>
        <w:tc>
          <w:tcPr>
            <w:tcW w:w="4480" w:type="dxa"/>
            <w:vAlign w:val="bottom"/>
          </w:tcPr>
          <w:p>
            <w:pPr>
              <w:jc w:val="center"/>
              <w:ind w:left="840"/>
              <w:spacing w:after="0"/>
              <w:rPr>
                <w:sz w:val="20"/>
                <w:szCs w:val="20"/>
                <w:color w:val="auto"/>
              </w:rPr>
            </w:pPr>
            <w:r>
              <w:rPr>
                <w:rFonts w:ascii="Arial" w:cs="Arial" w:eastAsia="Arial" w:hAnsi="Arial"/>
                <w:sz w:val="14"/>
                <w:szCs w:val="14"/>
                <w:b w:val="1"/>
                <w:bCs w:val="1"/>
                <w:color w:val="auto"/>
                <w:w w:val="98"/>
              </w:rPr>
              <w:t>Similar Party</w:t>
            </w:r>
          </w:p>
        </w:tc>
        <w:tc>
          <w:tcPr>
            <w:tcW w:w="2060" w:type="dxa"/>
            <w:vAlign w:val="bottom"/>
          </w:tcPr>
          <w:p>
            <w:pPr>
              <w:spacing w:after="0"/>
              <w:rPr>
                <w:sz w:val="24"/>
                <w:szCs w:val="24"/>
                <w:color w:val="auto"/>
              </w:rPr>
            </w:pPr>
          </w:p>
        </w:tc>
        <w:tc>
          <w:tcPr>
            <w:tcW w:w="2720" w:type="dxa"/>
            <w:vAlign w:val="bottom"/>
          </w:tcPr>
          <w:p>
            <w:pPr>
              <w:jc w:val="center"/>
              <w:ind w:right="628"/>
              <w:spacing w:after="0"/>
              <w:rPr>
                <w:sz w:val="20"/>
                <w:szCs w:val="20"/>
                <w:color w:val="auto"/>
              </w:rPr>
            </w:pPr>
            <w:r>
              <w:rPr>
                <w:rFonts w:ascii="Arial" w:cs="Arial" w:eastAsia="Arial" w:hAnsi="Arial"/>
                <w:sz w:val="14"/>
                <w:szCs w:val="14"/>
                <w:b w:val="1"/>
                <w:bCs w:val="1"/>
                <w:color w:val="auto"/>
                <w:w w:val="95"/>
              </w:rPr>
              <w:t>Par, or Maturity Value</w:t>
            </w:r>
          </w:p>
        </w:tc>
        <w:tc>
          <w:tcPr>
            <w:tcW w:w="1760" w:type="dxa"/>
            <w:vAlign w:val="bottom"/>
          </w:tcPr>
          <w:p>
            <w:pPr>
              <w:jc w:val="center"/>
              <w:ind w:left="439"/>
              <w:spacing w:after="0"/>
              <w:rPr>
                <w:sz w:val="20"/>
                <w:szCs w:val="20"/>
                <w:color w:val="auto"/>
              </w:rPr>
            </w:pPr>
            <w:r>
              <w:rPr>
                <w:rFonts w:ascii="Arial" w:cs="Arial" w:eastAsia="Arial" w:hAnsi="Arial"/>
                <w:sz w:val="14"/>
                <w:szCs w:val="14"/>
                <w:b w:val="1"/>
                <w:bCs w:val="1"/>
                <w:color w:val="auto"/>
                <w:w w:val="96"/>
              </w:rPr>
              <w:t>Value</w:t>
            </w:r>
          </w:p>
        </w:tc>
      </w:tr>
      <w:tr>
        <w:trPr>
          <w:trHeight w:val="256"/>
        </w:trPr>
        <w:tc>
          <w:tcPr>
            <w:tcW w:w="400" w:type="dxa"/>
            <w:vAlign w:val="bottom"/>
            <w:tcBorders>
              <w:bottom w:val="single" w:sz="8" w:color="CCEEFF"/>
            </w:tcBorders>
            <w:shd w:val="clear" w:color="auto" w:fill="CCEEFF"/>
          </w:tcPr>
          <w:p>
            <w:pPr>
              <w:spacing w:after="0"/>
              <w:rPr>
                <w:sz w:val="22"/>
                <w:szCs w:val="22"/>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SCHWAB CHARLES CORP NEW</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21,888</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SEACOR HOLDINGS INC</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13,876</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SEALED AIR CORP COM</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21,554</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SEARS HOLDING CORP</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14,907</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SEAWORLD ENTERTAINMENT INC</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7,464</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SEMPRA ENERGY COM</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71,827</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SERVICE CORP INTL</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11,259</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SKECHERS U S A INC</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10,000</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SKYWEST INC</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11,049</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SLM CORP</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7,408</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SONOCO PRODS CO</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10,313</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SOUTHERN CO</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72,781</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SOUTHERN COPPER CORP</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25,888</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SOUTHWEST AIRLINES CO</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27,889</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SOUTHWEST GAS CORP</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18,728</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SPANSION INC</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21,867</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SPECTRA ENERGY CORP</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6,425</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SPIRIT AEROSYTSEMS HOLD-CL A</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16,226</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SPOK HOLDINGS INC</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12,221</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SPRINT NEXTEL CORP</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17,774</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SPX CORP</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19,074</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ST JUDE MED INC</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27,118</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STANCORP FINL GROUP INC</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19,281</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STANLEY BLACK &amp; DECKER,INC.</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11,337</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STAPLES INC</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82,410</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STARBUCKS CORP COM</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23,548</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STARWOOD HOTELS &amp; RESORTS WORLDWIDE</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15,890</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STATE STREET CORP</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38,465</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STEEL DYNAMICS INC COM</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14,272</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STEELCASE INC CL A</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14,863</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STERIS CORP COM</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10,506</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STIFEL FINANCIAL CORP</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7,347</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STONE ENERGY CORP COM</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12,474</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STRAYER ED INC COM</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15,896</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STRYKER CORP</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37,449</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SUNCOKE ENERGY INC</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9,245</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SUNEDISON INC</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25,968</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SUNTRUST BANKS INC</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67,082</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SUPERVALU INC</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50,236</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SVB FINL GROUP</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8,009</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SWIFT ENERGY COMPANY</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2,616</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SYMANTEC CORP</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69,448</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SYMETRA FINANCIAL CORP</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26,508</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SYNNEX CORP</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19,306</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SYNOPSYS INC COM</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8,868</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SYNOVUS FINANCIAL CORP</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7,964</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SYSCO CORP</w:t>
            </w:r>
          </w:p>
        </w:tc>
        <w:tc>
          <w:tcPr>
            <w:tcW w:w="2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70,648</w:t>
            </w:r>
          </w:p>
        </w:tc>
      </w:tr>
      <w:tr>
        <w:trPr>
          <w:trHeight w:val="237"/>
        </w:trPr>
        <w:tc>
          <w:tcPr>
            <w:tcW w:w="40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6"/>
                <w:szCs w:val="16"/>
                <w:color w:val="auto"/>
              </w:rPr>
              <w:t>T-MOBILE US INC</w:t>
            </w:r>
          </w:p>
        </w:tc>
        <w:tc>
          <w:tcPr>
            <w:tcW w:w="2060" w:type="dxa"/>
            <w:vAlign w:val="bottom"/>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14,036</w:t>
            </w:r>
          </w:p>
        </w:tc>
      </w:tr>
      <w:tr>
        <w:trPr>
          <w:trHeight w:val="33"/>
        </w:trPr>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400" w:type="dxa"/>
            <w:vAlign w:val="bottom"/>
            <w:shd w:val="clear" w:color="auto" w:fill="CCEEFF"/>
          </w:tcPr>
          <w:p>
            <w:pPr>
              <w:spacing w:after="0"/>
              <w:rPr>
                <w:sz w:val="20"/>
                <w:szCs w:val="20"/>
                <w:color w:val="auto"/>
              </w:rPr>
            </w:pPr>
          </w:p>
        </w:tc>
        <w:tc>
          <w:tcPr>
            <w:tcW w:w="44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TAKE-TWO INTERACTIVE SOFTWARE</w:t>
            </w:r>
          </w:p>
        </w:tc>
        <w:tc>
          <w:tcPr>
            <w:tcW w:w="2060" w:type="dxa"/>
            <w:vAlign w:val="bottom"/>
            <w:shd w:val="clear" w:color="auto" w:fill="CCEEFF"/>
          </w:tcPr>
          <w:p>
            <w:pPr>
              <w:ind w:left="860"/>
              <w:spacing w:after="0"/>
              <w:rPr>
                <w:sz w:val="20"/>
                <w:szCs w:val="20"/>
                <w:color w:val="auto"/>
              </w:rPr>
            </w:pPr>
            <w:r>
              <w:rPr>
                <w:rFonts w:ascii="Arial" w:cs="Arial" w:eastAsia="Arial" w:hAnsi="Arial"/>
                <w:sz w:val="16"/>
                <w:szCs w:val="16"/>
                <w:color w:val="auto"/>
              </w:rPr>
              <w:t>Common Stock</w:t>
            </w:r>
          </w:p>
        </w:tc>
        <w:tc>
          <w:tcPr>
            <w:tcW w:w="272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17,631</w:t>
            </w:r>
          </w:p>
        </w:tc>
      </w:tr>
      <w:tr>
        <w:trPr>
          <w:trHeight w:val="33"/>
        </w:trPr>
        <w:tc>
          <w:tcPr>
            <w:tcW w:w="400" w:type="dxa"/>
            <w:vAlign w:val="bottom"/>
            <w:shd w:val="clear" w:color="auto" w:fill="CCEEFF"/>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301" w:right="239" w:bottom="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800" w:type="dxa"/>
            <w:vAlign w:val="bottom"/>
          </w:tcPr>
          <w:p>
            <w:pPr>
              <w:ind w:left="500"/>
              <w:spacing w:after="0"/>
              <w:rPr>
                <w:sz w:val="20"/>
                <w:szCs w:val="20"/>
                <w:color w:val="auto"/>
              </w:rPr>
            </w:pPr>
            <w:r>
              <w:rPr>
                <w:rFonts w:ascii="Arial" w:cs="Arial" w:eastAsia="Arial" w:hAnsi="Arial"/>
                <w:sz w:val="16"/>
                <w:szCs w:val="16"/>
                <w:color w:val="auto"/>
              </w:rPr>
              <w:t>TARGET CORP</w:t>
            </w:r>
          </w:p>
        </w:tc>
        <w:tc>
          <w:tcPr>
            <w:tcW w:w="4980" w:type="dxa"/>
            <w:vAlign w:val="bottom"/>
          </w:tcPr>
          <w:p>
            <w:pPr>
              <w:ind w:left="1940"/>
              <w:spacing w:after="0"/>
              <w:rPr>
                <w:sz w:val="20"/>
                <w:szCs w:val="20"/>
                <w:color w:val="auto"/>
              </w:rPr>
            </w:pPr>
            <w:r>
              <w:rPr>
                <w:rFonts w:ascii="Arial" w:cs="Arial" w:eastAsia="Arial" w:hAnsi="Arial"/>
                <w:sz w:val="16"/>
                <w:szCs w:val="16"/>
                <w:color w:val="auto"/>
              </w:rPr>
              <w:t>Common Stock</w:t>
            </w:r>
          </w:p>
        </w:tc>
        <w:tc>
          <w:tcPr>
            <w:tcW w:w="2640" w:type="dxa"/>
            <w:vAlign w:val="bottom"/>
          </w:tcPr>
          <w:p>
            <w:pPr>
              <w:jc w:val="right"/>
              <w:ind w:right="19"/>
              <w:spacing w:after="0"/>
              <w:rPr>
                <w:sz w:val="20"/>
                <w:szCs w:val="20"/>
                <w:color w:val="auto"/>
              </w:rPr>
            </w:pPr>
            <w:r>
              <w:rPr>
                <w:rFonts w:ascii="Arial" w:cs="Arial" w:eastAsia="Arial" w:hAnsi="Arial"/>
                <w:sz w:val="16"/>
                <w:szCs w:val="16"/>
                <w:color w:val="auto"/>
              </w:rPr>
              <w:t>142,787</w:t>
            </w:r>
          </w:p>
        </w:tc>
      </w:tr>
      <w:tr>
        <w:trPr>
          <w:trHeight w:val="47"/>
        </w:trPr>
        <w:tc>
          <w:tcPr>
            <w:tcW w:w="3800" w:type="dxa"/>
            <w:vAlign w:val="bottom"/>
          </w:tcPr>
          <w:p>
            <w:pPr>
              <w:spacing w:after="0"/>
              <w:rPr>
                <w:sz w:val="4"/>
                <w:szCs w:val="4"/>
                <w:color w:val="auto"/>
              </w:rPr>
            </w:pPr>
          </w:p>
        </w:tc>
        <w:tc>
          <w:tcPr>
            <w:tcW w:w="4980" w:type="dxa"/>
            <w:vAlign w:val="bottom"/>
          </w:tcPr>
          <w:p>
            <w:pPr>
              <w:spacing w:after="0"/>
              <w:rPr>
                <w:sz w:val="4"/>
                <w:szCs w:val="4"/>
                <w:color w:val="auto"/>
              </w:rPr>
            </w:pPr>
          </w:p>
        </w:tc>
        <w:tc>
          <w:tcPr>
            <w:tcW w:w="2640" w:type="dxa"/>
            <w:vAlign w:val="bottom"/>
          </w:tcPr>
          <w:p>
            <w:pPr>
              <w:spacing w:after="0"/>
              <w:rPr>
                <w:sz w:val="4"/>
                <w:szCs w:val="4"/>
                <w:color w:val="auto"/>
              </w:rPr>
            </w:pPr>
          </w:p>
        </w:tc>
      </w:tr>
      <w:tr>
        <w:trPr>
          <w:trHeight w:val="250"/>
        </w:trPr>
        <w:tc>
          <w:tcPr>
            <w:tcW w:w="3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TCF FINANCIAL</w:t>
            </w:r>
          </w:p>
        </w:tc>
        <w:tc>
          <w:tcPr>
            <w:tcW w:w="4980" w:type="dxa"/>
            <w:vAlign w:val="bottom"/>
            <w:tcBorders>
              <w:bottom w:val="single" w:sz="8" w:color="CCEEFF"/>
            </w:tcBorders>
            <w:shd w:val="clear" w:color="auto" w:fill="CCEEFF"/>
          </w:tcPr>
          <w:p>
            <w:pPr>
              <w:ind w:left="1940"/>
              <w:spacing w:after="0"/>
              <w:rPr>
                <w:sz w:val="20"/>
                <w:szCs w:val="20"/>
                <w:color w:val="auto"/>
              </w:rPr>
            </w:pPr>
            <w:r>
              <w:rPr>
                <w:rFonts w:ascii="Arial" w:cs="Arial" w:eastAsia="Arial" w:hAnsi="Arial"/>
                <w:sz w:val="16"/>
                <w:szCs w:val="16"/>
                <w:color w:val="auto"/>
              </w:rPr>
              <w:t>Common Stock</w:t>
            </w:r>
          </w:p>
        </w:tc>
        <w:tc>
          <w:tcPr>
            <w:tcW w:w="2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7,071</w:t>
            </w:r>
          </w:p>
        </w:tc>
      </w:tr>
      <w:tr>
        <w:trPr>
          <w:trHeight w:val="237"/>
        </w:trPr>
        <w:tc>
          <w:tcPr>
            <w:tcW w:w="3800" w:type="dxa"/>
            <w:vAlign w:val="bottom"/>
          </w:tcPr>
          <w:p>
            <w:pPr>
              <w:ind w:left="500"/>
              <w:spacing w:after="0"/>
              <w:rPr>
                <w:sz w:val="20"/>
                <w:szCs w:val="20"/>
                <w:color w:val="auto"/>
              </w:rPr>
            </w:pPr>
            <w:r>
              <w:rPr>
                <w:rFonts w:ascii="Arial" w:cs="Arial" w:eastAsia="Arial" w:hAnsi="Arial"/>
                <w:sz w:val="16"/>
                <w:szCs w:val="16"/>
                <w:color w:val="auto"/>
              </w:rPr>
              <w:t>TECH DATA CORP</w:t>
            </w:r>
          </w:p>
        </w:tc>
        <w:tc>
          <w:tcPr>
            <w:tcW w:w="4980" w:type="dxa"/>
            <w:vAlign w:val="bottom"/>
          </w:tcPr>
          <w:p>
            <w:pPr>
              <w:ind w:left="1940"/>
              <w:spacing w:after="0"/>
              <w:rPr>
                <w:sz w:val="20"/>
                <w:szCs w:val="20"/>
                <w:color w:val="auto"/>
              </w:rPr>
            </w:pPr>
            <w:r>
              <w:rPr>
                <w:rFonts w:ascii="Arial" w:cs="Arial" w:eastAsia="Arial" w:hAnsi="Arial"/>
                <w:sz w:val="16"/>
                <w:szCs w:val="16"/>
                <w:color w:val="auto"/>
              </w:rPr>
              <w:t>Common Stock</w:t>
            </w:r>
          </w:p>
        </w:tc>
        <w:tc>
          <w:tcPr>
            <w:tcW w:w="2640" w:type="dxa"/>
            <w:vAlign w:val="bottom"/>
          </w:tcPr>
          <w:p>
            <w:pPr>
              <w:jc w:val="right"/>
              <w:ind w:right="19"/>
              <w:spacing w:after="0"/>
              <w:rPr>
                <w:sz w:val="20"/>
                <w:szCs w:val="20"/>
                <w:color w:val="auto"/>
              </w:rPr>
            </w:pPr>
            <w:r>
              <w:rPr>
                <w:rFonts w:ascii="Arial" w:cs="Arial" w:eastAsia="Arial" w:hAnsi="Arial"/>
                <w:sz w:val="16"/>
                <w:szCs w:val="16"/>
                <w:color w:val="auto"/>
              </w:rPr>
              <w:t>34,081</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30" w:right="239" w:bottom="1440" w:gutter="0" w:footer="0" w:header="0"/>
        </w:sectPr>
      </w:pPr>
    </w:p>
    <w:bookmarkStart w:id="43" w:name="page44"/>
    <w:bookmarkEnd w:id="43"/>
    <w:p>
      <w:pPr>
        <w:ind w:left="40"/>
        <w:spacing w:after="0"/>
        <w:rPr>
          <w:sz w:val="20"/>
          <w:szCs w:val="20"/>
          <w:color w:val="auto"/>
        </w:rPr>
      </w:pPr>
      <w:r>
        <w:rPr>
          <w:rFonts w:ascii="Arial" w:cs="Arial" w:eastAsia="Arial" w:hAnsi="Arial"/>
          <w:sz w:val="16"/>
          <w:szCs w:val="16"/>
          <w:b w:val="1"/>
          <w:bCs w:val="1"/>
          <w:color w:val="auto"/>
        </w:rPr>
        <w:t>WESCO Distribution, Inc.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Retirement Savings Plan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Schedule H (Form 5500), line 4(i) - Schedule of Assets (Held at End of Year)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EIN 25-1723345, Plan Number 001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2014</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 w:type="dxa"/>
            <w:vAlign w:val="bottom"/>
          </w:tcPr>
          <w:p>
            <w:pPr>
              <w:ind w:left="160"/>
              <w:spacing w:after="0"/>
              <w:rPr>
                <w:sz w:val="20"/>
                <w:szCs w:val="20"/>
                <w:color w:val="auto"/>
              </w:rPr>
            </w:pPr>
            <w:r>
              <w:rPr>
                <w:rFonts w:ascii="Arial" w:cs="Arial" w:eastAsia="Arial" w:hAnsi="Arial"/>
                <w:sz w:val="14"/>
                <w:szCs w:val="14"/>
                <w:b w:val="1"/>
                <w:bCs w:val="1"/>
                <w:color w:val="auto"/>
              </w:rPr>
              <w:t>(a)</w:t>
            </w:r>
          </w:p>
        </w:tc>
        <w:tc>
          <w:tcPr>
            <w:tcW w:w="4400" w:type="dxa"/>
            <w:vAlign w:val="bottom"/>
          </w:tcPr>
          <w:p>
            <w:pPr>
              <w:jc w:val="center"/>
              <w:ind w:left="900"/>
              <w:spacing w:after="0"/>
              <w:rPr>
                <w:sz w:val="20"/>
                <w:szCs w:val="20"/>
                <w:color w:val="auto"/>
              </w:rPr>
            </w:pPr>
            <w:r>
              <w:rPr>
                <w:rFonts w:ascii="Arial" w:cs="Arial" w:eastAsia="Arial" w:hAnsi="Arial"/>
                <w:sz w:val="14"/>
                <w:szCs w:val="14"/>
                <w:b w:val="1"/>
                <w:bCs w:val="1"/>
                <w:color w:val="auto"/>
              </w:rPr>
              <w:t>(b)</w:t>
            </w:r>
          </w:p>
        </w:tc>
        <w:tc>
          <w:tcPr>
            <w:tcW w:w="2140" w:type="dxa"/>
            <w:vAlign w:val="bottom"/>
          </w:tcPr>
          <w:p>
            <w:pPr>
              <w:spacing w:after="0"/>
              <w:rPr>
                <w:sz w:val="16"/>
                <w:szCs w:val="16"/>
                <w:color w:val="auto"/>
              </w:rPr>
            </w:pPr>
          </w:p>
        </w:tc>
        <w:tc>
          <w:tcPr>
            <w:tcW w:w="2720" w:type="dxa"/>
            <w:vAlign w:val="bottom"/>
          </w:tcPr>
          <w:p>
            <w:pPr>
              <w:jc w:val="center"/>
              <w:ind w:right="648"/>
              <w:spacing w:after="0"/>
              <w:rPr>
                <w:sz w:val="20"/>
                <w:szCs w:val="20"/>
                <w:color w:val="auto"/>
              </w:rPr>
            </w:pPr>
            <w:r>
              <w:rPr>
                <w:rFonts w:ascii="Arial" w:cs="Arial" w:eastAsia="Arial" w:hAnsi="Arial"/>
                <w:sz w:val="14"/>
                <w:szCs w:val="14"/>
                <w:b w:val="1"/>
                <w:bCs w:val="1"/>
                <w:color w:val="auto"/>
                <w:w w:val="93"/>
              </w:rPr>
              <w:t>(c)</w:t>
            </w:r>
          </w:p>
        </w:tc>
        <w:tc>
          <w:tcPr>
            <w:tcW w:w="1760" w:type="dxa"/>
            <w:vAlign w:val="bottom"/>
          </w:tcPr>
          <w:p>
            <w:pPr>
              <w:jc w:val="center"/>
              <w:ind w:left="439"/>
              <w:spacing w:after="0"/>
              <w:rPr>
                <w:sz w:val="20"/>
                <w:szCs w:val="20"/>
                <w:color w:val="auto"/>
              </w:rPr>
            </w:pPr>
            <w:r>
              <w:rPr>
                <w:rFonts w:ascii="Arial" w:cs="Arial" w:eastAsia="Arial" w:hAnsi="Arial"/>
                <w:sz w:val="14"/>
                <w:szCs w:val="14"/>
                <w:b w:val="1"/>
                <w:bCs w:val="1"/>
                <w:color w:val="auto"/>
                <w:w w:val="89"/>
              </w:rPr>
              <w:t>(d)</w:t>
            </w:r>
          </w:p>
        </w:tc>
      </w:tr>
      <w:tr>
        <w:trPr>
          <w:trHeight w:val="270"/>
        </w:trPr>
        <w:tc>
          <w:tcPr>
            <w:tcW w:w="400" w:type="dxa"/>
            <w:vAlign w:val="bottom"/>
          </w:tcPr>
          <w:p>
            <w:pPr>
              <w:spacing w:after="0"/>
              <w:rPr>
                <w:sz w:val="23"/>
                <w:szCs w:val="23"/>
                <w:color w:val="auto"/>
              </w:rPr>
            </w:pPr>
          </w:p>
        </w:tc>
        <w:tc>
          <w:tcPr>
            <w:tcW w:w="440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2720" w:type="dxa"/>
            <w:vAlign w:val="bottom"/>
          </w:tcPr>
          <w:p>
            <w:pPr>
              <w:jc w:val="center"/>
              <w:ind w:right="628"/>
              <w:spacing w:after="0"/>
              <w:rPr>
                <w:sz w:val="20"/>
                <w:szCs w:val="20"/>
                <w:color w:val="auto"/>
              </w:rPr>
            </w:pPr>
            <w:r>
              <w:rPr>
                <w:rFonts w:ascii="Arial" w:cs="Arial" w:eastAsia="Arial" w:hAnsi="Arial"/>
                <w:sz w:val="14"/>
                <w:szCs w:val="14"/>
                <w:b w:val="1"/>
                <w:bCs w:val="1"/>
                <w:color w:val="auto"/>
                <w:w w:val="91"/>
              </w:rPr>
              <w:t>Description of Investment</w:t>
            </w:r>
          </w:p>
        </w:tc>
        <w:tc>
          <w:tcPr>
            <w:tcW w:w="176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400" w:type="dxa"/>
            <w:vAlign w:val="bottom"/>
          </w:tcPr>
          <w:p>
            <w:pPr>
              <w:jc w:val="center"/>
              <w:ind w:left="900"/>
              <w:spacing w:after="0"/>
              <w:rPr>
                <w:sz w:val="20"/>
                <w:szCs w:val="20"/>
                <w:color w:val="auto"/>
              </w:rPr>
            </w:pPr>
            <w:r>
              <w:rPr>
                <w:rFonts w:ascii="Arial" w:cs="Arial" w:eastAsia="Arial" w:hAnsi="Arial"/>
                <w:sz w:val="14"/>
                <w:szCs w:val="14"/>
                <w:b w:val="1"/>
                <w:bCs w:val="1"/>
                <w:color w:val="auto"/>
                <w:w w:val="92"/>
              </w:rPr>
              <w:t>Identity of Issue,</w:t>
            </w:r>
          </w:p>
        </w:tc>
        <w:tc>
          <w:tcPr>
            <w:tcW w:w="2140" w:type="dxa"/>
            <w:vAlign w:val="bottom"/>
          </w:tcPr>
          <w:p>
            <w:pPr>
              <w:spacing w:after="0"/>
              <w:rPr>
                <w:sz w:val="23"/>
                <w:szCs w:val="23"/>
                <w:color w:val="auto"/>
              </w:rPr>
            </w:pPr>
          </w:p>
        </w:tc>
        <w:tc>
          <w:tcPr>
            <w:tcW w:w="2720" w:type="dxa"/>
            <w:vAlign w:val="bottom"/>
          </w:tcPr>
          <w:p>
            <w:pPr>
              <w:jc w:val="center"/>
              <w:ind w:right="628"/>
              <w:spacing w:after="0"/>
              <w:rPr>
                <w:sz w:val="20"/>
                <w:szCs w:val="20"/>
                <w:color w:val="auto"/>
              </w:rPr>
            </w:pPr>
            <w:r>
              <w:rPr>
                <w:rFonts w:ascii="Arial" w:cs="Arial" w:eastAsia="Arial" w:hAnsi="Arial"/>
                <w:sz w:val="14"/>
                <w:szCs w:val="14"/>
                <w:b w:val="1"/>
                <w:bCs w:val="1"/>
                <w:color w:val="auto"/>
                <w:w w:val="97"/>
              </w:rPr>
              <w:t>Including Maturity Date,</w:t>
            </w:r>
          </w:p>
        </w:tc>
        <w:tc>
          <w:tcPr>
            <w:tcW w:w="176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400" w:type="dxa"/>
            <w:vAlign w:val="bottom"/>
          </w:tcPr>
          <w:p>
            <w:pPr>
              <w:jc w:val="center"/>
              <w:ind w:left="920"/>
              <w:spacing w:after="0"/>
              <w:rPr>
                <w:sz w:val="20"/>
                <w:szCs w:val="20"/>
                <w:color w:val="auto"/>
              </w:rPr>
            </w:pPr>
            <w:r>
              <w:rPr>
                <w:rFonts w:ascii="Arial" w:cs="Arial" w:eastAsia="Arial" w:hAnsi="Arial"/>
                <w:sz w:val="14"/>
                <w:szCs w:val="14"/>
                <w:b w:val="1"/>
                <w:bCs w:val="1"/>
                <w:color w:val="auto"/>
                <w:w w:val="92"/>
              </w:rPr>
              <w:t>Borrower, Lessor or</w:t>
            </w:r>
          </w:p>
        </w:tc>
        <w:tc>
          <w:tcPr>
            <w:tcW w:w="2140" w:type="dxa"/>
            <w:vAlign w:val="bottom"/>
          </w:tcPr>
          <w:p>
            <w:pPr>
              <w:spacing w:after="0"/>
              <w:rPr>
                <w:sz w:val="23"/>
                <w:szCs w:val="23"/>
                <w:color w:val="auto"/>
              </w:rPr>
            </w:pPr>
          </w:p>
        </w:tc>
        <w:tc>
          <w:tcPr>
            <w:tcW w:w="2720" w:type="dxa"/>
            <w:vAlign w:val="bottom"/>
          </w:tcPr>
          <w:p>
            <w:pPr>
              <w:jc w:val="center"/>
              <w:ind w:right="648"/>
              <w:spacing w:after="0"/>
              <w:rPr>
                <w:sz w:val="20"/>
                <w:szCs w:val="20"/>
                <w:color w:val="auto"/>
              </w:rPr>
            </w:pPr>
            <w:r>
              <w:rPr>
                <w:rFonts w:ascii="Arial" w:cs="Arial" w:eastAsia="Arial" w:hAnsi="Arial"/>
                <w:sz w:val="14"/>
                <w:szCs w:val="14"/>
                <w:b w:val="1"/>
                <w:bCs w:val="1"/>
                <w:color w:val="auto"/>
                <w:w w:val="94"/>
              </w:rPr>
              <w:t>Rate of Interest, Collateral,</w:t>
            </w:r>
          </w:p>
        </w:tc>
        <w:tc>
          <w:tcPr>
            <w:tcW w:w="1760" w:type="dxa"/>
            <w:vAlign w:val="bottom"/>
          </w:tcPr>
          <w:p>
            <w:pPr>
              <w:jc w:val="center"/>
              <w:ind w:left="419"/>
              <w:spacing w:after="0"/>
              <w:rPr>
                <w:sz w:val="20"/>
                <w:szCs w:val="20"/>
                <w:color w:val="auto"/>
              </w:rPr>
            </w:pPr>
            <w:r>
              <w:rPr>
                <w:rFonts w:ascii="Arial" w:cs="Arial" w:eastAsia="Arial" w:hAnsi="Arial"/>
                <w:sz w:val="14"/>
                <w:szCs w:val="14"/>
                <w:b w:val="1"/>
                <w:bCs w:val="1"/>
                <w:color w:val="auto"/>
                <w:w w:val="98"/>
              </w:rPr>
              <w:t>Current</w:t>
            </w:r>
          </w:p>
        </w:tc>
      </w:tr>
      <w:tr>
        <w:trPr>
          <w:trHeight w:val="276"/>
        </w:trPr>
        <w:tc>
          <w:tcPr>
            <w:tcW w:w="400" w:type="dxa"/>
            <w:vAlign w:val="bottom"/>
          </w:tcPr>
          <w:p>
            <w:pPr>
              <w:spacing w:after="0"/>
              <w:rPr>
                <w:sz w:val="24"/>
                <w:szCs w:val="24"/>
                <w:color w:val="auto"/>
              </w:rPr>
            </w:pPr>
          </w:p>
        </w:tc>
        <w:tc>
          <w:tcPr>
            <w:tcW w:w="4400" w:type="dxa"/>
            <w:vAlign w:val="bottom"/>
          </w:tcPr>
          <w:p>
            <w:pPr>
              <w:jc w:val="center"/>
              <w:ind w:left="920"/>
              <w:spacing w:after="0"/>
              <w:rPr>
                <w:sz w:val="20"/>
                <w:szCs w:val="20"/>
                <w:color w:val="auto"/>
              </w:rPr>
            </w:pPr>
            <w:r>
              <w:rPr>
                <w:rFonts w:ascii="Arial" w:cs="Arial" w:eastAsia="Arial" w:hAnsi="Arial"/>
                <w:sz w:val="14"/>
                <w:szCs w:val="14"/>
                <w:b w:val="1"/>
                <w:bCs w:val="1"/>
                <w:color w:val="auto"/>
                <w:w w:val="98"/>
              </w:rPr>
              <w:t>Similar Party</w:t>
            </w:r>
          </w:p>
        </w:tc>
        <w:tc>
          <w:tcPr>
            <w:tcW w:w="2140" w:type="dxa"/>
            <w:vAlign w:val="bottom"/>
          </w:tcPr>
          <w:p>
            <w:pPr>
              <w:spacing w:after="0"/>
              <w:rPr>
                <w:sz w:val="24"/>
                <w:szCs w:val="24"/>
                <w:color w:val="auto"/>
              </w:rPr>
            </w:pPr>
          </w:p>
        </w:tc>
        <w:tc>
          <w:tcPr>
            <w:tcW w:w="2720" w:type="dxa"/>
            <w:vAlign w:val="bottom"/>
          </w:tcPr>
          <w:p>
            <w:pPr>
              <w:jc w:val="center"/>
              <w:ind w:right="628"/>
              <w:spacing w:after="0"/>
              <w:rPr>
                <w:sz w:val="20"/>
                <w:szCs w:val="20"/>
                <w:color w:val="auto"/>
              </w:rPr>
            </w:pPr>
            <w:r>
              <w:rPr>
                <w:rFonts w:ascii="Arial" w:cs="Arial" w:eastAsia="Arial" w:hAnsi="Arial"/>
                <w:sz w:val="14"/>
                <w:szCs w:val="14"/>
                <w:b w:val="1"/>
                <w:bCs w:val="1"/>
                <w:color w:val="auto"/>
                <w:w w:val="95"/>
              </w:rPr>
              <w:t>Par, or Maturity Value</w:t>
            </w:r>
          </w:p>
        </w:tc>
        <w:tc>
          <w:tcPr>
            <w:tcW w:w="1760" w:type="dxa"/>
            <w:vAlign w:val="bottom"/>
          </w:tcPr>
          <w:p>
            <w:pPr>
              <w:jc w:val="center"/>
              <w:ind w:left="439"/>
              <w:spacing w:after="0"/>
              <w:rPr>
                <w:sz w:val="20"/>
                <w:szCs w:val="20"/>
                <w:color w:val="auto"/>
              </w:rPr>
            </w:pPr>
            <w:r>
              <w:rPr>
                <w:rFonts w:ascii="Arial" w:cs="Arial" w:eastAsia="Arial" w:hAnsi="Arial"/>
                <w:sz w:val="14"/>
                <w:szCs w:val="14"/>
                <w:b w:val="1"/>
                <w:bCs w:val="1"/>
                <w:color w:val="auto"/>
                <w:w w:val="96"/>
              </w:rPr>
              <w:t>Value</w:t>
            </w:r>
          </w:p>
        </w:tc>
      </w:tr>
      <w:tr>
        <w:trPr>
          <w:trHeight w:val="256"/>
        </w:trPr>
        <w:tc>
          <w:tcPr>
            <w:tcW w:w="400" w:type="dxa"/>
            <w:vAlign w:val="bottom"/>
            <w:tcBorders>
              <w:bottom w:val="single" w:sz="8" w:color="CCEEFF"/>
            </w:tcBorders>
            <w:shd w:val="clear" w:color="auto" w:fill="CCEEFF"/>
          </w:tcPr>
          <w:p>
            <w:pPr>
              <w:spacing w:after="0"/>
              <w:rPr>
                <w:sz w:val="22"/>
                <w:szCs w:val="22"/>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TECO ENERGY INC</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16,617</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TELEPHONE AND DATA SYSTEMS</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21,942</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TENET HEALTHCARE CORPORATION</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43,779</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TENNECO INC</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13,643</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TEREX CORP NEW</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6,106</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TESORO CORP</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24,982</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TEXAS INSTRUMENTS INC</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118,104</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TEXTRON INC</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24,971</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THE CHILDREN S PLACE INC</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7,638</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THE DIRECTV GROUP HOLDINGS CL A COM</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171,579</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THE HERSHEY COMPANY</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12,576</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THE PHOENIX COMPANIES, INC.</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7,782</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THE SCOTTS MIRACLE-GRO COMPANY CL A</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11,903</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THERMO FISHER SCIENTIFIC INC</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17,541</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TIFFANY &amp; CO NEW</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16,991</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TIME WARNER CABLE INC</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88,499</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TIME WARNER INC</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171,011</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TIMKEN CO</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8,664</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TJX COS INC NEW</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40,394</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TORCHMARK CORP</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17,226</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 SYS SVCS INC</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12,056</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TOWERS WATSON &amp; CO CL A</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22,974</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TRAVELCENTERS OF AMERICA LLC</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9,288</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TRAVELERS COMPANIES, INC</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132,736</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TRIQUINT SEMICONDUCTOR INC</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11,847</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TRW AUTOMOTIVE HLDGS CORP</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39,289</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TUPPERWARE BRANDS CORPORATION</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7,371</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TUTOR PERINI CORP</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14,538</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TWENTY FIRST CENTURY FOX INC</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38,367</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TYSON FOODS INC CL A DEL</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7,016</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UGI CORP NEW COM</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24,383</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UNION PACIFIC CORP</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138,191</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UNISYS CORPORATION</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30,453</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UNIT CORP</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7,775</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UNITED CONTINENTAL HOLDINGS, INC.</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38,930</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UNITED ONLINE INC</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11,189</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UNITED PARCEL SERVICE-CL B</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72,149</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UNITED RENTAL INC COM</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12,037</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UNITED STATES CELLULAR CORP</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6,134</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UNITED STS STL CORP NEW</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35,324</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UNITED TECHNOLOGIES CORP</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155,250</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UNITEDHEALTH GROUP INC</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233,012</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UNIVERSAL CORP</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7,960</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UNIVERSAL HEALTH SVCS INC CL B</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17,468</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UNUM GROUP</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41,542</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US BANCORP DEL NEW</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47,287</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V F CORP</w:t>
            </w:r>
          </w:p>
        </w:tc>
        <w:tc>
          <w:tcPr>
            <w:tcW w:w="2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25,166</w:t>
            </w:r>
          </w:p>
        </w:tc>
      </w:tr>
      <w:tr>
        <w:trPr>
          <w:trHeight w:val="237"/>
        </w:trPr>
        <w:tc>
          <w:tcPr>
            <w:tcW w:w="4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VAALCO ENERGY INC</w:t>
            </w:r>
          </w:p>
        </w:tc>
        <w:tc>
          <w:tcPr>
            <w:tcW w:w="2140" w:type="dxa"/>
            <w:vAlign w:val="bottom"/>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5,034</w:t>
            </w:r>
          </w:p>
        </w:tc>
      </w:tr>
      <w:tr>
        <w:trPr>
          <w:trHeight w:val="33"/>
        </w:trPr>
        <w:tc>
          <w:tcPr>
            <w:tcW w:w="4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400" w:type="dxa"/>
            <w:vAlign w:val="bottom"/>
            <w:shd w:val="clear" w:color="auto" w:fill="CCEEFF"/>
          </w:tcPr>
          <w:p>
            <w:pPr>
              <w:spacing w:after="0"/>
              <w:rPr>
                <w:sz w:val="20"/>
                <w:szCs w:val="20"/>
                <w:color w:val="auto"/>
              </w:rPr>
            </w:pPr>
          </w:p>
        </w:tc>
        <w:tc>
          <w:tcPr>
            <w:tcW w:w="44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VALERO ENERGY CORP</w:t>
            </w:r>
          </w:p>
        </w:tc>
        <w:tc>
          <w:tcPr>
            <w:tcW w:w="2140" w:type="dxa"/>
            <w:vAlign w:val="bottom"/>
            <w:shd w:val="clear" w:color="auto" w:fill="CCEEFF"/>
          </w:tcPr>
          <w:p>
            <w:pPr>
              <w:ind w:left="940"/>
              <w:spacing w:after="0"/>
              <w:rPr>
                <w:sz w:val="20"/>
                <w:szCs w:val="20"/>
                <w:color w:val="auto"/>
              </w:rPr>
            </w:pPr>
            <w:r>
              <w:rPr>
                <w:rFonts w:ascii="Arial" w:cs="Arial" w:eastAsia="Arial" w:hAnsi="Arial"/>
                <w:sz w:val="16"/>
                <w:szCs w:val="16"/>
                <w:color w:val="auto"/>
              </w:rPr>
              <w:t>Common Stock</w:t>
            </w:r>
          </w:p>
        </w:tc>
        <w:tc>
          <w:tcPr>
            <w:tcW w:w="272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70,389</w:t>
            </w:r>
          </w:p>
        </w:tc>
      </w:tr>
      <w:tr>
        <w:trPr>
          <w:trHeight w:val="33"/>
        </w:trPr>
        <w:tc>
          <w:tcPr>
            <w:tcW w:w="400" w:type="dxa"/>
            <w:vAlign w:val="bottom"/>
            <w:shd w:val="clear" w:color="auto" w:fill="CCEEFF"/>
          </w:tcPr>
          <w:p>
            <w:pPr>
              <w:spacing w:after="0"/>
              <w:rPr>
                <w:sz w:val="2"/>
                <w:szCs w:val="2"/>
                <w:color w:val="auto"/>
              </w:rPr>
            </w:pPr>
          </w:p>
        </w:tc>
        <w:tc>
          <w:tcPr>
            <w:tcW w:w="440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301" w:right="239" w:bottom="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240" w:type="dxa"/>
            <w:vAlign w:val="bottom"/>
          </w:tcPr>
          <w:p>
            <w:pPr>
              <w:ind w:left="500"/>
              <w:spacing w:after="0"/>
              <w:rPr>
                <w:sz w:val="20"/>
                <w:szCs w:val="20"/>
                <w:color w:val="auto"/>
              </w:rPr>
            </w:pPr>
            <w:r>
              <w:rPr>
                <w:rFonts w:ascii="Arial" w:cs="Arial" w:eastAsia="Arial" w:hAnsi="Arial"/>
                <w:sz w:val="16"/>
                <w:szCs w:val="16"/>
                <w:color w:val="auto"/>
              </w:rPr>
              <w:t>VECTREN CORP</w:t>
            </w:r>
          </w:p>
        </w:tc>
        <w:tc>
          <w:tcPr>
            <w:tcW w:w="4540" w:type="dxa"/>
            <w:vAlign w:val="bottom"/>
          </w:tcPr>
          <w:p>
            <w:pPr>
              <w:ind w:left="1500"/>
              <w:spacing w:after="0"/>
              <w:rPr>
                <w:sz w:val="20"/>
                <w:szCs w:val="20"/>
                <w:color w:val="auto"/>
              </w:rPr>
            </w:pPr>
            <w:r>
              <w:rPr>
                <w:rFonts w:ascii="Arial" w:cs="Arial" w:eastAsia="Arial" w:hAnsi="Arial"/>
                <w:sz w:val="16"/>
                <w:szCs w:val="16"/>
                <w:color w:val="auto"/>
              </w:rPr>
              <w:t>Common Stock</w:t>
            </w:r>
          </w:p>
        </w:tc>
        <w:tc>
          <w:tcPr>
            <w:tcW w:w="2640" w:type="dxa"/>
            <w:vAlign w:val="bottom"/>
          </w:tcPr>
          <w:p>
            <w:pPr>
              <w:jc w:val="right"/>
              <w:ind w:right="19"/>
              <w:spacing w:after="0"/>
              <w:rPr>
                <w:sz w:val="20"/>
                <w:szCs w:val="20"/>
                <w:color w:val="auto"/>
              </w:rPr>
            </w:pPr>
            <w:r>
              <w:rPr>
                <w:rFonts w:ascii="Arial" w:cs="Arial" w:eastAsia="Arial" w:hAnsi="Arial"/>
                <w:sz w:val="16"/>
                <w:szCs w:val="16"/>
                <w:color w:val="auto"/>
              </w:rPr>
              <w:t>18,908</w:t>
            </w:r>
          </w:p>
        </w:tc>
      </w:tr>
      <w:tr>
        <w:trPr>
          <w:trHeight w:val="47"/>
        </w:trPr>
        <w:tc>
          <w:tcPr>
            <w:tcW w:w="4240" w:type="dxa"/>
            <w:vAlign w:val="bottom"/>
          </w:tcPr>
          <w:p>
            <w:pPr>
              <w:spacing w:after="0"/>
              <w:rPr>
                <w:sz w:val="4"/>
                <w:szCs w:val="4"/>
                <w:color w:val="auto"/>
              </w:rPr>
            </w:pPr>
          </w:p>
        </w:tc>
        <w:tc>
          <w:tcPr>
            <w:tcW w:w="4540" w:type="dxa"/>
            <w:vAlign w:val="bottom"/>
          </w:tcPr>
          <w:p>
            <w:pPr>
              <w:spacing w:after="0"/>
              <w:rPr>
                <w:sz w:val="4"/>
                <w:szCs w:val="4"/>
                <w:color w:val="auto"/>
              </w:rPr>
            </w:pPr>
          </w:p>
        </w:tc>
        <w:tc>
          <w:tcPr>
            <w:tcW w:w="264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VERIZON COMMUNICATIONS</w:t>
            </w:r>
          </w:p>
        </w:tc>
        <w:tc>
          <w:tcPr>
            <w:tcW w:w="4540" w:type="dxa"/>
            <w:vAlign w:val="bottom"/>
            <w:tcBorders>
              <w:bottom w:val="single" w:sz="8" w:color="CCEEFF"/>
            </w:tcBorders>
            <w:shd w:val="clear" w:color="auto" w:fill="CCEEFF"/>
          </w:tcPr>
          <w:p>
            <w:pPr>
              <w:ind w:left="1500"/>
              <w:spacing w:after="0"/>
              <w:rPr>
                <w:sz w:val="20"/>
                <w:szCs w:val="20"/>
                <w:color w:val="auto"/>
              </w:rPr>
            </w:pPr>
            <w:r>
              <w:rPr>
                <w:rFonts w:ascii="Arial" w:cs="Arial" w:eastAsia="Arial" w:hAnsi="Arial"/>
                <w:sz w:val="16"/>
                <w:szCs w:val="16"/>
                <w:color w:val="auto"/>
              </w:rPr>
              <w:t>Common Stock</w:t>
            </w:r>
          </w:p>
        </w:tc>
        <w:tc>
          <w:tcPr>
            <w:tcW w:w="2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339,108</w:t>
            </w:r>
          </w:p>
        </w:tc>
      </w:tr>
      <w:tr>
        <w:trPr>
          <w:trHeight w:val="237"/>
        </w:trPr>
        <w:tc>
          <w:tcPr>
            <w:tcW w:w="4240" w:type="dxa"/>
            <w:vAlign w:val="bottom"/>
          </w:tcPr>
          <w:p>
            <w:pPr>
              <w:ind w:left="500"/>
              <w:spacing w:after="0"/>
              <w:rPr>
                <w:sz w:val="20"/>
                <w:szCs w:val="20"/>
                <w:color w:val="auto"/>
              </w:rPr>
            </w:pPr>
            <w:r>
              <w:rPr>
                <w:rFonts w:ascii="Arial" w:cs="Arial" w:eastAsia="Arial" w:hAnsi="Arial"/>
                <w:sz w:val="16"/>
                <w:szCs w:val="16"/>
                <w:color w:val="auto"/>
              </w:rPr>
              <w:t>VIACOM INC NEW</w:t>
            </w:r>
          </w:p>
        </w:tc>
        <w:tc>
          <w:tcPr>
            <w:tcW w:w="4540" w:type="dxa"/>
            <w:vAlign w:val="bottom"/>
          </w:tcPr>
          <w:p>
            <w:pPr>
              <w:ind w:left="1500"/>
              <w:spacing w:after="0"/>
              <w:rPr>
                <w:sz w:val="20"/>
                <w:szCs w:val="20"/>
                <w:color w:val="auto"/>
              </w:rPr>
            </w:pPr>
            <w:r>
              <w:rPr>
                <w:rFonts w:ascii="Arial" w:cs="Arial" w:eastAsia="Arial" w:hAnsi="Arial"/>
                <w:sz w:val="16"/>
                <w:szCs w:val="16"/>
                <w:color w:val="auto"/>
              </w:rPr>
              <w:t>Common Stock</w:t>
            </w:r>
          </w:p>
        </w:tc>
        <w:tc>
          <w:tcPr>
            <w:tcW w:w="2640" w:type="dxa"/>
            <w:vAlign w:val="bottom"/>
          </w:tcPr>
          <w:p>
            <w:pPr>
              <w:jc w:val="right"/>
              <w:ind w:right="19"/>
              <w:spacing w:after="0"/>
              <w:rPr>
                <w:sz w:val="20"/>
                <w:szCs w:val="20"/>
                <w:color w:val="auto"/>
              </w:rPr>
            </w:pPr>
            <w:r>
              <w:rPr>
                <w:rFonts w:ascii="Arial" w:cs="Arial" w:eastAsia="Arial" w:hAnsi="Arial"/>
                <w:sz w:val="16"/>
                <w:szCs w:val="16"/>
                <w:color w:val="auto"/>
              </w:rPr>
              <w:t>33,035</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0" w:right="239" w:bottom="1440" w:gutter="0" w:footer="0" w:header="0"/>
        </w:sectPr>
      </w:pPr>
    </w:p>
    <w:bookmarkStart w:id="45" w:name="page46"/>
    <w:bookmarkEnd w:id="45"/>
    <w:p>
      <w:pPr>
        <w:spacing w:after="0" w:line="6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WESCO Distribution, Inc.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Retirement Savings Plan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Schedule H (Form 5500), line 4(i) - Schedule of Assets (Held at End of Year)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EIN 25-1723345, Plan Number 001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2014</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 w:type="dxa"/>
            <w:vAlign w:val="bottom"/>
          </w:tcPr>
          <w:p>
            <w:pPr>
              <w:jc w:val="center"/>
              <w:ind w:left="3"/>
              <w:spacing w:after="0"/>
              <w:rPr>
                <w:sz w:val="20"/>
                <w:szCs w:val="20"/>
                <w:color w:val="auto"/>
              </w:rPr>
            </w:pPr>
            <w:r>
              <w:rPr>
                <w:rFonts w:ascii="Arial" w:cs="Arial" w:eastAsia="Arial" w:hAnsi="Arial"/>
                <w:sz w:val="14"/>
                <w:szCs w:val="14"/>
                <w:b w:val="1"/>
                <w:bCs w:val="1"/>
                <w:color w:val="auto"/>
                <w:w w:val="93"/>
              </w:rPr>
              <w:t>(a)</w:t>
            </w:r>
          </w:p>
        </w:tc>
        <w:tc>
          <w:tcPr>
            <w:tcW w:w="4320" w:type="dxa"/>
            <w:vAlign w:val="bottom"/>
          </w:tcPr>
          <w:p>
            <w:pPr>
              <w:jc w:val="center"/>
              <w:ind w:left="980"/>
              <w:spacing w:after="0"/>
              <w:rPr>
                <w:sz w:val="20"/>
                <w:szCs w:val="20"/>
                <w:color w:val="auto"/>
              </w:rPr>
            </w:pPr>
            <w:r>
              <w:rPr>
                <w:rFonts w:ascii="Arial" w:cs="Arial" w:eastAsia="Arial" w:hAnsi="Arial"/>
                <w:sz w:val="14"/>
                <w:szCs w:val="14"/>
                <w:b w:val="1"/>
                <w:bCs w:val="1"/>
                <w:color w:val="auto"/>
              </w:rPr>
              <w:t>(b)</w:t>
            </w:r>
          </w:p>
        </w:tc>
        <w:tc>
          <w:tcPr>
            <w:tcW w:w="2220" w:type="dxa"/>
            <w:vAlign w:val="bottom"/>
          </w:tcPr>
          <w:p>
            <w:pPr>
              <w:spacing w:after="0"/>
              <w:rPr>
                <w:sz w:val="16"/>
                <w:szCs w:val="16"/>
                <w:color w:val="auto"/>
              </w:rPr>
            </w:pPr>
          </w:p>
        </w:tc>
        <w:tc>
          <w:tcPr>
            <w:tcW w:w="2720" w:type="dxa"/>
            <w:vAlign w:val="bottom"/>
          </w:tcPr>
          <w:p>
            <w:pPr>
              <w:jc w:val="center"/>
              <w:ind w:right="648"/>
              <w:spacing w:after="0"/>
              <w:rPr>
                <w:sz w:val="20"/>
                <w:szCs w:val="20"/>
                <w:color w:val="auto"/>
              </w:rPr>
            </w:pPr>
            <w:r>
              <w:rPr>
                <w:rFonts w:ascii="Arial" w:cs="Arial" w:eastAsia="Arial" w:hAnsi="Arial"/>
                <w:sz w:val="14"/>
                <w:szCs w:val="14"/>
                <w:b w:val="1"/>
                <w:bCs w:val="1"/>
                <w:color w:val="auto"/>
                <w:w w:val="93"/>
              </w:rPr>
              <w:t>(c)</w:t>
            </w:r>
          </w:p>
        </w:tc>
        <w:tc>
          <w:tcPr>
            <w:tcW w:w="1760" w:type="dxa"/>
            <w:vAlign w:val="bottom"/>
          </w:tcPr>
          <w:p>
            <w:pPr>
              <w:jc w:val="center"/>
              <w:ind w:left="439"/>
              <w:spacing w:after="0"/>
              <w:rPr>
                <w:sz w:val="20"/>
                <w:szCs w:val="20"/>
                <w:color w:val="auto"/>
              </w:rPr>
            </w:pPr>
            <w:r>
              <w:rPr>
                <w:rFonts w:ascii="Arial" w:cs="Arial" w:eastAsia="Arial" w:hAnsi="Arial"/>
                <w:sz w:val="14"/>
                <w:szCs w:val="14"/>
                <w:b w:val="1"/>
                <w:bCs w:val="1"/>
                <w:color w:val="auto"/>
                <w:w w:val="89"/>
              </w:rPr>
              <w:t>(d)</w:t>
            </w:r>
          </w:p>
        </w:tc>
      </w:tr>
      <w:tr>
        <w:trPr>
          <w:trHeight w:val="270"/>
        </w:trPr>
        <w:tc>
          <w:tcPr>
            <w:tcW w:w="40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2720" w:type="dxa"/>
            <w:vAlign w:val="bottom"/>
          </w:tcPr>
          <w:p>
            <w:pPr>
              <w:jc w:val="center"/>
              <w:ind w:right="628"/>
              <w:spacing w:after="0"/>
              <w:rPr>
                <w:sz w:val="20"/>
                <w:szCs w:val="20"/>
                <w:color w:val="auto"/>
              </w:rPr>
            </w:pPr>
            <w:r>
              <w:rPr>
                <w:rFonts w:ascii="Arial" w:cs="Arial" w:eastAsia="Arial" w:hAnsi="Arial"/>
                <w:sz w:val="14"/>
                <w:szCs w:val="14"/>
                <w:b w:val="1"/>
                <w:bCs w:val="1"/>
                <w:color w:val="auto"/>
                <w:w w:val="91"/>
              </w:rPr>
              <w:t>Description of Investment</w:t>
            </w:r>
          </w:p>
        </w:tc>
        <w:tc>
          <w:tcPr>
            <w:tcW w:w="176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320" w:type="dxa"/>
            <w:vAlign w:val="bottom"/>
          </w:tcPr>
          <w:p>
            <w:pPr>
              <w:jc w:val="center"/>
              <w:ind w:left="980"/>
              <w:spacing w:after="0"/>
              <w:rPr>
                <w:sz w:val="20"/>
                <w:szCs w:val="20"/>
                <w:color w:val="auto"/>
              </w:rPr>
            </w:pPr>
            <w:r>
              <w:rPr>
                <w:rFonts w:ascii="Arial" w:cs="Arial" w:eastAsia="Arial" w:hAnsi="Arial"/>
                <w:sz w:val="14"/>
                <w:szCs w:val="14"/>
                <w:b w:val="1"/>
                <w:bCs w:val="1"/>
                <w:color w:val="auto"/>
                <w:w w:val="92"/>
              </w:rPr>
              <w:t>Identity of Issue,</w:t>
            </w:r>
          </w:p>
        </w:tc>
        <w:tc>
          <w:tcPr>
            <w:tcW w:w="2220" w:type="dxa"/>
            <w:vAlign w:val="bottom"/>
          </w:tcPr>
          <w:p>
            <w:pPr>
              <w:spacing w:after="0"/>
              <w:rPr>
                <w:sz w:val="23"/>
                <w:szCs w:val="23"/>
                <w:color w:val="auto"/>
              </w:rPr>
            </w:pPr>
          </w:p>
        </w:tc>
        <w:tc>
          <w:tcPr>
            <w:tcW w:w="2720" w:type="dxa"/>
            <w:vAlign w:val="bottom"/>
          </w:tcPr>
          <w:p>
            <w:pPr>
              <w:jc w:val="center"/>
              <w:ind w:right="628"/>
              <w:spacing w:after="0"/>
              <w:rPr>
                <w:sz w:val="20"/>
                <w:szCs w:val="20"/>
                <w:color w:val="auto"/>
              </w:rPr>
            </w:pPr>
            <w:r>
              <w:rPr>
                <w:rFonts w:ascii="Arial" w:cs="Arial" w:eastAsia="Arial" w:hAnsi="Arial"/>
                <w:sz w:val="14"/>
                <w:szCs w:val="14"/>
                <w:b w:val="1"/>
                <w:bCs w:val="1"/>
                <w:color w:val="auto"/>
                <w:w w:val="97"/>
              </w:rPr>
              <w:t>Including Maturity Date,</w:t>
            </w:r>
          </w:p>
        </w:tc>
        <w:tc>
          <w:tcPr>
            <w:tcW w:w="176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320" w:type="dxa"/>
            <w:vAlign w:val="bottom"/>
          </w:tcPr>
          <w:p>
            <w:pPr>
              <w:jc w:val="center"/>
              <w:ind w:left="1000"/>
              <w:spacing w:after="0"/>
              <w:rPr>
                <w:sz w:val="20"/>
                <w:szCs w:val="20"/>
                <w:color w:val="auto"/>
              </w:rPr>
            </w:pPr>
            <w:r>
              <w:rPr>
                <w:rFonts w:ascii="Arial" w:cs="Arial" w:eastAsia="Arial" w:hAnsi="Arial"/>
                <w:sz w:val="14"/>
                <w:szCs w:val="14"/>
                <w:b w:val="1"/>
                <w:bCs w:val="1"/>
                <w:color w:val="auto"/>
                <w:w w:val="92"/>
              </w:rPr>
              <w:t>Borrower, Lessor or</w:t>
            </w:r>
          </w:p>
        </w:tc>
        <w:tc>
          <w:tcPr>
            <w:tcW w:w="2220" w:type="dxa"/>
            <w:vAlign w:val="bottom"/>
          </w:tcPr>
          <w:p>
            <w:pPr>
              <w:spacing w:after="0"/>
              <w:rPr>
                <w:sz w:val="23"/>
                <w:szCs w:val="23"/>
                <w:color w:val="auto"/>
              </w:rPr>
            </w:pPr>
          </w:p>
        </w:tc>
        <w:tc>
          <w:tcPr>
            <w:tcW w:w="2720" w:type="dxa"/>
            <w:vAlign w:val="bottom"/>
          </w:tcPr>
          <w:p>
            <w:pPr>
              <w:jc w:val="center"/>
              <w:ind w:right="648"/>
              <w:spacing w:after="0"/>
              <w:rPr>
                <w:sz w:val="20"/>
                <w:szCs w:val="20"/>
                <w:color w:val="auto"/>
              </w:rPr>
            </w:pPr>
            <w:r>
              <w:rPr>
                <w:rFonts w:ascii="Arial" w:cs="Arial" w:eastAsia="Arial" w:hAnsi="Arial"/>
                <w:sz w:val="14"/>
                <w:szCs w:val="14"/>
                <w:b w:val="1"/>
                <w:bCs w:val="1"/>
                <w:color w:val="auto"/>
                <w:w w:val="94"/>
              </w:rPr>
              <w:t>Rate of Interest, Collateral,</w:t>
            </w:r>
          </w:p>
        </w:tc>
        <w:tc>
          <w:tcPr>
            <w:tcW w:w="1760" w:type="dxa"/>
            <w:vAlign w:val="bottom"/>
          </w:tcPr>
          <w:p>
            <w:pPr>
              <w:jc w:val="center"/>
              <w:ind w:left="419"/>
              <w:spacing w:after="0"/>
              <w:rPr>
                <w:sz w:val="20"/>
                <w:szCs w:val="20"/>
                <w:color w:val="auto"/>
              </w:rPr>
            </w:pPr>
            <w:r>
              <w:rPr>
                <w:rFonts w:ascii="Arial" w:cs="Arial" w:eastAsia="Arial" w:hAnsi="Arial"/>
                <w:sz w:val="14"/>
                <w:szCs w:val="14"/>
                <w:b w:val="1"/>
                <w:bCs w:val="1"/>
                <w:color w:val="auto"/>
                <w:w w:val="98"/>
              </w:rPr>
              <w:t>Current</w:t>
            </w:r>
          </w:p>
        </w:tc>
      </w:tr>
      <w:tr>
        <w:trPr>
          <w:trHeight w:val="276"/>
        </w:trPr>
        <w:tc>
          <w:tcPr>
            <w:tcW w:w="400" w:type="dxa"/>
            <w:vAlign w:val="bottom"/>
          </w:tcPr>
          <w:p>
            <w:pPr>
              <w:spacing w:after="0"/>
              <w:rPr>
                <w:sz w:val="24"/>
                <w:szCs w:val="24"/>
                <w:color w:val="auto"/>
              </w:rPr>
            </w:pPr>
          </w:p>
        </w:tc>
        <w:tc>
          <w:tcPr>
            <w:tcW w:w="4320" w:type="dxa"/>
            <w:vAlign w:val="bottom"/>
          </w:tcPr>
          <w:p>
            <w:pPr>
              <w:jc w:val="center"/>
              <w:ind w:left="1000"/>
              <w:spacing w:after="0"/>
              <w:rPr>
                <w:sz w:val="20"/>
                <w:szCs w:val="20"/>
                <w:color w:val="auto"/>
              </w:rPr>
            </w:pPr>
            <w:r>
              <w:rPr>
                <w:rFonts w:ascii="Arial" w:cs="Arial" w:eastAsia="Arial" w:hAnsi="Arial"/>
                <w:sz w:val="14"/>
                <w:szCs w:val="14"/>
                <w:b w:val="1"/>
                <w:bCs w:val="1"/>
                <w:color w:val="auto"/>
                <w:w w:val="98"/>
              </w:rPr>
              <w:t>Similar Party</w:t>
            </w:r>
          </w:p>
        </w:tc>
        <w:tc>
          <w:tcPr>
            <w:tcW w:w="2220" w:type="dxa"/>
            <w:vAlign w:val="bottom"/>
          </w:tcPr>
          <w:p>
            <w:pPr>
              <w:spacing w:after="0"/>
              <w:rPr>
                <w:sz w:val="24"/>
                <w:szCs w:val="24"/>
                <w:color w:val="auto"/>
              </w:rPr>
            </w:pPr>
          </w:p>
        </w:tc>
        <w:tc>
          <w:tcPr>
            <w:tcW w:w="2720" w:type="dxa"/>
            <w:vAlign w:val="bottom"/>
          </w:tcPr>
          <w:p>
            <w:pPr>
              <w:jc w:val="center"/>
              <w:ind w:right="628"/>
              <w:spacing w:after="0"/>
              <w:rPr>
                <w:sz w:val="20"/>
                <w:szCs w:val="20"/>
                <w:color w:val="auto"/>
              </w:rPr>
            </w:pPr>
            <w:r>
              <w:rPr>
                <w:rFonts w:ascii="Arial" w:cs="Arial" w:eastAsia="Arial" w:hAnsi="Arial"/>
                <w:sz w:val="14"/>
                <w:szCs w:val="14"/>
                <w:b w:val="1"/>
                <w:bCs w:val="1"/>
                <w:color w:val="auto"/>
                <w:w w:val="95"/>
              </w:rPr>
              <w:t>Par, or Maturity Value</w:t>
            </w:r>
          </w:p>
        </w:tc>
        <w:tc>
          <w:tcPr>
            <w:tcW w:w="1760" w:type="dxa"/>
            <w:vAlign w:val="bottom"/>
          </w:tcPr>
          <w:p>
            <w:pPr>
              <w:jc w:val="center"/>
              <w:ind w:left="439"/>
              <w:spacing w:after="0"/>
              <w:rPr>
                <w:sz w:val="20"/>
                <w:szCs w:val="20"/>
                <w:color w:val="auto"/>
              </w:rPr>
            </w:pPr>
            <w:r>
              <w:rPr>
                <w:rFonts w:ascii="Arial" w:cs="Arial" w:eastAsia="Arial" w:hAnsi="Arial"/>
                <w:sz w:val="14"/>
                <w:szCs w:val="14"/>
                <w:b w:val="1"/>
                <w:bCs w:val="1"/>
                <w:color w:val="auto"/>
                <w:w w:val="96"/>
              </w:rPr>
              <w:t>Value</w:t>
            </w:r>
          </w:p>
        </w:tc>
      </w:tr>
      <w:tr>
        <w:trPr>
          <w:trHeight w:val="256"/>
        </w:trPr>
        <w:tc>
          <w:tcPr>
            <w:tcW w:w="400" w:type="dxa"/>
            <w:vAlign w:val="bottom"/>
            <w:tcBorders>
              <w:bottom w:val="single" w:sz="8" w:color="CCEEFF"/>
            </w:tcBorders>
            <w:shd w:val="clear" w:color="auto" w:fill="CCEEFF"/>
          </w:tcPr>
          <w:p>
            <w:pPr>
              <w:spacing w:after="0"/>
              <w:rPr>
                <w:sz w:val="22"/>
                <w:szCs w:val="22"/>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VISA INC-CLASS A SHRS</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42,476</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VISHAY INTERTECHNOLOGY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27,890</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VISTEON CORP/NEW</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30,562</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VONAGE HOLDINGS CORP</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11,300</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VOYA FINANCIAL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10,807</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WAL MART STORES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276,705</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WALGREENS BOOTS ALLIANCE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160,706</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WALT DISNEY CO</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87,408</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WASHINGTON FEDERAL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9,525</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WASTE MANAGEMENT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79,546</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WEBMD HEALTH CORP</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17,046</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WEIGHT WATCHERS INTL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6,086</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WELLCARE HEALTH PLANS,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30,444</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WELLS FARGO &amp; CO</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406,326</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WENDY S CO/THE</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12,362</w:t>
            </w:r>
          </w:p>
        </w:tc>
      </w:tr>
      <w:tr>
        <w:trPr>
          <w:trHeight w:val="224"/>
        </w:trPr>
        <w:tc>
          <w:tcPr>
            <w:tcW w:w="40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4320" w:type="dxa"/>
            <w:vAlign w:val="bottom"/>
          </w:tcPr>
          <w:p>
            <w:pPr>
              <w:ind w:left="100"/>
              <w:spacing w:after="0"/>
              <w:rPr>
                <w:sz w:val="20"/>
                <w:szCs w:val="20"/>
                <w:color w:val="auto"/>
              </w:rPr>
            </w:pPr>
            <w:r>
              <w:rPr>
                <w:rFonts w:ascii="Arial" w:cs="Arial" w:eastAsia="Arial" w:hAnsi="Arial"/>
                <w:sz w:val="16"/>
                <w:szCs w:val="16"/>
                <w:color w:val="auto"/>
              </w:rPr>
              <w:t>WESCO INTL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19"/>
                <w:szCs w:val="19"/>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6,554</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WESTAR ENERGY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14,434</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WESTERN DIGITAL CORP</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53,025</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WESTERN UNION CO/THE</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39,008</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WEYERHAEUSER CO</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70,703</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WGL HOLDINGS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15,949</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WHIRLPOOL CORP</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33,711</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WHITING PETE CORP NEW</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6,633</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WILEY JOHN &amp; SONS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9,952</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WILLIAMS COS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14,561</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WILLIAMS SONOMA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9,006</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WINDSTREAM HOLDINGS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58,232</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WISCONSIN ENERGY CORP COM</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16,666</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WPX ENERGY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37,646</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WYNDHAM WORLDWIDE CORP</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20,411</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WYNN RESORTS LTD</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51,620</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XCEL ENERGY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40,338</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XEROX CORP</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68,732</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XILINX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13,290</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YAHOO INC COM</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8,587</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YUM BRANDS INC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32,710</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ZIMMER HOLDINGS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17,013</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ZIONS BANCORP</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11,204</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ZYNGA INC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7,094</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ACCENTURE PLC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70,823</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ACE LIMITED</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44,114</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AMDOCS LIMITED COM</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22,581</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BUNGE LIMITED</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30,728</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CARNIVAL CORP</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19,764</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COVIDIEN PLC</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83,665</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ENDO INTERNATIONAL PLC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15,794</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FLEXTRONICS INTL LTD</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45,849</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FREESCALE SEMICONDUCTOR LTD</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16,450</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HERBALIFE LTD</w:t>
            </w:r>
          </w:p>
        </w:tc>
        <w:tc>
          <w:tcPr>
            <w:tcW w:w="2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12,441</w:t>
            </w:r>
          </w:p>
        </w:tc>
      </w:tr>
      <w:tr>
        <w:trPr>
          <w:trHeight w:val="224"/>
        </w:trPr>
        <w:tc>
          <w:tcPr>
            <w:tcW w:w="400" w:type="dxa"/>
            <w:vAlign w:val="bottom"/>
          </w:tcPr>
          <w:p>
            <w:pPr>
              <w:spacing w:after="0"/>
              <w:rPr>
                <w:sz w:val="19"/>
                <w:szCs w:val="19"/>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INGERSOLL-RAND PLC</w:t>
            </w:r>
          </w:p>
        </w:tc>
        <w:tc>
          <w:tcPr>
            <w:tcW w:w="2220" w:type="dxa"/>
            <w:vAlign w:val="bottom"/>
          </w:tcPr>
          <w:p>
            <w:pPr>
              <w:ind w:left="1020"/>
              <w:spacing w:after="0"/>
              <w:rPr>
                <w:sz w:val="20"/>
                <w:szCs w:val="20"/>
                <w:color w:val="auto"/>
              </w:rPr>
            </w:pPr>
            <w:r>
              <w:rPr>
                <w:rFonts w:ascii="Arial" w:cs="Arial" w:eastAsia="Arial" w:hAnsi="Arial"/>
                <w:sz w:val="16"/>
                <w:szCs w:val="16"/>
                <w:color w:val="auto"/>
              </w:rPr>
              <w:t>Common Stock</w:t>
            </w:r>
          </w:p>
        </w:tc>
        <w:tc>
          <w:tcPr>
            <w:tcW w:w="2720" w:type="dxa"/>
            <w:vAlign w:val="bottom"/>
          </w:tcPr>
          <w:p>
            <w:pPr>
              <w:spacing w:after="0"/>
              <w:rPr>
                <w:sz w:val="19"/>
                <w:szCs w:val="19"/>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42,915</w:t>
            </w:r>
          </w:p>
        </w:tc>
      </w:tr>
    </w:tbl>
    <w:p>
      <w:pPr>
        <w:sectPr>
          <w:pgSz w:w="11900" w:h="16905" w:orient="portrait"/>
          <w:cols w:equalWidth="0" w:num="1">
            <w:col w:w="11420"/>
          </w:cols>
          <w:pgMar w:left="240" w:top="301" w:right="239" w:bottom="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LYONDELLBASELL INDU-CL A</w:t>
            </w:r>
          </w:p>
        </w:tc>
        <w:tc>
          <w:tcPr>
            <w:tcW w:w="45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Common Stock</w:t>
            </w:r>
          </w:p>
        </w:tc>
        <w:tc>
          <w:tcPr>
            <w:tcW w:w="2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30,327</w:t>
            </w:r>
          </w:p>
        </w:tc>
      </w:tr>
      <w:tr>
        <w:trPr>
          <w:trHeight w:val="237"/>
        </w:trPr>
        <w:tc>
          <w:tcPr>
            <w:tcW w:w="4280" w:type="dxa"/>
            <w:vAlign w:val="bottom"/>
          </w:tcPr>
          <w:p>
            <w:pPr>
              <w:ind w:left="500"/>
              <w:spacing w:after="0"/>
              <w:rPr>
                <w:sz w:val="20"/>
                <w:szCs w:val="20"/>
                <w:color w:val="auto"/>
              </w:rPr>
            </w:pPr>
            <w:r>
              <w:rPr>
                <w:rFonts w:ascii="Arial" w:cs="Arial" w:eastAsia="Arial" w:hAnsi="Arial"/>
                <w:sz w:val="16"/>
                <w:szCs w:val="16"/>
                <w:color w:val="auto"/>
              </w:rPr>
              <w:t>MALLINCKRODT PLC</w:t>
            </w:r>
          </w:p>
        </w:tc>
        <w:tc>
          <w:tcPr>
            <w:tcW w:w="4540" w:type="dxa"/>
            <w:vAlign w:val="bottom"/>
          </w:tcPr>
          <w:p>
            <w:pPr>
              <w:ind w:left="1460"/>
              <w:spacing w:after="0"/>
              <w:rPr>
                <w:sz w:val="20"/>
                <w:szCs w:val="20"/>
                <w:color w:val="auto"/>
              </w:rPr>
            </w:pPr>
            <w:r>
              <w:rPr>
                <w:rFonts w:ascii="Arial" w:cs="Arial" w:eastAsia="Arial" w:hAnsi="Arial"/>
                <w:sz w:val="16"/>
                <w:szCs w:val="16"/>
                <w:color w:val="auto"/>
              </w:rPr>
              <w:t>Common Stock</w:t>
            </w:r>
          </w:p>
        </w:tc>
        <w:tc>
          <w:tcPr>
            <w:tcW w:w="2600" w:type="dxa"/>
            <w:vAlign w:val="bottom"/>
          </w:tcPr>
          <w:p>
            <w:pPr>
              <w:jc w:val="right"/>
              <w:ind w:right="19"/>
              <w:spacing w:after="0"/>
              <w:rPr>
                <w:sz w:val="20"/>
                <w:szCs w:val="20"/>
                <w:color w:val="auto"/>
              </w:rPr>
            </w:pPr>
            <w:r>
              <w:rPr>
                <w:rFonts w:ascii="Arial" w:cs="Arial" w:eastAsia="Arial" w:hAnsi="Arial"/>
                <w:sz w:val="16"/>
                <w:szCs w:val="16"/>
                <w:color w:val="auto"/>
              </w:rPr>
              <w:t>27,431</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83" w:right="239" w:bottom="1440" w:gutter="0" w:footer="0" w:header="0"/>
        </w:sectPr>
      </w:pPr>
    </w:p>
    <w:bookmarkStart w:id="47" w:name="page48"/>
    <w:bookmarkEnd w:id="47"/>
    <w:p>
      <w:pPr>
        <w:ind w:left="40"/>
        <w:spacing w:after="0"/>
        <w:rPr>
          <w:sz w:val="20"/>
          <w:szCs w:val="20"/>
          <w:color w:val="auto"/>
        </w:rPr>
      </w:pPr>
      <w:r>
        <w:rPr>
          <w:rFonts w:ascii="Arial" w:cs="Arial" w:eastAsia="Arial" w:hAnsi="Arial"/>
          <w:sz w:val="16"/>
          <w:szCs w:val="16"/>
          <w:b w:val="1"/>
          <w:bCs w:val="1"/>
          <w:color w:val="auto"/>
        </w:rPr>
        <w:t>WESCO Distribution, Inc.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Retirement Savings Plan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Schedule H (Form 5500), line 4(i) - Schedule of Assets (Held at End of Year)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EIN 25-1723345, Plan Number 001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2014</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 w:type="dxa"/>
            <w:vAlign w:val="bottom"/>
          </w:tcPr>
          <w:p>
            <w:pPr>
              <w:jc w:val="center"/>
              <w:ind w:left="3"/>
              <w:spacing w:after="0"/>
              <w:rPr>
                <w:sz w:val="20"/>
                <w:szCs w:val="20"/>
                <w:color w:val="auto"/>
              </w:rPr>
            </w:pPr>
            <w:r>
              <w:rPr>
                <w:rFonts w:ascii="Arial" w:cs="Arial" w:eastAsia="Arial" w:hAnsi="Arial"/>
                <w:sz w:val="14"/>
                <w:szCs w:val="14"/>
                <w:b w:val="1"/>
                <w:bCs w:val="1"/>
                <w:color w:val="auto"/>
                <w:w w:val="93"/>
              </w:rPr>
              <w:t>(a)</w:t>
            </w:r>
          </w:p>
        </w:tc>
        <w:tc>
          <w:tcPr>
            <w:tcW w:w="4320" w:type="dxa"/>
            <w:vAlign w:val="bottom"/>
          </w:tcPr>
          <w:p>
            <w:pPr>
              <w:jc w:val="center"/>
              <w:ind w:left="981"/>
              <w:spacing w:after="0"/>
              <w:rPr>
                <w:sz w:val="20"/>
                <w:szCs w:val="20"/>
                <w:color w:val="auto"/>
              </w:rPr>
            </w:pPr>
            <w:r>
              <w:rPr>
                <w:rFonts w:ascii="Arial" w:cs="Arial" w:eastAsia="Arial" w:hAnsi="Arial"/>
                <w:sz w:val="14"/>
                <w:szCs w:val="14"/>
                <w:b w:val="1"/>
                <w:bCs w:val="1"/>
                <w:color w:val="auto"/>
              </w:rPr>
              <w:t>(b)</w:t>
            </w:r>
          </w:p>
        </w:tc>
        <w:tc>
          <w:tcPr>
            <w:tcW w:w="5680" w:type="dxa"/>
            <w:vAlign w:val="bottom"/>
            <w:gridSpan w:val="2"/>
          </w:tcPr>
          <w:p>
            <w:pPr>
              <w:jc w:val="center"/>
              <w:ind w:left="682"/>
              <w:spacing w:after="0"/>
              <w:rPr>
                <w:sz w:val="20"/>
                <w:szCs w:val="20"/>
                <w:color w:val="auto"/>
              </w:rPr>
            </w:pPr>
            <w:r>
              <w:rPr>
                <w:rFonts w:ascii="Arial" w:cs="Arial" w:eastAsia="Arial" w:hAnsi="Arial"/>
                <w:sz w:val="14"/>
                <w:szCs w:val="14"/>
                <w:b w:val="1"/>
                <w:bCs w:val="1"/>
                <w:color w:val="auto"/>
                <w:w w:val="93"/>
              </w:rPr>
              <w:t>(c)</w:t>
            </w:r>
          </w:p>
        </w:tc>
        <w:tc>
          <w:tcPr>
            <w:tcW w:w="1020" w:type="dxa"/>
            <w:vAlign w:val="bottom"/>
          </w:tcPr>
          <w:p>
            <w:pPr>
              <w:jc w:val="center"/>
              <w:ind w:right="141"/>
              <w:spacing w:after="0"/>
              <w:rPr>
                <w:sz w:val="20"/>
                <w:szCs w:val="20"/>
                <w:color w:val="auto"/>
              </w:rPr>
            </w:pPr>
            <w:r>
              <w:rPr>
                <w:rFonts w:ascii="Arial" w:cs="Arial" w:eastAsia="Arial" w:hAnsi="Arial"/>
                <w:sz w:val="14"/>
                <w:szCs w:val="14"/>
                <w:b w:val="1"/>
                <w:bCs w:val="1"/>
                <w:color w:val="auto"/>
                <w:w w:val="89"/>
              </w:rPr>
              <w:t>(d)</w:t>
            </w:r>
          </w:p>
        </w:tc>
      </w:tr>
      <w:tr>
        <w:trPr>
          <w:trHeight w:val="270"/>
        </w:trPr>
        <w:tc>
          <w:tcPr>
            <w:tcW w:w="40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5680" w:type="dxa"/>
            <w:vAlign w:val="bottom"/>
            <w:gridSpan w:val="2"/>
          </w:tcPr>
          <w:p>
            <w:pPr>
              <w:jc w:val="center"/>
              <w:ind w:left="702"/>
              <w:spacing w:after="0"/>
              <w:rPr>
                <w:sz w:val="20"/>
                <w:szCs w:val="20"/>
                <w:color w:val="auto"/>
              </w:rPr>
            </w:pPr>
            <w:r>
              <w:rPr>
                <w:rFonts w:ascii="Arial" w:cs="Arial" w:eastAsia="Arial" w:hAnsi="Arial"/>
                <w:sz w:val="14"/>
                <w:szCs w:val="14"/>
                <w:b w:val="1"/>
                <w:bCs w:val="1"/>
                <w:color w:val="auto"/>
                <w:w w:val="91"/>
              </w:rPr>
              <w:t>Description of Investment</w:t>
            </w:r>
          </w:p>
        </w:tc>
        <w:tc>
          <w:tcPr>
            <w:tcW w:w="102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320" w:type="dxa"/>
            <w:vAlign w:val="bottom"/>
          </w:tcPr>
          <w:p>
            <w:pPr>
              <w:jc w:val="center"/>
              <w:ind w:left="981"/>
              <w:spacing w:after="0"/>
              <w:rPr>
                <w:sz w:val="20"/>
                <w:szCs w:val="20"/>
                <w:color w:val="auto"/>
              </w:rPr>
            </w:pPr>
            <w:r>
              <w:rPr>
                <w:rFonts w:ascii="Arial" w:cs="Arial" w:eastAsia="Arial" w:hAnsi="Arial"/>
                <w:sz w:val="14"/>
                <w:szCs w:val="14"/>
                <w:b w:val="1"/>
                <w:bCs w:val="1"/>
                <w:color w:val="auto"/>
                <w:w w:val="92"/>
              </w:rPr>
              <w:t>Identity of Issue,</w:t>
            </w:r>
          </w:p>
        </w:tc>
        <w:tc>
          <w:tcPr>
            <w:tcW w:w="5680" w:type="dxa"/>
            <w:vAlign w:val="bottom"/>
            <w:gridSpan w:val="2"/>
          </w:tcPr>
          <w:p>
            <w:pPr>
              <w:jc w:val="center"/>
              <w:ind w:left="702"/>
              <w:spacing w:after="0"/>
              <w:rPr>
                <w:sz w:val="20"/>
                <w:szCs w:val="20"/>
                <w:color w:val="auto"/>
              </w:rPr>
            </w:pPr>
            <w:r>
              <w:rPr>
                <w:rFonts w:ascii="Arial" w:cs="Arial" w:eastAsia="Arial" w:hAnsi="Arial"/>
                <w:sz w:val="14"/>
                <w:szCs w:val="14"/>
                <w:b w:val="1"/>
                <w:bCs w:val="1"/>
                <w:color w:val="auto"/>
                <w:w w:val="97"/>
              </w:rPr>
              <w:t>Including Maturity Date,</w:t>
            </w:r>
          </w:p>
        </w:tc>
        <w:tc>
          <w:tcPr>
            <w:tcW w:w="102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320" w:type="dxa"/>
            <w:vAlign w:val="bottom"/>
          </w:tcPr>
          <w:p>
            <w:pPr>
              <w:jc w:val="center"/>
              <w:ind w:left="1001"/>
              <w:spacing w:after="0"/>
              <w:rPr>
                <w:sz w:val="20"/>
                <w:szCs w:val="20"/>
                <w:color w:val="auto"/>
              </w:rPr>
            </w:pPr>
            <w:r>
              <w:rPr>
                <w:rFonts w:ascii="Arial" w:cs="Arial" w:eastAsia="Arial" w:hAnsi="Arial"/>
                <w:sz w:val="14"/>
                <w:szCs w:val="14"/>
                <w:b w:val="1"/>
                <w:bCs w:val="1"/>
                <w:color w:val="auto"/>
                <w:w w:val="92"/>
              </w:rPr>
              <w:t>Borrower, Lessor or</w:t>
            </w:r>
          </w:p>
        </w:tc>
        <w:tc>
          <w:tcPr>
            <w:tcW w:w="5680" w:type="dxa"/>
            <w:vAlign w:val="bottom"/>
            <w:gridSpan w:val="2"/>
          </w:tcPr>
          <w:p>
            <w:pPr>
              <w:jc w:val="center"/>
              <w:ind w:left="682"/>
              <w:spacing w:after="0"/>
              <w:rPr>
                <w:sz w:val="20"/>
                <w:szCs w:val="20"/>
                <w:color w:val="auto"/>
              </w:rPr>
            </w:pPr>
            <w:r>
              <w:rPr>
                <w:rFonts w:ascii="Arial" w:cs="Arial" w:eastAsia="Arial" w:hAnsi="Arial"/>
                <w:sz w:val="14"/>
                <w:szCs w:val="14"/>
                <w:b w:val="1"/>
                <w:bCs w:val="1"/>
                <w:color w:val="auto"/>
                <w:w w:val="94"/>
              </w:rPr>
              <w:t>Rate of Interest, Collateral,</w:t>
            </w:r>
          </w:p>
        </w:tc>
        <w:tc>
          <w:tcPr>
            <w:tcW w:w="1020" w:type="dxa"/>
            <w:vAlign w:val="bottom"/>
          </w:tcPr>
          <w:p>
            <w:pPr>
              <w:jc w:val="center"/>
              <w:ind w:right="161"/>
              <w:spacing w:after="0"/>
              <w:rPr>
                <w:sz w:val="20"/>
                <w:szCs w:val="20"/>
                <w:color w:val="auto"/>
              </w:rPr>
            </w:pPr>
            <w:r>
              <w:rPr>
                <w:rFonts w:ascii="Arial" w:cs="Arial" w:eastAsia="Arial" w:hAnsi="Arial"/>
                <w:sz w:val="14"/>
                <w:szCs w:val="14"/>
                <w:b w:val="1"/>
                <w:bCs w:val="1"/>
                <w:color w:val="auto"/>
                <w:w w:val="98"/>
              </w:rPr>
              <w:t>Current</w:t>
            </w:r>
          </w:p>
        </w:tc>
      </w:tr>
      <w:tr>
        <w:trPr>
          <w:trHeight w:val="276"/>
        </w:trPr>
        <w:tc>
          <w:tcPr>
            <w:tcW w:w="400" w:type="dxa"/>
            <w:vAlign w:val="bottom"/>
          </w:tcPr>
          <w:p>
            <w:pPr>
              <w:spacing w:after="0"/>
              <w:rPr>
                <w:sz w:val="24"/>
                <w:szCs w:val="24"/>
                <w:color w:val="auto"/>
              </w:rPr>
            </w:pPr>
          </w:p>
        </w:tc>
        <w:tc>
          <w:tcPr>
            <w:tcW w:w="4320" w:type="dxa"/>
            <w:vAlign w:val="bottom"/>
          </w:tcPr>
          <w:p>
            <w:pPr>
              <w:jc w:val="center"/>
              <w:ind w:left="1001"/>
              <w:spacing w:after="0"/>
              <w:rPr>
                <w:sz w:val="20"/>
                <w:szCs w:val="20"/>
                <w:color w:val="auto"/>
              </w:rPr>
            </w:pPr>
            <w:r>
              <w:rPr>
                <w:rFonts w:ascii="Arial" w:cs="Arial" w:eastAsia="Arial" w:hAnsi="Arial"/>
                <w:sz w:val="14"/>
                <w:szCs w:val="14"/>
                <w:b w:val="1"/>
                <w:bCs w:val="1"/>
                <w:color w:val="auto"/>
                <w:w w:val="98"/>
              </w:rPr>
              <w:t>Similar Party</w:t>
            </w:r>
          </w:p>
        </w:tc>
        <w:tc>
          <w:tcPr>
            <w:tcW w:w="5680" w:type="dxa"/>
            <w:vAlign w:val="bottom"/>
            <w:gridSpan w:val="2"/>
          </w:tcPr>
          <w:p>
            <w:pPr>
              <w:jc w:val="center"/>
              <w:ind w:left="702"/>
              <w:spacing w:after="0"/>
              <w:rPr>
                <w:sz w:val="20"/>
                <w:szCs w:val="20"/>
                <w:color w:val="auto"/>
              </w:rPr>
            </w:pPr>
            <w:r>
              <w:rPr>
                <w:rFonts w:ascii="Arial" w:cs="Arial" w:eastAsia="Arial" w:hAnsi="Arial"/>
                <w:sz w:val="14"/>
                <w:szCs w:val="14"/>
                <w:b w:val="1"/>
                <w:bCs w:val="1"/>
                <w:color w:val="auto"/>
                <w:w w:val="95"/>
              </w:rPr>
              <w:t>Par, or Maturity Value</w:t>
            </w:r>
          </w:p>
        </w:tc>
        <w:tc>
          <w:tcPr>
            <w:tcW w:w="1020" w:type="dxa"/>
            <w:vAlign w:val="bottom"/>
          </w:tcPr>
          <w:p>
            <w:pPr>
              <w:jc w:val="center"/>
              <w:ind w:right="141"/>
              <w:spacing w:after="0"/>
              <w:rPr>
                <w:sz w:val="20"/>
                <w:szCs w:val="20"/>
                <w:color w:val="auto"/>
              </w:rPr>
            </w:pPr>
            <w:r>
              <w:rPr>
                <w:rFonts w:ascii="Arial" w:cs="Arial" w:eastAsia="Arial" w:hAnsi="Arial"/>
                <w:sz w:val="14"/>
                <w:szCs w:val="14"/>
                <w:b w:val="1"/>
                <w:bCs w:val="1"/>
                <w:color w:val="auto"/>
                <w:w w:val="96"/>
              </w:rPr>
              <w:t>Value</w:t>
            </w:r>
          </w:p>
        </w:tc>
      </w:tr>
      <w:tr>
        <w:trPr>
          <w:trHeight w:val="256"/>
        </w:trPr>
        <w:tc>
          <w:tcPr>
            <w:tcW w:w="400" w:type="dxa"/>
            <w:vAlign w:val="bottom"/>
            <w:tcBorders>
              <w:bottom w:val="single" w:sz="8" w:color="CCEEFF"/>
            </w:tcBorders>
            <w:shd w:val="clear" w:color="auto" w:fill="CCEEFF"/>
          </w:tcPr>
          <w:p>
            <w:pPr>
              <w:spacing w:after="0"/>
              <w:rPr>
                <w:sz w:val="22"/>
                <w:szCs w:val="22"/>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MCDERMOTT INTL INC</w:t>
            </w:r>
          </w:p>
        </w:tc>
        <w:tc>
          <w:tcPr>
            <w:tcW w:w="568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9,117</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ROYAL CARRIBEAN CRUISE</w:t>
            </w:r>
          </w:p>
        </w:tc>
        <w:tc>
          <w:tcPr>
            <w:tcW w:w="5680" w:type="dxa"/>
            <w:vAlign w:val="bottom"/>
            <w:gridSpan w:val="2"/>
          </w:tcPr>
          <w:p>
            <w:pPr>
              <w:ind w:left="1020"/>
              <w:spacing w:after="0"/>
              <w:rPr>
                <w:sz w:val="20"/>
                <w:szCs w:val="20"/>
                <w:color w:val="auto"/>
              </w:rPr>
            </w:pPr>
            <w:r>
              <w:rPr>
                <w:rFonts w:ascii="Arial" w:cs="Arial" w:eastAsia="Arial" w:hAnsi="Arial"/>
                <w:sz w:val="16"/>
                <w:szCs w:val="16"/>
                <w:color w:val="auto"/>
              </w:rPr>
              <w:t>Common Stock</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21,679</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SCHLUMBERGER LTD</w:t>
            </w:r>
          </w:p>
        </w:tc>
        <w:tc>
          <w:tcPr>
            <w:tcW w:w="568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141,012</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THOMPSON CREEK METALS CO INC</w:t>
            </w:r>
          </w:p>
        </w:tc>
        <w:tc>
          <w:tcPr>
            <w:tcW w:w="5680" w:type="dxa"/>
            <w:vAlign w:val="bottom"/>
            <w:gridSpan w:val="2"/>
          </w:tcPr>
          <w:p>
            <w:pPr>
              <w:ind w:left="1020"/>
              <w:spacing w:after="0"/>
              <w:rPr>
                <w:sz w:val="20"/>
                <w:szCs w:val="20"/>
                <w:color w:val="auto"/>
              </w:rPr>
            </w:pPr>
            <w:r>
              <w:rPr>
                <w:rFonts w:ascii="Arial" w:cs="Arial" w:eastAsia="Arial" w:hAnsi="Arial"/>
                <w:sz w:val="16"/>
                <w:szCs w:val="16"/>
                <w:color w:val="auto"/>
              </w:rPr>
              <w:t>Common Stock</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4,878</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TYCO INTERNATIONAL PLC</w:t>
            </w:r>
          </w:p>
        </w:tc>
        <w:tc>
          <w:tcPr>
            <w:tcW w:w="568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43,992</w:t>
            </w:r>
          </w:p>
        </w:tc>
      </w:tr>
      <w:tr>
        <w:trPr>
          <w:trHeight w:val="237"/>
        </w:trPr>
        <w:tc>
          <w:tcPr>
            <w:tcW w:w="4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6"/>
                <w:szCs w:val="16"/>
                <w:color w:val="auto"/>
              </w:rPr>
              <w:t>ULTRA PETROLEUM CORP</w:t>
            </w:r>
          </w:p>
        </w:tc>
        <w:tc>
          <w:tcPr>
            <w:tcW w:w="5680" w:type="dxa"/>
            <w:vAlign w:val="bottom"/>
            <w:gridSpan w:val="2"/>
          </w:tcPr>
          <w:p>
            <w:pPr>
              <w:ind w:left="1020"/>
              <w:spacing w:after="0"/>
              <w:rPr>
                <w:sz w:val="20"/>
                <w:szCs w:val="20"/>
                <w:color w:val="auto"/>
              </w:rPr>
            </w:pPr>
            <w:r>
              <w:rPr>
                <w:rFonts w:ascii="Arial" w:cs="Arial" w:eastAsia="Arial" w:hAnsi="Arial"/>
                <w:sz w:val="16"/>
                <w:szCs w:val="16"/>
                <w:color w:val="auto"/>
              </w:rPr>
              <w:t>Common Stock</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2,764</w:t>
            </w: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00" w:type="dxa"/>
            <w:vAlign w:val="bottom"/>
            <w:tcBorders>
              <w:bottom w:val="single" w:sz="8" w:color="CCEEFF"/>
            </w:tcBorders>
            <w:shd w:val="clear" w:color="auto" w:fill="CCEEFF"/>
          </w:tcPr>
          <w:p>
            <w:pPr>
              <w:spacing w:after="0"/>
              <w:rPr>
                <w:sz w:val="23"/>
                <w:szCs w:val="23"/>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XL GROUP PLC</w:t>
            </w:r>
          </w:p>
        </w:tc>
        <w:tc>
          <w:tcPr>
            <w:tcW w:w="568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6"/>
                <w:szCs w:val="16"/>
                <w:color w:val="auto"/>
              </w:rPr>
              <w:t>Common Stock</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20,656</w:t>
            </w:r>
          </w:p>
        </w:tc>
      </w:tr>
      <w:tr>
        <w:trPr>
          <w:trHeight w:val="231"/>
        </w:trPr>
        <w:tc>
          <w:tcPr>
            <w:tcW w:w="400" w:type="dxa"/>
            <w:vAlign w:val="bottom"/>
          </w:tcPr>
          <w:p>
            <w:pPr>
              <w:spacing w:after="0"/>
              <w:rPr>
                <w:sz w:val="20"/>
                <w:szCs w:val="20"/>
                <w:color w:val="auto"/>
              </w:rPr>
            </w:pPr>
          </w:p>
        </w:tc>
        <w:tc>
          <w:tcPr>
            <w:tcW w:w="4320" w:type="dxa"/>
            <w:vAlign w:val="bottom"/>
          </w:tcPr>
          <w:p>
            <w:pPr>
              <w:ind w:left="220"/>
              <w:spacing w:after="0"/>
              <w:rPr>
                <w:sz w:val="20"/>
                <w:szCs w:val="20"/>
                <w:color w:val="auto"/>
              </w:rPr>
            </w:pPr>
            <w:r>
              <w:rPr>
                <w:rFonts w:ascii="Arial" w:cs="Arial" w:eastAsia="Arial" w:hAnsi="Arial"/>
                <w:sz w:val="16"/>
                <w:szCs w:val="16"/>
                <w:color w:val="auto"/>
              </w:rPr>
              <w:t>RAFI Enhanced Large Company</w:t>
            </w:r>
          </w:p>
        </w:tc>
        <w:tc>
          <w:tcPr>
            <w:tcW w:w="54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33"/>
        </w:trPr>
        <w:tc>
          <w:tcPr>
            <w:tcW w:w="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Fund Total</w:t>
            </w:r>
          </w:p>
        </w:tc>
        <w:tc>
          <w:tcPr>
            <w:tcW w:w="5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35,278,719</w:t>
            </w:r>
          </w:p>
        </w:tc>
      </w:tr>
      <w:tr>
        <w:trPr>
          <w:trHeight w:val="20"/>
        </w:trPr>
        <w:tc>
          <w:tcPr>
            <w:tcW w:w="4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7"/>
        </w:trPr>
        <w:tc>
          <w:tcPr>
            <w:tcW w:w="4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Participant Loans</w:t>
            </w:r>
          </w:p>
        </w:tc>
        <w:tc>
          <w:tcPr>
            <w:tcW w:w="568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6"/>
                <w:szCs w:val="16"/>
                <w:color w:val="auto"/>
              </w:rPr>
              <w:t>4.25% - 9.25% with maturity dates through 2027</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13,716,227</w:t>
            </w:r>
          </w:p>
        </w:tc>
      </w:tr>
      <w:tr>
        <w:trPr>
          <w:trHeight w:val="244"/>
        </w:trPr>
        <w:tc>
          <w:tcPr>
            <w:tcW w:w="400" w:type="dxa"/>
            <w:vAlign w:val="bottom"/>
          </w:tcPr>
          <w:p>
            <w:pPr>
              <w:spacing w:after="0"/>
              <w:rPr>
                <w:sz w:val="21"/>
                <w:szCs w:val="21"/>
                <w:color w:val="auto"/>
              </w:rPr>
            </w:pPr>
          </w:p>
        </w:tc>
        <w:tc>
          <w:tcPr>
            <w:tcW w:w="4320" w:type="dxa"/>
            <w:vAlign w:val="bottom"/>
          </w:tcPr>
          <w:p>
            <w:pPr>
              <w:ind w:left="220"/>
              <w:spacing w:after="0"/>
              <w:rPr>
                <w:sz w:val="20"/>
                <w:szCs w:val="20"/>
                <w:color w:val="auto"/>
              </w:rPr>
            </w:pPr>
            <w:r>
              <w:rPr>
                <w:rFonts w:ascii="Arial" w:cs="Arial" w:eastAsia="Arial" w:hAnsi="Arial"/>
                <w:sz w:val="16"/>
                <w:szCs w:val="16"/>
                <w:color w:val="auto"/>
              </w:rPr>
              <w:t>Participant Loans Total</w:t>
            </w:r>
          </w:p>
        </w:tc>
        <w:tc>
          <w:tcPr>
            <w:tcW w:w="546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13,716,227</w:t>
            </w:r>
          </w:p>
        </w:tc>
      </w:tr>
      <w:tr>
        <w:trPr>
          <w:trHeight w:val="20"/>
        </w:trPr>
        <w:tc>
          <w:tcPr>
            <w:tcW w:w="4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00" w:type="dxa"/>
            <w:vAlign w:val="bottom"/>
            <w:tcBorders>
              <w:bottom w:val="single" w:sz="8" w:color="CCEEFF"/>
            </w:tcBorders>
          </w:tcPr>
          <w:p>
            <w:pPr>
              <w:spacing w:after="0"/>
              <w:rPr>
                <w:sz w:val="20"/>
                <w:szCs w:val="20"/>
                <w:color w:val="auto"/>
              </w:rPr>
            </w:pPr>
          </w:p>
        </w:tc>
        <w:tc>
          <w:tcPr>
            <w:tcW w:w="4320" w:type="dxa"/>
            <w:vAlign w:val="bottom"/>
            <w:tcBorders>
              <w:bottom w:val="single" w:sz="8" w:color="CCEEFF"/>
            </w:tcBorders>
          </w:tcPr>
          <w:p>
            <w:pPr>
              <w:spacing w:after="0"/>
              <w:rPr>
                <w:sz w:val="20"/>
                <w:szCs w:val="20"/>
                <w:color w:val="auto"/>
              </w:rPr>
            </w:pPr>
          </w:p>
        </w:tc>
        <w:tc>
          <w:tcPr>
            <w:tcW w:w="54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44"/>
        </w:trPr>
        <w:tc>
          <w:tcPr>
            <w:tcW w:w="400" w:type="dxa"/>
            <w:vAlign w:val="bottom"/>
            <w:shd w:val="clear" w:color="auto" w:fill="CCEEFF"/>
          </w:tcPr>
          <w:p>
            <w:pPr>
              <w:spacing w:after="0"/>
              <w:rPr>
                <w:sz w:val="21"/>
                <w:szCs w:val="21"/>
                <w:color w:val="auto"/>
              </w:rPr>
            </w:pPr>
          </w:p>
        </w:tc>
        <w:tc>
          <w:tcPr>
            <w:tcW w:w="4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Total Investments at Fair Value</w:t>
            </w:r>
          </w:p>
        </w:tc>
        <w:tc>
          <w:tcPr>
            <w:tcW w:w="5680" w:type="dxa"/>
            <w:vAlign w:val="bottom"/>
            <w:gridSpan w:val="2"/>
            <w:shd w:val="clear" w:color="auto" w:fill="CCEEFF"/>
          </w:tcPr>
          <w:p>
            <w:pPr>
              <w:ind w:left="54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598,905,483</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ind w:left="520" w:hanging="296"/>
        <w:spacing w:after="0"/>
        <w:tabs>
          <w:tab w:leader="none" w:pos="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Denotes a party-in-interest to the Plan.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01" w:right="239" w:bottom="1440" w:gutter="0" w:footer="0" w:header="0"/>
        </w:sectPr>
      </w:pPr>
    </w:p>
    <w:bookmarkStart w:id="48" w:name="page49"/>
    <w:bookmarkEnd w:id="48"/>
    <w:p>
      <w:pPr>
        <w:ind w:left="20"/>
        <w:spacing w:after="0"/>
        <w:rPr>
          <w:sz w:val="20"/>
          <w:szCs w:val="20"/>
          <w:color w:val="auto"/>
        </w:rPr>
      </w:pPr>
      <w:r>
        <w:rPr>
          <w:rFonts w:ascii="Arial" w:cs="Arial" w:eastAsia="Arial" w:hAnsi="Arial"/>
          <w:sz w:val="16"/>
          <w:szCs w:val="16"/>
          <w:b w:val="1"/>
          <w:bCs w:val="1"/>
          <w:color w:val="auto"/>
        </w:rPr>
        <w:t>WESCO Distribution, Inc.</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Retirement Savings Plan</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Schedule H (Form 5500), line 4(i) - Schedule of Assets (Held at End of Year)</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EIN 25-1723345, Plan Number 001</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2013</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4240" w:type="dxa"/>
            <w:vAlign w:val="bottom"/>
          </w:tcPr>
          <w:p>
            <w:pPr>
              <w:jc w:val="center"/>
              <w:ind w:left="900"/>
              <w:spacing w:after="0"/>
              <w:rPr>
                <w:sz w:val="20"/>
                <w:szCs w:val="20"/>
                <w:color w:val="auto"/>
              </w:rPr>
            </w:pPr>
            <w:r>
              <w:rPr>
                <w:rFonts w:ascii="Arial" w:cs="Arial" w:eastAsia="Arial" w:hAnsi="Arial"/>
                <w:sz w:val="14"/>
                <w:szCs w:val="14"/>
                <w:b w:val="1"/>
                <w:bCs w:val="1"/>
                <w:color w:val="auto"/>
              </w:rPr>
              <w:t>(b)</w:t>
            </w:r>
          </w:p>
        </w:tc>
        <w:tc>
          <w:tcPr>
            <w:tcW w:w="5420" w:type="dxa"/>
            <w:vAlign w:val="bottom"/>
          </w:tcPr>
          <w:p>
            <w:pPr>
              <w:jc w:val="center"/>
              <w:ind w:left="900"/>
              <w:spacing w:after="0"/>
              <w:rPr>
                <w:sz w:val="20"/>
                <w:szCs w:val="20"/>
                <w:color w:val="auto"/>
              </w:rPr>
            </w:pPr>
            <w:r>
              <w:rPr>
                <w:rFonts w:ascii="Arial" w:cs="Arial" w:eastAsia="Arial" w:hAnsi="Arial"/>
                <w:sz w:val="14"/>
                <w:szCs w:val="14"/>
                <w:b w:val="1"/>
                <w:bCs w:val="1"/>
                <w:color w:val="auto"/>
                <w:w w:val="93"/>
              </w:rPr>
              <w:t>(c)</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(d)</w:t>
            </w:r>
          </w:p>
        </w:tc>
      </w:tr>
      <w:tr>
        <w:trPr>
          <w:trHeight w:val="270"/>
        </w:trPr>
        <w:tc>
          <w:tcPr>
            <w:tcW w:w="46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5420" w:type="dxa"/>
            <w:vAlign w:val="bottom"/>
          </w:tcPr>
          <w:p>
            <w:pPr>
              <w:jc w:val="center"/>
              <w:ind w:left="900"/>
              <w:spacing w:after="0"/>
              <w:rPr>
                <w:sz w:val="20"/>
                <w:szCs w:val="20"/>
                <w:color w:val="auto"/>
              </w:rPr>
            </w:pPr>
            <w:r>
              <w:rPr>
                <w:rFonts w:ascii="Arial" w:cs="Arial" w:eastAsia="Arial" w:hAnsi="Arial"/>
                <w:sz w:val="14"/>
                <w:szCs w:val="14"/>
                <w:b w:val="1"/>
                <w:bCs w:val="1"/>
                <w:color w:val="auto"/>
                <w:w w:val="93"/>
              </w:rPr>
              <w:t>Description of Investment</w:t>
            </w:r>
          </w:p>
        </w:tc>
        <w:tc>
          <w:tcPr>
            <w:tcW w:w="1240" w:type="dxa"/>
            <w:vAlign w:val="bottom"/>
          </w:tcPr>
          <w:p>
            <w:pPr>
              <w:spacing w:after="0"/>
              <w:rPr>
                <w:sz w:val="23"/>
                <w:szCs w:val="23"/>
                <w:color w:val="auto"/>
              </w:rPr>
            </w:pPr>
          </w:p>
        </w:tc>
      </w:tr>
      <w:tr>
        <w:trPr>
          <w:trHeight w:val="270"/>
        </w:trPr>
        <w:tc>
          <w:tcPr>
            <w:tcW w:w="460" w:type="dxa"/>
            <w:vAlign w:val="bottom"/>
          </w:tcPr>
          <w:p>
            <w:pPr>
              <w:spacing w:after="0"/>
              <w:rPr>
                <w:sz w:val="23"/>
                <w:szCs w:val="23"/>
                <w:color w:val="auto"/>
              </w:rPr>
            </w:pPr>
          </w:p>
        </w:tc>
        <w:tc>
          <w:tcPr>
            <w:tcW w:w="4240" w:type="dxa"/>
            <w:vAlign w:val="bottom"/>
          </w:tcPr>
          <w:p>
            <w:pPr>
              <w:jc w:val="center"/>
              <w:ind w:left="900"/>
              <w:spacing w:after="0"/>
              <w:rPr>
                <w:sz w:val="20"/>
                <w:szCs w:val="20"/>
                <w:color w:val="auto"/>
              </w:rPr>
            </w:pPr>
            <w:r>
              <w:rPr>
                <w:rFonts w:ascii="Arial" w:cs="Arial" w:eastAsia="Arial" w:hAnsi="Arial"/>
                <w:sz w:val="14"/>
                <w:szCs w:val="14"/>
                <w:b w:val="1"/>
                <w:bCs w:val="1"/>
                <w:color w:val="auto"/>
                <w:w w:val="92"/>
              </w:rPr>
              <w:t>Identity of Issue,</w:t>
            </w:r>
          </w:p>
        </w:tc>
        <w:tc>
          <w:tcPr>
            <w:tcW w:w="5420" w:type="dxa"/>
            <w:vAlign w:val="bottom"/>
          </w:tcPr>
          <w:p>
            <w:pPr>
              <w:jc w:val="center"/>
              <w:ind w:left="880"/>
              <w:spacing w:after="0"/>
              <w:rPr>
                <w:sz w:val="20"/>
                <w:szCs w:val="20"/>
                <w:color w:val="auto"/>
              </w:rPr>
            </w:pPr>
            <w:r>
              <w:rPr>
                <w:rFonts w:ascii="Arial" w:cs="Arial" w:eastAsia="Arial" w:hAnsi="Arial"/>
                <w:sz w:val="14"/>
                <w:szCs w:val="14"/>
                <w:b w:val="1"/>
                <w:bCs w:val="1"/>
                <w:color w:val="auto"/>
                <w:w w:val="97"/>
              </w:rPr>
              <w:t>Including Maturity Date,</w:t>
            </w:r>
          </w:p>
        </w:tc>
        <w:tc>
          <w:tcPr>
            <w:tcW w:w="1240" w:type="dxa"/>
            <w:vAlign w:val="bottom"/>
          </w:tcPr>
          <w:p>
            <w:pPr>
              <w:spacing w:after="0"/>
              <w:rPr>
                <w:sz w:val="23"/>
                <w:szCs w:val="23"/>
                <w:color w:val="auto"/>
              </w:rPr>
            </w:pPr>
          </w:p>
        </w:tc>
      </w:tr>
      <w:tr>
        <w:trPr>
          <w:trHeight w:val="270"/>
        </w:trPr>
        <w:tc>
          <w:tcPr>
            <w:tcW w:w="460" w:type="dxa"/>
            <w:vAlign w:val="bottom"/>
          </w:tcPr>
          <w:p>
            <w:pPr>
              <w:spacing w:after="0"/>
              <w:rPr>
                <w:sz w:val="23"/>
                <w:szCs w:val="23"/>
                <w:color w:val="auto"/>
              </w:rPr>
            </w:pPr>
          </w:p>
        </w:tc>
        <w:tc>
          <w:tcPr>
            <w:tcW w:w="4240" w:type="dxa"/>
            <w:vAlign w:val="bottom"/>
          </w:tcPr>
          <w:p>
            <w:pPr>
              <w:jc w:val="center"/>
              <w:ind w:left="900"/>
              <w:spacing w:after="0"/>
              <w:rPr>
                <w:sz w:val="20"/>
                <w:szCs w:val="20"/>
                <w:color w:val="auto"/>
              </w:rPr>
            </w:pPr>
            <w:r>
              <w:rPr>
                <w:rFonts w:ascii="Arial" w:cs="Arial" w:eastAsia="Arial" w:hAnsi="Arial"/>
                <w:sz w:val="14"/>
                <w:szCs w:val="14"/>
                <w:b w:val="1"/>
                <w:bCs w:val="1"/>
                <w:color w:val="auto"/>
                <w:w w:val="91"/>
              </w:rPr>
              <w:t>Borrower, Lessor or</w:t>
            </w:r>
          </w:p>
        </w:tc>
        <w:tc>
          <w:tcPr>
            <w:tcW w:w="5420" w:type="dxa"/>
            <w:vAlign w:val="bottom"/>
          </w:tcPr>
          <w:p>
            <w:pPr>
              <w:jc w:val="center"/>
              <w:ind w:left="900"/>
              <w:spacing w:after="0"/>
              <w:rPr>
                <w:sz w:val="20"/>
                <w:szCs w:val="20"/>
                <w:color w:val="auto"/>
              </w:rPr>
            </w:pPr>
            <w:r>
              <w:rPr>
                <w:rFonts w:ascii="Arial" w:cs="Arial" w:eastAsia="Arial" w:hAnsi="Arial"/>
                <w:sz w:val="14"/>
                <w:szCs w:val="14"/>
                <w:b w:val="1"/>
                <w:bCs w:val="1"/>
                <w:color w:val="auto"/>
                <w:w w:val="94"/>
              </w:rPr>
              <w:t>Rate of Interest, Collateral,</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8"/>
              </w:rPr>
              <w:t>Current</w:t>
            </w:r>
          </w:p>
        </w:tc>
      </w:tr>
      <w:tr>
        <w:trPr>
          <w:trHeight w:val="276"/>
        </w:trPr>
        <w:tc>
          <w:tcPr>
            <w:tcW w:w="460" w:type="dxa"/>
            <w:vAlign w:val="bottom"/>
            <w:tcBorders>
              <w:bottom w:val="single" w:sz="8" w:color="CCEEFF"/>
            </w:tcBorders>
          </w:tcPr>
          <w:p>
            <w:pPr>
              <w:spacing w:after="0"/>
              <w:rPr>
                <w:sz w:val="24"/>
                <w:szCs w:val="24"/>
                <w:color w:val="auto"/>
              </w:rPr>
            </w:pPr>
          </w:p>
        </w:tc>
        <w:tc>
          <w:tcPr>
            <w:tcW w:w="4240" w:type="dxa"/>
            <w:vAlign w:val="bottom"/>
            <w:tcBorders>
              <w:bottom w:val="single" w:sz="8" w:color="auto"/>
            </w:tcBorders>
          </w:tcPr>
          <w:p>
            <w:pPr>
              <w:jc w:val="center"/>
              <w:ind w:left="880"/>
              <w:spacing w:after="0"/>
              <w:rPr>
                <w:sz w:val="20"/>
                <w:szCs w:val="20"/>
                <w:color w:val="auto"/>
              </w:rPr>
            </w:pPr>
            <w:r>
              <w:rPr>
                <w:rFonts w:ascii="Arial" w:cs="Arial" w:eastAsia="Arial" w:hAnsi="Arial"/>
                <w:sz w:val="14"/>
                <w:szCs w:val="14"/>
                <w:b w:val="1"/>
                <w:bCs w:val="1"/>
                <w:color w:val="auto"/>
                <w:w w:val="98"/>
              </w:rPr>
              <w:t>Similar Party</w:t>
            </w:r>
          </w:p>
        </w:tc>
        <w:tc>
          <w:tcPr>
            <w:tcW w:w="5420" w:type="dxa"/>
            <w:vAlign w:val="bottom"/>
            <w:tcBorders>
              <w:bottom w:val="single" w:sz="8" w:color="auto"/>
            </w:tcBorders>
          </w:tcPr>
          <w:p>
            <w:pPr>
              <w:jc w:val="center"/>
              <w:ind w:left="900"/>
              <w:spacing w:after="0"/>
              <w:rPr>
                <w:sz w:val="20"/>
                <w:szCs w:val="20"/>
                <w:color w:val="auto"/>
              </w:rPr>
            </w:pPr>
            <w:r>
              <w:rPr>
                <w:rFonts w:ascii="Arial" w:cs="Arial" w:eastAsia="Arial" w:hAnsi="Arial"/>
                <w:sz w:val="14"/>
                <w:szCs w:val="14"/>
                <w:b w:val="1"/>
                <w:bCs w:val="1"/>
                <w:color w:val="auto"/>
                <w:w w:val="97"/>
              </w:rPr>
              <w:t>Par, or Maturity Value</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r>
      <w:tr>
        <w:trPr>
          <w:trHeight w:val="236"/>
        </w:trPr>
        <w:tc>
          <w:tcPr>
            <w:tcW w:w="460" w:type="dxa"/>
            <w:vAlign w:val="bottom"/>
            <w:tcBorders>
              <w:bottom w:val="single" w:sz="8" w:color="CCEEFF"/>
            </w:tcBorders>
            <w:shd w:val="clear" w:color="auto" w:fill="CCEEFF"/>
          </w:tcPr>
          <w:p>
            <w:pPr>
              <w:spacing w:after="0"/>
              <w:rPr>
                <w:sz w:val="20"/>
                <w:szCs w:val="20"/>
                <w:color w:val="auto"/>
              </w:rPr>
            </w:pPr>
          </w:p>
        </w:tc>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AMCAP FUND</w:t>
            </w:r>
          </w:p>
        </w:tc>
        <w:tc>
          <w:tcPr>
            <w:tcW w:w="54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AMCAP Fund (Class R-5)</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$56,161,534</w:t>
            </w:r>
          </w:p>
        </w:tc>
      </w:tr>
      <w:tr>
        <w:trPr>
          <w:trHeight w:val="237"/>
        </w:trPr>
        <w:tc>
          <w:tcPr>
            <w:tcW w:w="46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6"/>
                <w:szCs w:val="16"/>
                <w:color w:val="auto"/>
              </w:rPr>
              <w:t>AMERICAN FUNDS</w:t>
            </w:r>
          </w:p>
        </w:tc>
        <w:tc>
          <w:tcPr>
            <w:tcW w:w="5420" w:type="dxa"/>
            <w:vAlign w:val="bottom"/>
          </w:tcPr>
          <w:p>
            <w:pPr>
              <w:ind w:left="1000"/>
              <w:spacing w:after="0"/>
              <w:rPr>
                <w:sz w:val="20"/>
                <w:szCs w:val="20"/>
                <w:color w:val="auto"/>
              </w:rPr>
            </w:pPr>
            <w:r>
              <w:rPr>
                <w:rFonts w:ascii="Arial" w:cs="Arial" w:eastAsia="Arial" w:hAnsi="Arial"/>
                <w:sz w:val="16"/>
                <w:szCs w:val="16"/>
                <w:color w:val="auto"/>
              </w:rPr>
              <w:t>American Balanced Fund (Class R-5)</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92,932,476</w:t>
            </w:r>
          </w:p>
        </w:tc>
      </w:tr>
      <w:tr>
        <w:trPr>
          <w:trHeight w:val="33"/>
        </w:trPr>
        <w:tc>
          <w:tcPr>
            <w:tcW w:w="4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BARON FUNDS</w:t>
            </w:r>
          </w:p>
        </w:tc>
        <w:tc>
          <w:tcPr>
            <w:tcW w:w="54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Baron Small Cap Instl Fund</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10,331,648</w:t>
            </w:r>
          </w:p>
        </w:tc>
      </w:tr>
      <w:tr>
        <w:trPr>
          <w:trHeight w:val="237"/>
        </w:trPr>
        <w:tc>
          <w:tcPr>
            <w:tcW w:w="46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6"/>
                <w:szCs w:val="16"/>
                <w:color w:val="auto"/>
              </w:rPr>
              <w:t>COLUMBIA MUTUAL FUNDS</w:t>
            </w:r>
          </w:p>
        </w:tc>
        <w:tc>
          <w:tcPr>
            <w:tcW w:w="5420" w:type="dxa"/>
            <w:vAlign w:val="bottom"/>
          </w:tcPr>
          <w:p>
            <w:pPr>
              <w:ind w:left="1000"/>
              <w:spacing w:after="0"/>
              <w:rPr>
                <w:sz w:val="20"/>
                <w:szCs w:val="20"/>
                <w:color w:val="auto"/>
              </w:rPr>
            </w:pPr>
            <w:r>
              <w:rPr>
                <w:rFonts w:ascii="Arial" w:cs="Arial" w:eastAsia="Arial" w:hAnsi="Arial"/>
                <w:sz w:val="16"/>
                <w:szCs w:val="16"/>
                <w:color w:val="auto"/>
              </w:rPr>
              <w:t>Columbia Acorn Fund (Class Z)</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56,667,904</w:t>
            </w:r>
          </w:p>
        </w:tc>
      </w:tr>
      <w:tr>
        <w:trPr>
          <w:trHeight w:val="33"/>
        </w:trPr>
        <w:tc>
          <w:tcPr>
            <w:tcW w:w="4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DIAMOND HILL FUNDS</w:t>
            </w:r>
          </w:p>
        </w:tc>
        <w:tc>
          <w:tcPr>
            <w:tcW w:w="54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Diamond Hill Small Cap Fund</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6,944,629</w:t>
            </w:r>
          </w:p>
        </w:tc>
      </w:tr>
      <w:tr>
        <w:trPr>
          <w:trHeight w:val="237"/>
        </w:trPr>
        <w:tc>
          <w:tcPr>
            <w:tcW w:w="46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6"/>
                <w:szCs w:val="16"/>
                <w:color w:val="auto"/>
              </w:rPr>
              <w:t>JPMORGAN</w:t>
            </w:r>
          </w:p>
        </w:tc>
        <w:tc>
          <w:tcPr>
            <w:tcW w:w="5420" w:type="dxa"/>
            <w:vAlign w:val="bottom"/>
          </w:tcPr>
          <w:p>
            <w:pPr>
              <w:ind w:left="1000"/>
              <w:spacing w:after="0"/>
              <w:rPr>
                <w:sz w:val="20"/>
                <w:szCs w:val="20"/>
                <w:color w:val="auto"/>
              </w:rPr>
            </w:pPr>
            <w:r>
              <w:rPr>
                <w:rFonts w:ascii="Arial" w:cs="Arial" w:eastAsia="Arial" w:hAnsi="Arial"/>
                <w:sz w:val="16"/>
                <w:szCs w:val="16"/>
                <w:color w:val="auto"/>
              </w:rPr>
              <w:t>JPMorgan Mid Cap Value Instl Fund</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30,434,097</w:t>
            </w:r>
          </w:p>
        </w:tc>
      </w:tr>
      <w:tr>
        <w:trPr>
          <w:trHeight w:val="33"/>
        </w:trPr>
        <w:tc>
          <w:tcPr>
            <w:tcW w:w="4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THORNBURG INTERNATIONAL</w:t>
            </w:r>
          </w:p>
        </w:tc>
        <w:tc>
          <w:tcPr>
            <w:tcW w:w="54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Thornburg International Value Fund</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31,047,620</w:t>
            </w:r>
          </w:p>
        </w:tc>
      </w:tr>
      <w:tr>
        <w:trPr>
          <w:trHeight w:val="237"/>
        </w:trPr>
        <w:tc>
          <w:tcPr>
            <w:tcW w:w="46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6"/>
                <w:szCs w:val="16"/>
                <w:color w:val="auto"/>
              </w:rPr>
              <w:t>MFS FAMILY OF FUNDS</w:t>
            </w:r>
          </w:p>
        </w:tc>
        <w:tc>
          <w:tcPr>
            <w:tcW w:w="5420" w:type="dxa"/>
            <w:vAlign w:val="bottom"/>
          </w:tcPr>
          <w:p>
            <w:pPr>
              <w:ind w:left="1000"/>
              <w:spacing w:after="0"/>
              <w:rPr>
                <w:sz w:val="20"/>
                <w:szCs w:val="20"/>
                <w:color w:val="auto"/>
              </w:rPr>
            </w:pPr>
            <w:r>
              <w:rPr>
                <w:rFonts w:ascii="Arial" w:cs="Arial" w:eastAsia="Arial" w:hAnsi="Arial"/>
                <w:sz w:val="16"/>
                <w:szCs w:val="16"/>
                <w:color w:val="auto"/>
              </w:rPr>
              <w:t>MFS Value Fund (Class R-4)</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24,311,357</w:t>
            </w:r>
          </w:p>
        </w:tc>
      </w:tr>
      <w:tr>
        <w:trPr>
          <w:trHeight w:val="33"/>
        </w:trPr>
        <w:tc>
          <w:tcPr>
            <w:tcW w:w="4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NEUBERGER BERMAN</w:t>
            </w:r>
          </w:p>
        </w:tc>
        <w:tc>
          <w:tcPr>
            <w:tcW w:w="54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Neuberger Berman Real Estate Fund</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555,078</w:t>
            </w:r>
          </w:p>
        </w:tc>
      </w:tr>
      <w:tr>
        <w:trPr>
          <w:trHeight w:val="237"/>
        </w:trPr>
        <w:tc>
          <w:tcPr>
            <w:tcW w:w="46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6"/>
                <w:szCs w:val="16"/>
                <w:color w:val="auto"/>
              </w:rPr>
              <w:t>NATIXIS FUNDS</w:t>
            </w:r>
          </w:p>
        </w:tc>
        <w:tc>
          <w:tcPr>
            <w:tcW w:w="5420" w:type="dxa"/>
            <w:vAlign w:val="bottom"/>
          </w:tcPr>
          <w:p>
            <w:pPr>
              <w:ind w:left="1000"/>
              <w:spacing w:after="0"/>
              <w:rPr>
                <w:sz w:val="20"/>
                <w:szCs w:val="20"/>
                <w:color w:val="auto"/>
              </w:rPr>
            </w:pPr>
            <w:r>
              <w:rPr>
                <w:rFonts w:ascii="Arial" w:cs="Arial" w:eastAsia="Arial" w:hAnsi="Arial"/>
                <w:sz w:val="16"/>
                <w:szCs w:val="16"/>
                <w:color w:val="auto"/>
              </w:rPr>
              <w:t>Loomis Sayles Investment Grade Bond Fund</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26,344,280</w:t>
            </w:r>
          </w:p>
        </w:tc>
      </w:tr>
      <w:tr>
        <w:trPr>
          <w:trHeight w:val="33"/>
        </w:trPr>
        <w:tc>
          <w:tcPr>
            <w:tcW w:w="4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FRANKLIN TEMPLETON INVESTMENTS</w:t>
            </w:r>
          </w:p>
        </w:tc>
        <w:tc>
          <w:tcPr>
            <w:tcW w:w="54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Templeton Global Bond Fund</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5,251,060</w:t>
            </w:r>
          </w:p>
        </w:tc>
      </w:tr>
      <w:tr>
        <w:trPr>
          <w:trHeight w:val="237"/>
        </w:trPr>
        <w:tc>
          <w:tcPr>
            <w:tcW w:w="46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6"/>
                <w:szCs w:val="16"/>
                <w:color w:val="auto"/>
              </w:rPr>
              <w:t>MANNING &amp; NAPIER TARGET FUNDS</w:t>
            </w:r>
          </w:p>
        </w:tc>
        <w:tc>
          <w:tcPr>
            <w:tcW w:w="5420" w:type="dxa"/>
            <w:vAlign w:val="bottom"/>
          </w:tcPr>
          <w:p>
            <w:pPr>
              <w:ind w:left="1000"/>
              <w:spacing w:after="0"/>
              <w:rPr>
                <w:sz w:val="20"/>
                <w:szCs w:val="20"/>
                <w:color w:val="auto"/>
              </w:rPr>
            </w:pPr>
            <w:r>
              <w:rPr>
                <w:rFonts w:ascii="Arial" w:cs="Arial" w:eastAsia="Arial" w:hAnsi="Arial"/>
                <w:sz w:val="16"/>
                <w:szCs w:val="16"/>
                <w:color w:val="auto"/>
              </w:rPr>
              <w:t>Manning &amp; Napier Target Income</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2,926,034</w:t>
            </w:r>
          </w:p>
        </w:tc>
      </w:tr>
      <w:tr>
        <w:trPr>
          <w:trHeight w:val="33"/>
        </w:trPr>
        <w:tc>
          <w:tcPr>
            <w:tcW w:w="4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MANNING &amp; NAPIER TARGET FUNDS</w:t>
            </w:r>
          </w:p>
        </w:tc>
        <w:tc>
          <w:tcPr>
            <w:tcW w:w="54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Manning &amp; Napier Target 2015</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2,452,991</w:t>
            </w:r>
          </w:p>
        </w:tc>
      </w:tr>
      <w:tr>
        <w:trPr>
          <w:trHeight w:val="237"/>
        </w:trPr>
        <w:tc>
          <w:tcPr>
            <w:tcW w:w="46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6"/>
                <w:szCs w:val="16"/>
                <w:color w:val="auto"/>
              </w:rPr>
              <w:t>MANNING &amp; NAPIER TARGET FUNDS</w:t>
            </w:r>
          </w:p>
        </w:tc>
        <w:tc>
          <w:tcPr>
            <w:tcW w:w="5420" w:type="dxa"/>
            <w:vAlign w:val="bottom"/>
          </w:tcPr>
          <w:p>
            <w:pPr>
              <w:ind w:left="1000"/>
              <w:spacing w:after="0"/>
              <w:rPr>
                <w:sz w:val="20"/>
                <w:szCs w:val="20"/>
                <w:color w:val="auto"/>
              </w:rPr>
            </w:pPr>
            <w:r>
              <w:rPr>
                <w:rFonts w:ascii="Arial" w:cs="Arial" w:eastAsia="Arial" w:hAnsi="Arial"/>
                <w:sz w:val="16"/>
                <w:szCs w:val="16"/>
                <w:color w:val="auto"/>
              </w:rPr>
              <w:t>Manning &amp; Napier Target 2020</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7,562,110</w:t>
            </w:r>
          </w:p>
        </w:tc>
      </w:tr>
      <w:tr>
        <w:trPr>
          <w:trHeight w:val="33"/>
        </w:trPr>
        <w:tc>
          <w:tcPr>
            <w:tcW w:w="4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MANNING &amp; NAPIER TARGET FUNDS</w:t>
            </w:r>
          </w:p>
        </w:tc>
        <w:tc>
          <w:tcPr>
            <w:tcW w:w="54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Manning &amp; Napier Target 2025</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7,196,789</w:t>
            </w:r>
          </w:p>
        </w:tc>
      </w:tr>
      <w:tr>
        <w:trPr>
          <w:trHeight w:val="237"/>
        </w:trPr>
        <w:tc>
          <w:tcPr>
            <w:tcW w:w="46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6"/>
                <w:szCs w:val="16"/>
                <w:color w:val="auto"/>
              </w:rPr>
              <w:t>MANNING &amp; NAPIER TARGET FUNDS</w:t>
            </w:r>
          </w:p>
        </w:tc>
        <w:tc>
          <w:tcPr>
            <w:tcW w:w="5420" w:type="dxa"/>
            <w:vAlign w:val="bottom"/>
          </w:tcPr>
          <w:p>
            <w:pPr>
              <w:ind w:left="1000"/>
              <w:spacing w:after="0"/>
              <w:rPr>
                <w:sz w:val="20"/>
                <w:szCs w:val="20"/>
                <w:color w:val="auto"/>
              </w:rPr>
            </w:pPr>
            <w:r>
              <w:rPr>
                <w:rFonts w:ascii="Arial" w:cs="Arial" w:eastAsia="Arial" w:hAnsi="Arial"/>
                <w:sz w:val="16"/>
                <w:szCs w:val="16"/>
                <w:color w:val="auto"/>
              </w:rPr>
              <w:t>Manning &amp; Napier Target 2030</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4,614,312</w:t>
            </w:r>
          </w:p>
        </w:tc>
      </w:tr>
      <w:tr>
        <w:trPr>
          <w:trHeight w:val="33"/>
        </w:trPr>
        <w:tc>
          <w:tcPr>
            <w:tcW w:w="4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MANNING &amp; NAPIER TARGET FUNDS</w:t>
            </w:r>
          </w:p>
        </w:tc>
        <w:tc>
          <w:tcPr>
            <w:tcW w:w="54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Manning &amp; Napier Target 2035</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5,363,808</w:t>
            </w:r>
          </w:p>
        </w:tc>
      </w:tr>
      <w:tr>
        <w:trPr>
          <w:trHeight w:val="237"/>
        </w:trPr>
        <w:tc>
          <w:tcPr>
            <w:tcW w:w="46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6"/>
                <w:szCs w:val="16"/>
                <w:color w:val="auto"/>
              </w:rPr>
              <w:t>MANNING &amp; NAPIER TARGET FUNDS</w:t>
            </w:r>
          </w:p>
        </w:tc>
        <w:tc>
          <w:tcPr>
            <w:tcW w:w="5420" w:type="dxa"/>
            <w:vAlign w:val="bottom"/>
          </w:tcPr>
          <w:p>
            <w:pPr>
              <w:ind w:left="1000"/>
              <w:spacing w:after="0"/>
              <w:rPr>
                <w:sz w:val="20"/>
                <w:szCs w:val="20"/>
                <w:color w:val="auto"/>
              </w:rPr>
            </w:pPr>
            <w:r>
              <w:rPr>
                <w:rFonts w:ascii="Arial" w:cs="Arial" w:eastAsia="Arial" w:hAnsi="Arial"/>
                <w:sz w:val="16"/>
                <w:szCs w:val="16"/>
                <w:color w:val="auto"/>
              </w:rPr>
              <w:t>Manning &amp; Napier Target 2040</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1,983,751</w:t>
            </w:r>
          </w:p>
        </w:tc>
      </w:tr>
      <w:tr>
        <w:trPr>
          <w:trHeight w:val="33"/>
        </w:trPr>
        <w:tc>
          <w:tcPr>
            <w:tcW w:w="4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MANNING &amp; NAPIER TARGET FUNDS</w:t>
            </w:r>
          </w:p>
        </w:tc>
        <w:tc>
          <w:tcPr>
            <w:tcW w:w="54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Manning &amp; Napier Target 2045</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889,121</w:t>
            </w:r>
          </w:p>
        </w:tc>
      </w:tr>
      <w:tr>
        <w:trPr>
          <w:trHeight w:val="237"/>
        </w:trPr>
        <w:tc>
          <w:tcPr>
            <w:tcW w:w="46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6"/>
                <w:szCs w:val="16"/>
                <w:color w:val="auto"/>
              </w:rPr>
              <w:t>MANNING &amp; NAPIER TARGET FUNDS</w:t>
            </w:r>
          </w:p>
        </w:tc>
        <w:tc>
          <w:tcPr>
            <w:tcW w:w="5420" w:type="dxa"/>
            <w:vAlign w:val="bottom"/>
          </w:tcPr>
          <w:p>
            <w:pPr>
              <w:ind w:left="1000"/>
              <w:spacing w:after="0"/>
              <w:rPr>
                <w:sz w:val="20"/>
                <w:szCs w:val="20"/>
                <w:color w:val="auto"/>
              </w:rPr>
            </w:pPr>
            <w:r>
              <w:rPr>
                <w:rFonts w:ascii="Arial" w:cs="Arial" w:eastAsia="Arial" w:hAnsi="Arial"/>
                <w:sz w:val="16"/>
                <w:szCs w:val="16"/>
                <w:color w:val="auto"/>
              </w:rPr>
              <w:t>Manning &amp; Napier Target 2050</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667,278</w:t>
            </w:r>
          </w:p>
        </w:tc>
      </w:tr>
      <w:tr>
        <w:trPr>
          <w:trHeight w:val="33"/>
        </w:trPr>
        <w:tc>
          <w:tcPr>
            <w:tcW w:w="4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6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MANNING &amp; NAPIER TARGET FUNDS</w:t>
            </w:r>
          </w:p>
        </w:tc>
        <w:tc>
          <w:tcPr>
            <w:tcW w:w="54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Manning &amp; Napier Target 2055</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161,462</w:t>
            </w:r>
          </w:p>
        </w:tc>
      </w:tr>
      <w:tr>
        <w:trPr>
          <w:trHeight w:val="284"/>
        </w:trPr>
        <w:tc>
          <w:tcPr>
            <w:tcW w:w="460" w:type="dxa"/>
            <w:vAlign w:val="bottom"/>
            <w:tcBorders>
              <w:bottom w:val="single" w:sz="8" w:color="CCEEFF"/>
            </w:tcBorders>
          </w:tcPr>
          <w:p>
            <w:pPr>
              <w:spacing w:after="0"/>
              <w:rPr>
                <w:sz w:val="24"/>
                <w:szCs w:val="24"/>
                <w:color w:val="auto"/>
              </w:rPr>
            </w:pPr>
          </w:p>
        </w:tc>
        <w:tc>
          <w:tcPr>
            <w:tcW w:w="424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Registered Investment Companies Total</w:t>
            </w:r>
          </w:p>
        </w:tc>
        <w:tc>
          <w:tcPr>
            <w:tcW w:w="542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374,799,339</w:t>
            </w:r>
          </w:p>
        </w:tc>
      </w:tr>
      <w:tr>
        <w:trPr>
          <w:trHeight w:val="230"/>
        </w:trPr>
        <w:tc>
          <w:tcPr>
            <w:tcW w:w="460" w:type="dxa"/>
            <w:vAlign w:val="bottom"/>
            <w:shd w:val="clear" w:color="auto" w:fill="CCEEFF"/>
          </w:tcPr>
          <w:p>
            <w:pPr>
              <w:spacing w:after="0"/>
              <w:rPr>
                <w:sz w:val="20"/>
                <w:szCs w:val="20"/>
                <w:color w:val="auto"/>
              </w:rPr>
            </w:pPr>
          </w:p>
        </w:tc>
        <w:tc>
          <w:tcPr>
            <w:tcW w:w="4240" w:type="dxa"/>
            <w:vAlign w:val="bottom"/>
            <w:shd w:val="clear" w:color="auto" w:fill="CCEEFF"/>
          </w:tcPr>
          <w:p>
            <w:pPr>
              <w:spacing w:after="0"/>
              <w:rPr>
                <w:sz w:val="20"/>
                <w:szCs w:val="20"/>
                <w:color w:val="auto"/>
              </w:rPr>
            </w:pPr>
          </w:p>
        </w:tc>
        <w:tc>
          <w:tcPr>
            <w:tcW w:w="54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43"/>
        </w:trPr>
        <w:tc>
          <w:tcPr>
            <w:tcW w:w="46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4240" w:type="dxa"/>
            <w:vAlign w:val="bottom"/>
          </w:tcPr>
          <w:p>
            <w:pPr>
              <w:ind w:left="20"/>
              <w:spacing w:after="0"/>
              <w:rPr>
                <w:sz w:val="20"/>
                <w:szCs w:val="20"/>
                <w:color w:val="auto"/>
              </w:rPr>
            </w:pPr>
            <w:r>
              <w:rPr>
                <w:rFonts w:ascii="Arial" w:cs="Arial" w:eastAsia="Arial" w:hAnsi="Arial"/>
                <w:sz w:val="16"/>
                <w:szCs w:val="16"/>
                <w:color w:val="auto"/>
              </w:rPr>
              <w:t>WESCO INTERNATIONAL INC</w:t>
            </w:r>
          </w:p>
        </w:tc>
        <w:tc>
          <w:tcPr>
            <w:tcW w:w="5420" w:type="dxa"/>
            <w:vAlign w:val="bottom"/>
          </w:tcPr>
          <w:p>
            <w:pPr>
              <w:ind w:left="1000"/>
              <w:spacing w:after="0"/>
              <w:rPr>
                <w:sz w:val="20"/>
                <w:szCs w:val="20"/>
                <w:color w:val="auto"/>
              </w:rPr>
            </w:pPr>
            <w:r>
              <w:rPr>
                <w:rFonts w:ascii="Arial" w:cs="Arial" w:eastAsia="Arial" w:hAnsi="Arial"/>
                <w:sz w:val="16"/>
                <w:szCs w:val="16"/>
                <w:color w:val="auto"/>
              </w:rPr>
              <w:t>WESCO International Pooled Stock Fund</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24,023,661</w:t>
            </w:r>
          </w:p>
        </w:tc>
      </w:tr>
      <w:tr>
        <w:trPr>
          <w:trHeight w:val="27"/>
        </w:trPr>
        <w:tc>
          <w:tcPr>
            <w:tcW w:w="4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Wells Fargo</w:t>
            </w:r>
          </w:p>
        </w:tc>
        <w:tc>
          <w:tcPr>
            <w:tcW w:w="54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Cash and Cash Equivalents</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1,331,171</w:t>
            </w:r>
          </w:p>
        </w:tc>
      </w:tr>
      <w:tr>
        <w:trPr>
          <w:trHeight w:val="237"/>
        </w:trPr>
        <w:tc>
          <w:tcPr>
            <w:tcW w:w="46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6"/>
                <w:szCs w:val="16"/>
                <w:color w:val="auto"/>
              </w:rPr>
              <w:t>Various</w:t>
            </w:r>
          </w:p>
        </w:tc>
        <w:tc>
          <w:tcPr>
            <w:tcW w:w="5420" w:type="dxa"/>
            <w:vAlign w:val="bottom"/>
          </w:tcPr>
          <w:p>
            <w:pPr>
              <w:ind w:left="1000"/>
              <w:spacing w:after="0"/>
              <w:rPr>
                <w:sz w:val="20"/>
                <w:szCs w:val="20"/>
                <w:color w:val="auto"/>
              </w:rPr>
            </w:pPr>
            <w:r>
              <w:rPr>
                <w:rFonts w:ascii="Arial" w:cs="Arial" w:eastAsia="Arial" w:hAnsi="Arial"/>
                <w:sz w:val="16"/>
                <w:szCs w:val="16"/>
                <w:color w:val="auto"/>
              </w:rPr>
              <w:t>Common Stock</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4,716,571</w:t>
            </w:r>
          </w:p>
        </w:tc>
      </w:tr>
      <w:tr>
        <w:trPr>
          <w:trHeight w:val="33"/>
        </w:trPr>
        <w:tc>
          <w:tcPr>
            <w:tcW w:w="4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6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Various</w:t>
            </w:r>
          </w:p>
        </w:tc>
        <w:tc>
          <w:tcPr>
            <w:tcW w:w="54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Mutual Funds</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2,693,242</w:t>
            </w:r>
          </w:p>
        </w:tc>
      </w:tr>
      <w:tr>
        <w:trPr>
          <w:trHeight w:val="284"/>
        </w:trPr>
        <w:tc>
          <w:tcPr>
            <w:tcW w:w="460" w:type="dxa"/>
            <w:vAlign w:val="bottom"/>
            <w:tcBorders>
              <w:bottom w:val="single" w:sz="8" w:color="CCEEFF"/>
            </w:tcBorders>
          </w:tcPr>
          <w:p>
            <w:pPr>
              <w:spacing w:after="0"/>
              <w:rPr>
                <w:sz w:val="24"/>
                <w:szCs w:val="24"/>
                <w:color w:val="auto"/>
              </w:rPr>
            </w:pPr>
          </w:p>
        </w:tc>
        <w:tc>
          <w:tcPr>
            <w:tcW w:w="424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Stock Funds and Self-Directed Accounts Total</w:t>
            </w:r>
          </w:p>
        </w:tc>
        <w:tc>
          <w:tcPr>
            <w:tcW w:w="542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32,764,645</w:t>
            </w:r>
          </w:p>
        </w:tc>
      </w:tr>
      <w:tr>
        <w:trPr>
          <w:trHeight w:val="230"/>
        </w:trPr>
        <w:tc>
          <w:tcPr>
            <w:tcW w:w="460" w:type="dxa"/>
            <w:vAlign w:val="bottom"/>
            <w:shd w:val="clear" w:color="auto" w:fill="CCEEFF"/>
          </w:tcPr>
          <w:p>
            <w:pPr>
              <w:spacing w:after="0"/>
              <w:rPr>
                <w:sz w:val="20"/>
                <w:szCs w:val="20"/>
                <w:color w:val="auto"/>
              </w:rPr>
            </w:pPr>
          </w:p>
        </w:tc>
        <w:tc>
          <w:tcPr>
            <w:tcW w:w="4240" w:type="dxa"/>
            <w:vAlign w:val="bottom"/>
            <w:shd w:val="clear" w:color="auto" w:fill="CCEEFF"/>
          </w:tcPr>
          <w:p>
            <w:pPr>
              <w:spacing w:after="0"/>
              <w:rPr>
                <w:sz w:val="20"/>
                <w:szCs w:val="20"/>
                <w:color w:val="auto"/>
              </w:rPr>
            </w:pPr>
          </w:p>
        </w:tc>
        <w:tc>
          <w:tcPr>
            <w:tcW w:w="54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37"/>
        </w:trPr>
        <w:tc>
          <w:tcPr>
            <w:tcW w:w="46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6"/>
                <w:szCs w:val="16"/>
                <w:color w:val="auto"/>
              </w:rPr>
              <w:t>Institutional Enhanced Index Fixed</w:t>
            </w:r>
          </w:p>
        </w:tc>
        <w:tc>
          <w:tcPr>
            <w:tcW w:w="54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4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60" w:type="dxa"/>
            <w:vAlign w:val="bottom"/>
          </w:tcPr>
          <w:p>
            <w:pPr>
              <w:spacing w:after="0"/>
              <w:rPr>
                <w:sz w:val="23"/>
                <w:szCs w:val="23"/>
                <w:color w:val="auto"/>
              </w:rPr>
            </w:pPr>
          </w:p>
        </w:tc>
        <w:tc>
          <w:tcPr>
            <w:tcW w:w="4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Prudential Income Fund</w:t>
            </w:r>
          </w:p>
        </w:tc>
        <w:tc>
          <w:tcPr>
            <w:tcW w:w="54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Common Collective Trust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136,902,354</w:t>
            </w:r>
          </w:p>
        </w:tc>
      </w:tr>
      <w:tr>
        <w:trPr>
          <w:trHeight w:val="284"/>
        </w:trPr>
        <w:tc>
          <w:tcPr>
            <w:tcW w:w="460" w:type="dxa"/>
            <w:vAlign w:val="bottom"/>
          </w:tcPr>
          <w:p>
            <w:pPr>
              <w:spacing w:after="0"/>
              <w:rPr>
                <w:sz w:val="24"/>
                <w:szCs w:val="24"/>
                <w:color w:val="auto"/>
              </w:rPr>
            </w:pPr>
          </w:p>
        </w:tc>
        <w:tc>
          <w:tcPr>
            <w:tcW w:w="42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Stable Value Fund Total</w:t>
            </w:r>
          </w:p>
        </w:tc>
        <w:tc>
          <w:tcPr>
            <w:tcW w:w="542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136,902,354</w:t>
            </w:r>
          </w:p>
        </w:tc>
      </w:tr>
      <w:tr>
        <w:trPr>
          <w:trHeight w:val="230"/>
        </w:trPr>
        <w:tc>
          <w:tcPr>
            <w:tcW w:w="460" w:type="dxa"/>
            <w:vAlign w:val="bottom"/>
          </w:tcPr>
          <w:p>
            <w:pPr>
              <w:spacing w:after="0"/>
              <w:rPr>
                <w:sz w:val="20"/>
                <w:szCs w:val="20"/>
                <w:color w:val="auto"/>
              </w:rPr>
            </w:pPr>
          </w:p>
        </w:tc>
        <w:tc>
          <w:tcPr>
            <w:tcW w:w="4240" w:type="dxa"/>
            <w:vAlign w:val="bottom"/>
            <w:shd w:val="clear" w:color="auto" w:fill="CCEEFF"/>
          </w:tcPr>
          <w:p>
            <w:pPr>
              <w:spacing w:after="0"/>
              <w:rPr>
                <w:sz w:val="20"/>
                <w:szCs w:val="20"/>
                <w:color w:val="auto"/>
              </w:rPr>
            </w:pPr>
          </w:p>
        </w:tc>
        <w:tc>
          <w:tcPr>
            <w:tcW w:w="54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37"/>
        </w:trPr>
        <w:tc>
          <w:tcPr>
            <w:tcW w:w="46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6"/>
                <w:szCs w:val="16"/>
                <w:color w:val="auto"/>
              </w:rPr>
              <w:t>CASH</w:t>
            </w:r>
          </w:p>
        </w:tc>
        <w:tc>
          <w:tcPr>
            <w:tcW w:w="5420" w:type="dxa"/>
            <w:vAlign w:val="bottom"/>
          </w:tcPr>
          <w:p>
            <w:pPr>
              <w:ind w:left="1000"/>
              <w:spacing w:after="0"/>
              <w:rPr>
                <w:sz w:val="20"/>
                <w:szCs w:val="20"/>
                <w:color w:val="auto"/>
              </w:rPr>
            </w:pPr>
            <w:r>
              <w:rPr>
                <w:rFonts w:ascii="Arial" w:cs="Arial" w:eastAsia="Arial" w:hAnsi="Arial"/>
                <w:sz w:val="16"/>
                <w:szCs w:val="16"/>
                <w:color w:val="auto"/>
              </w:rPr>
              <w:t>Cash and Cash Equivalents</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235,459</w:t>
            </w:r>
          </w:p>
        </w:tc>
      </w:tr>
      <w:tr>
        <w:trPr>
          <w:trHeight w:val="33"/>
        </w:trPr>
        <w:tc>
          <w:tcPr>
            <w:tcW w:w="4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DIVIDEND INCOME ACCRUAL</w:t>
            </w:r>
          </w:p>
        </w:tc>
        <w:tc>
          <w:tcPr>
            <w:tcW w:w="54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Cash and Cash Equivalents</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42,636</w:t>
            </w:r>
          </w:p>
        </w:tc>
      </w:tr>
      <w:tr>
        <w:trPr>
          <w:trHeight w:val="237"/>
        </w:trPr>
        <w:tc>
          <w:tcPr>
            <w:tcW w:w="46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6"/>
                <w:szCs w:val="16"/>
                <w:color w:val="auto"/>
              </w:rPr>
              <w:t>3M CO</w:t>
            </w:r>
          </w:p>
        </w:tc>
        <w:tc>
          <w:tcPr>
            <w:tcW w:w="5420" w:type="dxa"/>
            <w:vAlign w:val="bottom"/>
          </w:tcPr>
          <w:p>
            <w:pPr>
              <w:ind w:left="1000"/>
              <w:spacing w:after="0"/>
              <w:rPr>
                <w:sz w:val="20"/>
                <w:szCs w:val="20"/>
                <w:color w:val="auto"/>
              </w:rPr>
            </w:pPr>
            <w:r>
              <w:rPr>
                <w:rFonts w:ascii="Arial" w:cs="Arial" w:eastAsia="Arial" w:hAnsi="Arial"/>
                <w:sz w:val="16"/>
                <w:szCs w:val="16"/>
                <w:color w:val="auto"/>
              </w:rPr>
              <w:t>Common Stock</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172,928</w:t>
            </w:r>
          </w:p>
        </w:tc>
      </w:tr>
      <w:tr>
        <w:trPr>
          <w:trHeight w:val="33"/>
        </w:trPr>
        <w:tc>
          <w:tcPr>
            <w:tcW w:w="4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ABBOTT LABORATORIES</w:t>
            </w:r>
          </w:p>
        </w:tc>
        <w:tc>
          <w:tcPr>
            <w:tcW w:w="54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Common Stock</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155,658</w:t>
            </w:r>
          </w:p>
        </w:tc>
      </w:tr>
      <w:tr>
        <w:trPr>
          <w:trHeight w:val="237"/>
        </w:trPr>
        <w:tc>
          <w:tcPr>
            <w:tcW w:w="46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6"/>
                <w:szCs w:val="16"/>
                <w:color w:val="auto"/>
              </w:rPr>
              <w:t>ABBVIE INC. COM</w:t>
            </w:r>
          </w:p>
        </w:tc>
        <w:tc>
          <w:tcPr>
            <w:tcW w:w="5420" w:type="dxa"/>
            <w:vAlign w:val="bottom"/>
          </w:tcPr>
          <w:p>
            <w:pPr>
              <w:ind w:left="1000"/>
              <w:spacing w:after="0"/>
              <w:rPr>
                <w:sz w:val="20"/>
                <w:szCs w:val="20"/>
                <w:color w:val="auto"/>
              </w:rPr>
            </w:pPr>
            <w:r>
              <w:rPr>
                <w:rFonts w:ascii="Arial" w:cs="Arial" w:eastAsia="Arial" w:hAnsi="Arial"/>
                <w:sz w:val="16"/>
                <w:szCs w:val="16"/>
                <w:color w:val="auto"/>
              </w:rPr>
              <w:t>Common Stock</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29,732</w:t>
            </w:r>
          </w:p>
        </w:tc>
      </w:tr>
      <w:tr>
        <w:trPr>
          <w:trHeight w:val="33"/>
        </w:trPr>
        <w:tc>
          <w:tcPr>
            <w:tcW w:w="4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ABERCROMBIE &amp; FITCH CO</w:t>
            </w:r>
          </w:p>
        </w:tc>
        <w:tc>
          <w:tcPr>
            <w:tcW w:w="54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Common Stock</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22,017</w:t>
            </w:r>
          </w:p>
        </w:tc>
      </w:tr>
      <w:tr>
        <w:trPr>
          <w:trHeight w:val="237"/>
        </w:trPr>
        <w:tc>
          <w:tcPr>
            <w:tcW w:w="46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6"/>
                <w:szCs w:val="16"/>
                <w:color w:val="auto"/>
              </w:rPr>
              <w:t>ACCENTURE PLC</w:t>
            </w:r>
          </w:p>
        </w:tc>
        <w:tc>
          <w:tcPr>
            <w:tcW w:w="5420" w:type="dxa"/>
            <w:vAlign w:val="bottom"/>
          </w:tcPr>
          <w:p>
            <w:pPr>
              <w:ind w:left="1000"/>
              <w:spacing w:after="0"/>
              <w:rPr>
                <w:sz w:val="20"/>
                <w:szCs w:val="20"/>
                <w:color w:val="auto"/>
              </w:rPr>
            </w:pPr>
            <w:r>
              <w:rPr>
                <w:rFonts w:ascii="Arial" w:cs="Arial" w:eastAsia="Arial" w:hAnsi="Arial"/>
                <w:sz w:val="16"/>
                <w:szCs w:val="16"/>
                <w:color w:val="auto"/>
              </w:rPr>
              <w:t>Common Stock</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52,867</w:t>
            </w:r>
          </w:p>
        </w:tc>
      </w:tr>
      <w:tr>
        <w:trPr>
          <w:trHeight w:val="33"/>
        </w:trPr>
        <w:tc>
          <w:tcPr>
            <w:tcW w:w="4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ACE LTD</w:t>
            </w:r>
          </w:p>
        </w:tc>
        <w:tc>
          <w:tcPr>
            <w:tcW w:w="54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Common Stock</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65,327</w:t>
            </w:r>
          </w:p>
        </w:tc>
      </w:tr>
      <w:tr>
        <w:trPr>
          <w:trHeight w:val="237"/>
        </w:trPr>
        <w:tc>
          <w:tcPr>
            <w:tcW w:w="46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6"/>
                <w:szCs w:val="16"/>
                <w:color w:val="auto"/>
              </w:rPr>
              <w:t>ADVANCE AUTO PARTS INC</w:t>
            </w:r>
          </w:p>
        </w:tc>
        <w:tc>
          <w:tcPr>
            <w:tcW w:w="5420" w:type="dxa"/>
            <w:vAlign w:val="bottom"/>
          </w:tcPr>
          <w:p>
            <w:pPr>
              <w:ind w:left="1000"/>
              <w:spacing w:after="0"/>
              <w:rPr>
                <w:sz w:val="20"/>
                <w:szCs w:val="20"/>
                <w:color w:val="auto"/>
              </w:rPr>
            </w:pPr>
            <w:r>
              <w:rPr>
                <w:rFonts w:ascii="Arial" w:cs="Arial" w:eastAsia="Arial" w:hAnsi="Arial"/>
                <w:sz w:val="16"/>
                <w:szCs w:val="16"/>
                <w:color w:val="auto"/>
              </w:rPr>
              <w:t>Common Stock</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17,930</w:t>
            </w:r>
          </w:p>
        </w:tc>
      </w:tr>
      <w:tr>
        <w:trPr>
          <w:trHeight w:val="33"/>
        </w:trPr>
        <w:tc>
          <w:tcPr>
            <w:tcW w:w="4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ADVANCED MICRO DEVICES INC</w:t>
            </w:r>
          </w:p>
        </w:tc>
        <w:tc>
          <w:tcPr>
            <w:tcW w:w="54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Common Stock</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36,173</w:t>
            </w:r>
          </w:p>
        </w:tc>
      </w:tr>
      <w:tr>
        <w:trPr>
          <w:trHeight w:val="237"/>
        </w:trPr>
        <w:tc>
          <w:tcPr>
            <w:tcW w:w="46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6"/>
                <w:szCs w:val="16"/>
                <w:color w:val="auto"/>
              </w:rPr>
              <w:t>AECOM TECHNOLOGY CORP</w:t>
            </w:r>
          </w:p>
        </w:tc>
        <w:tc>
          <w:tcPr>
            <w:tcW w:w="5420" w:type="dxa"/>
            <w:vAlign w:val="bottom"/>
          </w:tcPr>
          <w:p>
            <w:pPr>
              <w:ind w:left="1000"/>
              <w:spacing w:after="0"/>
              <w:rPr>
                <w:sz w:val="20"/>
                <w:szCs w:val="20"/>
                <w:color w:val="auto"/>
              </w:rPr>
            </w:pPr>
            <w:r>
              <w:rPr>
                <w:rFonts w:ascii="Arial" w:cs="Arial" w:eastAsia="Arial" w:hAnsi="Arial"/>
                <w:sz w:val="16"/>
                <w:szCs w:val="16"/>
                <w:color w:val="auto"/>
              </w:rPr>
              <w:t>Common Stock</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9,270</w:t>
            </w:r>
          </w:p>
        </w:tc>
      </w:tr>
      <w:tr>
        <w:trPr>
          <w:trHeight w:val="33"/>
        </w:trPr>
        <w:tc>
          <w:tcPr>
            <w:tcW w:w="4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AEROPOSTALE INC</w:t>
            </w:r>
          </w:p>
        </w:tc>
        <w:tc>
          <w:tcPr>
            <w:tcW w:w="54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Common Stock</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6,872</w:t>
            </w:r>
          </w:p>
        </w:tc>
      </w:tr>
      <w:tr>
        <w:trPr>
          <w:trHeight w:val="237"/>
        </w:trPr>
        <w:tc>
          <w:tcPr>
            <w:tcW w:w="46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6"/>
                <w:szCs w:val="16"/>
                <w:color w:val="auto"/>
              </w:rPr>
              <w:t>AES CORP/THE</w:t>
            </w:r>
          </w:p>
        </w:tc>
        <w:tc>
          <w:tcPr>
            <w:tcW w:w="5420" w:type="dxa"/>
            <w:vAlign w:val="bottom"/>
          </w:tcPr>
          <w:p>
            <w:pPr>
              <w:ind w:left="1000"/>
              <w:spacing w:after="0"/>
              <w:rPr>
                <w:sz w:val="20"/>
                <w:szCs w:val="20"/>
                <w:color w:val="auto"/>
              </w:rPr>
            </w:pPr>
            <w:r>
              <w:rPr>
                <w:rFonts w:ascii="Arial" w:cs="Arial" w:eastAsia="Arial" w:hAnsi="Arial"/>
                <w:sz w:val="16"/>
                <w:szCs w:val="16"/>
                <w:color w:val="auto"/>
              </w:rPr>
              <w:t>Common Stock</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43,153</w:t>
            </w:r>
          </w:p>
        </w:tc>
      </w:tr>
      <w:tr>
        <w:trPr>
          <w:trHeight w:val="33"/>
        </w:trPr>
        <w:tc>
          <w:tcPr>
            <w:tcW w:w="4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 w:type="dxa"/>
            <w:vAlign w:val="bottom"/>
          </w:tcPr>
          <w:p>
            <w:pPr>
              <w:spacing w:after="0"/>
              <w:rPr>
                <w:sz w:val="21"/>
                <w:szCs w:val="21"/>
                <w:color w:val="auto"/>
              </w:rPr>
            </w:pPr>
          </w:p>
        </w:tc>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AETNA INC</w:t>
            </w:r>
          </w:p>
        </w:tc>
        <w:tc>
          <w:tcPr>
            <w:tcW w:w="54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Common Stock</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112,350</w:t>
            </w:r>
          </w:p>
        </w:tc>
      </w:tr>
      <w:tr>
        <w:trPr>
          <w:trHeight w:val="237"/>
        </w:trPr>
        <w:tc>
          <w:tcPr>
            <w:tcW w:w="46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6"/>
                <w:szCs w:val="16"/>
                <w:color w:val="auto"/>
              </w:rPr>
              <w:t>AFLAC INC</w:t>
            </w:r>
          </w:p>
        </w:tc>
        <w:tc>
          <w:tcPr>
            <w:tcW w:w="5420" w:type="dxa"/>
            <w:vAlign w:val="bottom"/>
          </w:tcPr>
          <w:p>
            <w:pPr>
              <w:ind w:left="1000"/>
              <w:spacing w:after="0"/>
              <w:rPr>
                <w:sz w:val="20"/>
                <w:szCs w:val="20"/>
                <w:color w:val="auto"/>
              </w:rPr>
            </w:pPr>
            <w:r>
              <w:rPr>
                <w:rFonts w:ascii="Arial" w:cs="Arial" w:eastAsia="Arial" w:hAnsi="Arial"/>
                <w:sz w:val="16"/>
                <w:szCs w:val="16"/>
                <w:color w:val="auto"/>
              </w:rPr>
              <w:t>Common Stock</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58,650</w:t>
            </w:r>
          </w:p>
        </w:tc>
      </w:tr>
      <w:tr>
        <w:trPr>
          <w:trHeight w:val="33"/>
        </w:trPr>
        <w:tc>
          <w:tcPr>
            <w:tcW w:w="4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460" w:type="dxa"/>
            <w:vAlign w:val="bottom"/>
          </w:tcPr>
          <w:p>
            <w:pPr>
              <w:spacing w:after="0"/>
              <w:rPr>
                <w:sz w:val="20"/>
                <w:szCs w:val="20"/>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AGCO CORP</w:t>
            </w:r>
          </w:p>
        </w:tc>
        <w:tc>
          <w:tcPr>
            <w:tcW w:w="542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Common Stock</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17,875</w:t>
            </w:r>
          </w:p>
        </w:tc>
      </w:tr>
      <w:tr>
        <w:trPr>
          <w:trHeight w:val="33"/>
        </w:trPr>
        <w:tc>
          <w:tcPr>
            <w:tcW w:w="460" w:type="dxa"/>
            <w:vAlign w:val="bottom"/>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54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ectPr>
          <w:pgSz w:w="11900" w:h="16838" w:orient="portrait"/>
          <w:cols w:equalWidth="0" w:num="1">
            <w:col w:w="11360"/>
          </w:cols>
          <w:pgMar w:left="280" w:top="301" w:right="259" w:bottom="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760" w:type="dxa"/>
            <w:vAlign w:val="bottom"/>
          </w:tcPr>
          <w:p>
            <w:pPr>
              <w:spacing w:after="0"/>
              <w:rPr>
                <w:sz w:val="20"/>
                <w:szCs w:val="20"/>
                <w:color w:val="auto"/>
              </w:rPr>
            </w:pPr>
            <w:r>
              <w:rPr>
                <w:rFonts w:ascii="Arial" w:cs="Arial" w:eastAsia="Arial" w:hAnsi="Arial"/>
                <w:sz w:val="16"/>
                <w:szCs w:val="16"/>
                <w:color w:val="auto"/>
              </w:rPr>
              <w:t>AGILENT TECHNOLOGIES INC</w:t>
            </w:r>
          </w:p>
        </w:tc>
        <w:tc>
          <w:tcPr>
            <w:tcW w:w="4520" w:type="dxa"/>
            <w:vAlign w:val="bottom"/>
          </w:tcPr>
          <w:p>
            <w:pPr>
              <w:ind w:left="1460"/>
              <w:spacing w:after="0"/>
              <w:rPr>
                <w:sz w:val="20"/>
                <w:szCs w:val="20"/>
                <w:color w:val="auto"/>
              </w:rPr>
            </w:pPr>
            <w:r>
              <w:rPr>
                <w:rFonts w:ascii="Arial" w:cs="Arial" w:eastAsia="Arial" w:hAnsi="Arial"/>
                <w:sz w:val="16"/>
                <w:szCs w:val="16"/>
                <w:color w:val="auto"/>
              </w:rPr>
              <w:t>Common Stock</w:t>
            </w:r>
          </w:p>
        </w:tc>
        <w:tc>
          <w:tcPr>
            <w:tcW w:w="2480" w:type="dxa"/>
            <w:vAlign w:val="bottom"/>
          </w:tcPr>
          <w:p>
            <w:pPr>
              <w:jc w:val="right"/>
              <w:spacing w:after="0"/>
              <w:rPr>
                <w:sz w:val="20"/>
                <w:szCs w:val="20"/>
                <w:color w:val="auto"/>
              </w:rPr>
            </w:pPr>
            <w:r>
              <w:rPr>
                <w:rFonts w:ascii="Arial" w:cs="Arial" w:eastAsia="Arial" w:hAnsi="Arial"/>
                <w:sz w:val="16"/>
                <w:szCs w:val="16"/>
                <w:color w:val="auto"/>
              </w:rPr>
              <w:t>22,075</w:t>
            </w:r>
          </w:p>
        </w:tc>
      </w:tr>
      <w:tr>
        <w:trPr>
          <w:trHeight w:val="284"/>
        </w:trPr>
        <w:tc>
          <w:tcPr>
            <w:tcW w:w="3760" w:type="dxa"/>
            <w:vAlign w:val="bottom"/>
          </w:tcPr>
          <w:p>
            <w:pPr>
              <w:spacing w:after="0"/>
              <w:rPr>
                <w:sz w:val="20"/>
                <w:szCs w:val="20"/>
                <w:color w:val="auto"/>
              </w:rPr>
            </w:pPr>
            <w:r>
              <w:rPr>
                <w:rFonts w:ascii="Arial" w:cs="Arial" w:eastAsia="Arial" w:hAnsi="Arial"/>
                <w:sz w:val="16"/>
                <w:szCs w:val="16"/>
                <w:color w:val="auto"/>
              </w:rPr>
              <w:t>AGL RESOURCES INC</w:t>
            </w:r>
          </w:p>
        </w:tc>
        <w:tc>
          <w:tcPr>
            <w:tcW w:w="4520" w:type="dxa"/>
            <w:vAlign w:val="bottom"/>
          </w:tcPr>
          <w:p>
            <w:pPr>
              <w:ind w:left="1460"/>
              <w:spacing w:after="0"/>
              <w:rPr>
                <w:sz w:val="20"/>
                <w:szCs w:val="20"/>
                <w:color w:val="auto"/>
              </w:rPr>
            </w:pPr>
            <w:r>
              <w:rPr>
                <w:rFonts w:ascii="Arial" w:cs="Arial" w:eastAsia="Arial" w:hAnsi="Arial"/>
                <w:sz w:val="16"/>
                <w:szCs w:val="16"/>
                <w:color w:val="auto"/>
              </w:rPr>
              <w:t>Common Stock</w:t>
            </w:r>
          </w:p>
        </w:tc>
        <w:tc>
          <w:tcPr>
            <w:tcW w:w="2480" w:type="dxa"/>
            <w:vAlign w:val="bottom"/>
          </w:tcPr>
          <w:p>
            <w:pPr>
              <w:jc w:val="right"/>
              <w:spacing w:after="0"/>
              <w:rPr>
                <w:sz w:val="20"/>
                <w:szCs w:val="20"/>
                <w:color w:val="auto"/>
              </w:rPr>
            </w:pPr>
            <w:r>
              <w:rPr>
                <w:rFonts w:ascii="Arial" w:cs="Arial" w:eastAsia="Arial" w:hAnsi="Arial"/>
                <w:sz w:val="16"/>
                <w:szCs w:val="16"/>
                <w:color w:val="auto"/>
              </w:rPr>
              <w:t>9,588</w:t>
            </w:r>
          </w:p>
        </w:tc>
      </w:tr>
    </w:tbl>
    <w:p>
      <w:pPr>
        <w:spacing w:after="0" w:line="26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760"/>
          </w:cols>
          <w:pgMar w:left="760" w:top="130" w:right="379" w:bottom="1440" w:gutter="0" w:footer="0" w:header="0"/>
        </w:sectPr>
      </w:pPr>
    </w:p>
    <w:bookmarkStart w:id="50" w:name="page51"/>
    <w:bookmarkEnd w:id="50"/>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WESCO Distribution, Inc.</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Retirement Savings Plan</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Schedule H (Form 5500), line 4(i) - Schedule of Assets (Held at End of Year)</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EIN 25-1723345, Plan Number 001</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2013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Pr>
          <w:p>
            <w:pPr>
              <w:ind w:left="140"/>
              <w:spacing w:after="0"/>
              <w:rPr>
                <w:sz w:val="20"/>
                <w:szCs w:val="20"/>
                <w:color w:val="auto"/>
              </w:rPr>
            </w:pPr>
            <w:r>
              <w:rPr>
                <w:rFonts w:ascii="Arial" w:cs="Arial" w:eastAsia="Arial" w:hAnsi="Arial"/>
                <w:sz w:val="16"/>
                <w:szCs w:val="16"/>
                <w:b w:val="1"/>
                <w:bCs w:val="1"/>
                <w:color w:val="auto"/>
              </w:rPr>
              <w:t>(a)</w:t>
            </w:r>
          </w:p>
        </w:tc>
        <w:tc>
          <w:tcPr>
            <w:tcW w:w="4360" w:type="dxa"/>
            <w:vAlign w:val="bottom"/>
          </w:tcPr>
          <w:p>
            <w:pPr>
              <w:jc w:val="center"/>
              <w:ind w:left="919"/>
              <w:spacing w:after="0"/>
              <w:rPr>
                <w:sz w:val="20"/>
                <w:szCs w:val="20"/>
                <w:color w:val="auto"/>
              </w:rPr>
            </w:pPr>
            <w:r>
              <w:rPr>
                <w:rFonts w:ascii="Arial" w:cs="Arial" w:eastAsia="Arial" w:hAnsi="Arial"/>
                <w:sz w:val="16"/>
                <w:szCs w:val="16"/>
                <w:b w:val="1"/>
                <w:bCs w:val="1"/>
                <w:color w:val="auto"/>
                <w:w w:val="97"/>
              </w:rPr>
              <w:t>(b)</w:t>
            </w:r>
          </w:p>
        </w:tc>
        <w:tc>
          <w:tcPr>
            <w:tcW w:w="2100" w:type="dxa"/>
            <w:vAlign w:val="bottom"/>
          </w:tcPr>
          <w:p>
            <w:pPr>
              <w:spacing w:after="0"/>
              <w:rPr>
                <w:sz w:val="18"/>
                <w:szCs w:val="18"/>
                <w:color w:val="auto"/>
              </w:rPr>
            </w:pPr>
          </w:p>
        </w:tc>
        <w:tc>
          <w:tcPr>
            <w:tcW w:w="2820" w:type="dxa"/>
            <w:vAlign w:val="bottom"/>
          </w:tcPr>
          <w:p>
            <w:pPr>
              <w:jc w:val="center"/>
              <w:ind w:right="599"/>
              <w:spacing w:after="0"/>
              <w:rPr>
                <w:sz w:val="20"/>
                <w:szCs w:val="20"/>
                <w:color w:val="auto"/>
              </w:rPr>
            </w:pPr>
            <w:r>
              <w:rPr>
                <w:rFonts w:ascii="Arial" w:cs="Arial" w:eastAsia="Arial" w:hAnsi="Arial"/>
                <w:sz w:val="16"/>
                <w:szCs w:val="16"/>
                <w:b w:val="1"/>
                <w:bCs w:val="1"/>
                <w:color w:val="auto"/>
                <w:w w:val="91"/>
              </w:rPr>
              <w:t>(c)</w:t>
            </w:r>
          </w:p>
        </w:tc>
        <w:tc>
          <w:tcPr>
            <w:tcW w:w="1700" w:type="dxa"/>
            <w:vAlign w:val="bottom"/>
          </w:tcPr>
          <w:p>
            <w:pPr>
              <w:jc w:val="center"/>
              <w:ind w:left="379"/>
              <w:spacing w:after="0"/>
              <w:rPr>
                <w:sz w:val="20"/>
                <w:szCs w:val="20"/>
                <w:color w:val="auto"/>
              </w:rPr>
            </w:pPr>
            <w:r>
              <w:rPr>
                <w:rFonts w:ascii="Arial" w:cs="Arial" w:eastAsia="Arial" w:hAnsi="Arial"/>
                <w:sz w:val="16"/>
                <w:szCs w:val="16"/>
                <w:b w:val="1"/>
                <w:bCs w:val="1"/>
                <w:color w:val="auto"/>
                <w:w w:val="97"/>
              </w:rPr>
              <w:t>(d)</w:t>
            </w:r>
          </w:p>
        </w:tc>
      </w:tr>
      <w:tr>
        <w:trPr>
          <w:trHeight w:val="270"/>
        </w:trPr>
        <w:tc>
          <w:tcPr>
            <w:tcW w:w="400" w:type="dxa"/>
            <w:vAlign w:val="bottom"/>
          </w:tcPr>
          <w:p>
            <w:pPr>
              <w:spacing w:after="0"/>
              <w:rPr>
                <w:sz w:val="23"/>
                <w:szCs w:val="23"/>
                <w:color w:val="auto"/>
              </w:rPr>
            </w:pPr>
          </w:p>
        </w:tc>
        <w:tc>
          <w:tcPr>
            <w:tcW w:w="43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820" w:type="dxa"/>
            <w:vAlign w:val="bottom"/>
          </w:tcPr>
          <w:p>
            <w:pPr>
              <w:jc w:val="center"/>
              <w:ind w:right="619"/>
              <w:spacing w:after="0"/>
              <w:rPr>
                <w:sz w:val="20"/>
                <w:szCs w:val="20"/>
                <w:color w:val="auto"/>
              </w:rPr>
            </w:pPr>
            <w:r>
              <w:rPr>
                <w:rFonts w:ascii="Arial" w:cs="Arial" w:eastAsia="Arial" w:hAnsi="Arial"/>
                <w:sz w:val="16"/>
                <w:szCs w:val="16"/>
                <w:b w:val="1"/>
                <w:bCs w:val="1"/>
                <w:color w:val="auto"/>
                <w:w w:val="91"/>
              </w:rPr>
              <w:t>Description of Investment</w:t>
            </w:r>
          </w:p>
        </w:tc>
        <w:tc>
          <w:tcPr>
            <w:tcW w:w="170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360" w:type="dxa"/>
            <w:vAlign w:val="bottom"/>
          </w:tcPr>
          <w:p>
            <w:pPr>
              <w:jc w:val="center"/>
              <w:ind w:left="919"/>
              <w:spacing w:after="0"/>
              <w:rPr>
                <w:sz w:val="20"/>
                <w:szCs w:val="20"/>
                <w:color w:val="auto"/>
              </w:rPr>
            </w:pPr>
            <w:r>
              <w:rPr>
                <w:rFonts w:ascii="Arial" w:cs="Arial" w:eastAsia="Arial" w:hAnsi="Arial"/>
                <w:sz w:val="16"/>
                <w:szCs w:val="16"/>
                <w:b w:val="1"/>
                <w:bCs w:val="1"/>
                <w:color w:val="auto"/>
                <w:w w:val="91"/>
              </w:rPr>
              <w:t>Identity of Issue,</w:t>
            </w:r>
          </w:p>
        </w:tc>
        <w:tc>
          <w:tcPr>
            <w:tcW w:w="2100" w:type="dxa"/>
            <w:vAlign w:val="bottom"/>
          </w:tcPr>
          <w:p>
            <w:pPr>
              <w:spacing w:after="0"/>
              <w:rPr>
                <w:sz w:val="23"/>
                <w:szCs w:val="23"/>
                <w:color w:val="auto"/>
              </w:rPr>
            </w:pPr>
          </w:p>
        </w:tc>
        <w:tc>
          <w:tcPr>
            <w:tcW w:w="2820" w:type="dxa"/>
            <w:vAlign w:val="bottom"/>
          </w:tcPr>
          <w:p>
            <w:pPr>
              <w:jc w:val="center"/>
              <w:ind w:right="599"/>
              <w:spacing w:after="0"/>
              <w:rPr>
                <w:sz w:val="20"/>
                <w:szCs w:val="20"/>
                <w:color w:val="auto"/>
              </w:rPr>
            </w:pPr>
            <w:r>
              <w:rPr>
                <w:rFonts w:ascii="Arial" w:cs="Arial" w:eastAsia="Arial" w:hAnsi="Arial"/>
                <w:sz w:val="16"/>
                <w:szCs w:val="16"/>
                <w:b w:val="1"/>
                <w:bCs w:val="1"/>
                <w:color w:val="auto"/>
                <w:w w:val="95"/>
              </w:rPr>
              <w:t>Including Maturity Date,</w:t>
            </w:r>
          </w:p>
        </w:tc>
        <w:tc>
          <w:tcPr>
            <w:tcW w:w="170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360" w:type="dxa"/>
            <w:vAlign w:val="bottom"/>
          </w:tcPr>
          <w:p>
            <w:pPr>
              <w:jc w:val="center"/>
              <w:ind w:left="919"/>
              <w:spacing w:after="0"/>
              <w:rPr>
                <w:sz w:val="20"/>
                <w:szCs w:val="20"/>
                <w:color w:val="auto"/>
              </w:rPr>
            </w:pPr>
            <w:r>
              <w:rPr>
                <w:rFonts w:ascii="Arial" w:cs="Arial" w:eastAsia="Arial" w:hAnsi="Arial"/>
                <w:sz w:val="16"/>
                <w:szCs w:val="16"/>
                <w:b w:val="1"/>
                <w:bCs w:val="1"/>
                <w:color w:val="auto"/>
                <w:w w:val="91"/>
              </w:rPr>
              <w:t>Borrower, Lessor or</w:t>
            </w:r>
          </w:p>
        </w:tc>
        <w:tc>
          <w:tcPr>
            <w:tcW w:w="2100" w:type="dxa"/>
            <w:vAlign w:val="bottom"/>
          </w:tcPr>
          <w:p>
            <w:pPr>
              <w:spacing w:after="0"/>
              <w:rPr>
                <w:sz w:val="23"/>
                <w:szCs w:val="23"/>
                <w:color w:val="auto"/>
              </w:rPr>
            </w:pPr>
          </w:p>
        </w:tc>
        <w:tc>
          <w:tcPr>
            <w:tcW w:w="2820" w:type="dxa"/>
            <w:vAlign w:val="bottom"/>
          </w:tcPr>
          <w:p>
            <w:pPr>
              <w:jc w:val="center"/>
              <w:ind w:right="619"/>
              <w:spacing w:after="0"/>
              <w:rPr>
                <w:sz w:val="20"/>
                <w:szCs w:val="20"/>
                <w:color w:val="auto"/>
              </w:rPr>
            </w:pPr>
            <w:r>
              <w:rPr>
                <w:rFonts w:ascii="Arial" w:cs="Arial" w:eastAsia="Arial" w:hAnsi="Arial"/>
                <w:sz w:val="16"/>
                <w:szCs w:val="16"/>
                <w:b w:val="1"/>
                <w:bCs w:val="1"/>
                <w:color w:val="auto"/>
                <w:w w:val="92"/>
              </w:rPr>
              <w:t>Rate of Interest, Collateral,</w:t>
            </w:r>
          </w:p>
        </w:tc>
        <w:tc>
          <w:tcPr>
            <w:tcW w:w="1700" w:type="dxa"/>
            <w:vAlign w:val="bottom"/>
          </w:tcPr>
          <w:p>
            <w:pPr>
              <w:jc w:val="center"/>
              <w:ind w:left="379"/>
              <w:spacing w:after="0"/>
              <w:rPr>
                <w:sz w:val="20"/>
                <w:szCs w:val="20"/>
                <w:color w:val="auto"/>
              </w:rPr>
            </w:pPr>
            <w:r>
              <w:rPr>
                <w:rFonts w:ascii="Arial" w:cs="Arial" w:eastAsia="Arial" w:hAnsi="Arial"/>
                <w:sz w:val="16"/>
                <w:szCs w:val="16"/>
                <w:b w:val="1"/>
                <w:bCs w:val="1"/>
                <w:color w:val="auto"/>
                <w:w w:val="96"/>
              </w:rPr>
              <w:t>Current</w:t>
            </w:r>
          </w:p>
        </w:tc>
      </w:tr>
      <w:tr>
        <w:trPr>
          <w:trHeight w:val="270"/>
        </w:trPr>
        <w:tc>
          <w:tcPr>
            <w:tcW w:w="400" w:type="dxa"/>
            <w:vAlign w:val="bottom"/>
          </w:tcPr>
          <w:p>
            <w:pPr>
              <w:spacing w:after="0"/>
              <w:rPr>
                <w:sz w:val="23"/>
                <w:szCs w:val="23"/>
                <w:color w:val="auto"/>
              </w:rPr>
            </w:pPr>
          </w:p>
        </w:tc>
        <w:tc>
          <w:tcPr>
            <w:tcW w:w="4360" w:type="dxa"/>
            <w:vAlign w:val="bottom"/>
          </w:tcPr>
          <w:p>
            <w:pPr>
              <w:jc w:val="center"/>
              <w:ind w:left="939"/>
              <w:spacing w:after="0"/>
              <w:rPr>
                <w:sz w:val="20"/>
                <w:szCs w:val="20"/>
                <w:color w:val="auto"/>
              </w:rPr>
            </w:pPr>
            <w:r>
              <w:rPr>
                <w:rFonts w:ascii="Arial" w:cs="Arial" w:eastAsia="Arial" w:hAnsi="Arial"/>
                <w:sz w:val="16"/>
                <w:szCs w:val="16"/>
                <w:b w:val="1"/>
                <w:bCs w:val="1"/>
                <w:color w:val="auto"/>
                <w:w w:val="96"/>
              </w:rPr>
              <w:t>Similar Party</w:t>
            </w:r>
          </w:p>
        </w:tc>
        <w:tc>
          <w:tcPr>
            <w:tcW w:w="2100" w:type="dxa"/>
            <w:vAlign w:val="bottom"/>
          </w:tcPr>
          <w:p>
            <w:pPr>
              <w:spacing w:after="0"/>
              <w:rPr>
                <w:sz w:val="23"/>
                <w:szCs w:val="23"/>
                <w:color w:val="auto"/>
              </w:rPr>
            </w:pPr>
          </w:p>
        </w:tc>
        <w:tc>
          <w:tcPr>
            <w:tcW w:w="2820" w:type="dxa"/>
            <w:vAlign w:val="bottom"/>
          </w:tcPr>
          <w:p>
            <w:pPr>
              <w:jc w:val="center"/>
              <w:ind w:right="619"/>
              <w:spacing w:after="0"/>
              <w:rPr>
                <w:sz w:val="20"/>
                <w:szCs w:val="20"/>
                <w:color w:val="auto"/>
              </w:rPr>
            </w:pPr>
            <w:r>
              <w:rPr>
                <w:rFonts w:ascii="Arial" w:cs="Arial" w:eastAsia="Arial" w:hAnsi="Arial"/>
                <w:sz w:val="16"/>
                <w:szCs w:val="16"/>
                <w:b w:val="1"/>
                <w:bCs w:val="1"/>
                <w:color w:val="auto"/>
                <w:w w:val="94"/>
              </w:rPr>
              <w:t>Par, or Maturity Value</w:t>
            </w:r>
          </w:p>
        </w:tc>
        <w:tc>
          <w:tcPr>
            <w:tcW w:w="1700" w:type="dxa"/>
            <w:vAlign w:val="bottom"/>
          </w:tcPr>
          <w:p>
            <w:pPr>
              <w:jc w:val="center"/>
              <w:ind w:left="399"/>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AIR PRODUCTS &amp; CHEMICALS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39,235</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AIRGAS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10,961</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ALASKA AIR GROUP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14,381</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ALCOA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81,298</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ALERE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24,254</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ALLEGHENY TECHNOLOGIES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12,328</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ALLEGION PLC W/I</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10,120</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ALLIANT ENERGY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18,421</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ALLIANT TECHSYSTEMS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40,398</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ALLSTATE CORP/THE</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106,626</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ALPHA NATURAL RESOURCES INC CO</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8,261</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ALTERA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4,682</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ALTRIA GROUP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161,852</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AMAZON.COM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42,272</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AMDOCS LTD</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19,960</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AMEDISYS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19,604</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AMEREN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39,342</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AMERICAN AIRLINES GROUP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35,047</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AMERICAN EAGLE OUTFITTERS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6,149</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AMERICAN ELECTRIC POWER CO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59,687</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AMERICAN EQUITY INVESTMENT LIF</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28,227</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AMERICAN EXPRESS CO</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107,424</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AMERICAN FINANCIAL GROUP INC/O</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31,688</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AMERICAN INTERNATIONAL GROUP I</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33,029</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AMERICAN WATER WORKS CO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9,382</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AMERIPRISE FINANCIAL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56,490</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AMERISOURCEBERGEN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33,538</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AMGEN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88,754</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AMKOR TECHNOLOGY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17,783</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AMSURG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18,047</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ANADARKO PETROLEUM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52,827</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ANALOG DEVICES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15,075</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ANIXTER INTERNATIONAL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22,909</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ANN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12,796</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ANNALY MTG MGMT INC COM REIT</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8,455</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AOL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44,569</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APACHE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36,954</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APARTMENT INVT &amp; MGMT CO -A RE</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19,821</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APOLLO EDUCATION GROUP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33,139</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APPLE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274,900</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APPLIED MATERIALS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98,372</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ARCH COAL INC COM</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5,131</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ARCHER-DANIELS-MIDLAND CO</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40,536</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ARMSTRONG WORLD INDUSTRIES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10,946</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ARRIS GROUP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9,809</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ARROW ELECTRONICS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43,346</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ARTHUR J GALLAGHER &amp; CO</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12,953</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ASHFORD HOSPITALITY PRIME IN</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2,093</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ASHFORD HOSPITALITY TRUST REIT</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4,786</w:t>
            </w:r>
          </w:p>
        </w:tc>
      </w:tr>
      <w:tr>
        <w:trPr>
          <w:trHeight w:val="237"/>
        </w:trPr>
        <w:tc>
          <w:tcPr>
            <w:tcW w:w="4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6"/>
                <w:szCs w:val="16"/>
                <w:color w:val="auto"/>
              </w:rPr>
              <w:t>ASHLAND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16,497</w:t>
            </w:r>
          </w:p>
        </w:tc>
      </w:tr>
      <w:tr>
        <w:trPr>
          <w:trHeight w:val="33"/>
        </w:trPr>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97"/>
        </w:trPr>
        <w:tc>
          <w:tcPr>
            <w:tcW w:w="400" w:type="dxa"/>
            <w:vAlign w:val="bottom"/>
            <w:shd w:val="clear" w:color="auto" w:fill="CCEEFF"/>
          </w:tcPr>
          <w:p>
            <w:pPr>
              <w:spacing w:after="0"/>
              <w:rPr>
                <w:sz w:val="8"/>
                <w:szCs w:val="8"/>
                <w:color w:val="auto"/>
              </w:rPr>
            </w:pPr>
          </w:p>
        </w:tc>
        <w:tc>
          <w:tcPr>
            <w:tcW w:w="4360" w:type="dxa"/>
            <w:vAlign w:val="bottom"/>
            <w:shd w:val="clear" w:color="auto" w:fill="CCEEFF"/>
          </w:tcPr>
          <w:p>
            <w:pPr>
              <w:spacing w:after="0"/>
              <w:rPr>
                <w:sz w:val="8"/>
                <w:szCs w:val="8"/>
                <w:color w:val="auto"/>
              </w:rPr>
            </w:pPr>
          </w:p>
        </w:tc>
        <w:tc>
          <w:tcPr>
            <w:tcW w:w="2100" w:type="dxa"/>
            <w:vAlign w:val="bottom"/>
            <w:shd w:val="clear" w:color="auto" w:fill="CCEEFF"/>
          </w:tcPr>
          <w:p>
            <w:pPr>
              <w:spacing w:after="0"/>
              <w:rPr>
                <w:sz w:val="8"/>
                <w:szCs w:val="8"/>
                <w:color w:val="auto"/>
              </w:rPr>
            </w:pPr>
          </w:p>
        </w:tc>
        <w:tc>
          <w:tcPr>
            <w:tcW w:w="2820" w:type="dxa"/>
            <w:vAlign w:val="bottom"/>
            <w:shd w:val="clear" w:color="auto" w:fill="CCEEFF"/>
          </w:tcPr>
          <w:p>
            <w:pPr>
              <w:spacing w:after="0"/>
              <w:rPr>
                <w:sz w:val="8"/>
                <w:szCs w:val="8"/>
                <w:color w:val="auto"/>
              </w:rPr>
            </w:pPr>
          </w:p>
        </w:tc>
        <w:tc>
          <w:tcPr>
            <w:tcW w:w="1700" w:type="dxa"/>
            <w:vAlign w:val="bottom"/>
            <w:shd w:val="clear" w:color="auto" w:fill="CCEEFF"/>
          </w:tcPr>
          <w:p>
            <w:pPr>
              <w:spacing w:after="0"/>
              <w:rPr>
                <w:sz w:val="8"/>
                <w:szCs w:val="8"/>
                <w:color w:val="auto"/>
              </w:rPr>
            </w:pPr>
          </w:p>
        </w:tc>
      </w:tr>
    </w:tbl>
    <w:p>
      <w:pPr>
        <w:sectPr>
          <w:pgSz w:w="11900" w:h="16900" w:orient="portrait"/>
          <w:cols w:equalWidth="0" w:num="1">
            <w:col w:w="11380"/>
          </w:cols>
          <w:pgMar w:left="260" w:top="301" w:right="259" w:bottom="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1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ASSURANT INC</w:t>
            </w:r>
          </w:p>
        </w:tc>
        <w:tc>
          <w:tcPr>
            <w:tcW w:w="4600" w:type="dxa"/>
            <w:vAlign w:val="bottom"/>
            <w:shd w:val="clear" w:color="auto" w:fill="CCEEFF"/>
          </w:tcPr>
          <w:p>
            <w:pPr>
              <w:ind w:left="1580"/>
              <w:spacing w:after="0"/>
              <w:rPr>
                <w:sz w:val="20"/>
                <w:szCs w:val="20"/>
                <w:color w:val="auto"/>
              </w:rPr>
            </w:pPr>
            <w:r>
              <w:rPr>
                <w:rFonts w:ascii="Arial" w:cs="Arial" w:eastAsia="Arial" w:hAnsi="Arial"/>
                <w:sz w:val="16"/>
                <w:szCs w:val="16"/>
                <w:color w:val="auto"/>
              </w:rPr>
              <w:t>Common Stock</w:t>
            </w:r>
          </w:p>
        </w:tc>
        <w:tc>
          <w:tcPr>
            <w:tcW w:w="2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41,879</w:t>
            </w:r>
          </w:p>
        </w:tc>
      </w:tr>
      <w:tr>
        <w:trPr>
          <w:trHeight w:val="237"/>
        </w:trPr>
        <w:tc>
          <w:tcPr>
            <w:tcW w:w="4140" w:type="dxa"/>
            <w:vAlign w:val="bottom"/>
          </w:tcPr>
          <w:p>
            <w:pPr>
              <w:ind w:left="480"/>
              <w:spacing w:after="0"/>
              <w:rPr>
                <w:sz w:val="20"/>
                <w:szCs w:val="20"/>
                <w:color w:val="auto"/>
              </w:rPr>
            </w:pPr>
            <w:r>
              <w:rPr>
                <w:rFonts w:ascii="Arial" w:cs="Arial" w:eastAsia="Arial" w:hAnsi="Arial"/>
                <w:sz w:val="16"/>
                <w:szCs w:val="16"/>
                <w:color w:val="auto"/>
              </w:rPr>
              <w:t>ASTORIA FINANCIAL CORP</w:t>
            </w:r>
          </w:p>
        </w:tc>
        <w:tc>
          <w:tcPr>
            <w:tcW w:w="4600" w:type="dxa"/>
            <w:vAlign w:val="bottom"/>
          </w:tcPr>
          <w:p>
            <w:pPr>
              <w:ind w:left="1580"/>
              <w:spacing w:after="0"/>
              <w:rPr>
                <w:sz w:val="20"/>
                <w:szCs w:val="20"/>
                <w:color w:val="auto"/>
              </w:rPr>
            </w:pPr>
            <w:r>
              <w:rPr>
                <w:rFonts w:ascii="Arial" w:cs="Arial" w:eastAsia="Arial" w:hAnsi="Arial"/>
                <w:sz w:val="16"/>
                <w:szCs w:val="16"/>
                <w:color w:val="auto"/>
              </w:rPr>
              <w:t>Common Stock</w:t>
            </w:r>
          </w:p>
        </w:tc>
        <w:tc>
          <w:tcPr>
            <w:tcW w:w="2640" w:type="dxa"/>
            <w:vAlign w:val="bottom"/>
          </w:tcPr>
          <w:p>
            <w:pPr>
              <w:jc w:val="right"/>
              <w:ind w:right="19"/>
              <w:spacing w:after="0"/>
              <w:rPr>
                <w:sz w:val="20"/>
                <w:szCs w:val="20"/>
                <w:color w:val="auto"/>
              </w:rPr>
            </w:pPr>
            <w:r>
              <w:rPr>
                <w:rFonts w:ascii="Arial" w:cs="Arial" w:eastAsia="Arial" w:hAnsi="Arial"/>
                <w:sz w:val="16"/>
                <w:szCs w:val="16"/>
                <w:color w:val="auto"/>
              </w:rPr>
              <w:t>14,314</w:t>
            </w:r>
          </w:p>
        </w:tc>
      </w:tr>
      <w:tr>
        <w:trPr>
          <w:trHeight w:val="33"/>
        </w:trPr>
        <w:tc>
          <w:tcPr>
            <w:tcW w:w="41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37"/>
        </w:trPr>
        <w:tc>
          <w:tcPr>
            <w:tcW w:w="41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AT&amp;T INC</w:t>
            </w:r>
          </w:p>
        </w:tc>
        <w:tc>
          <w:tcPr>
            <w:tcW w:w="4600" w:type="dxa"/>
            <w:vAlign w:val="bottom"/>
            <w:shd w:val="clear" w:color="auto" w:fill="CCEEFF"/>
          </w:tcPr>
          <w:p>
            <w:pPr>
              <w:ind w:left="1580"/>
              <w:spacing w:after="0"/>
              <w:rPr>
                <w:sz w:val="20"/>
                <w:szCs w:val="20"/>
                <w:color w:val="auto"/>
              </w:rPr>
            </w:pPr>
            <w:r>
              <w:rPr>
                <w:rFonts w:ascii="Arial" w:cs="Arial" w:eastAsia="Arial" w:hAnsi="Arial"/>
                <w:sz w:val="16"/>
                <w:szCs w:val="16"/>
                <w:color w:val="auto"/>
              </w:rPr>
              <w:t>Common Stock</w:t>
            </w:r>
          </w:p>
        </w:tc>
        <w:tc>
          <w:tcPr>
            <w:tcW w:w="2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607,530</w:t>
            </w:r>
          </w:p>
        </w:tc>
      </w:tr>
      <w:tr>
        <w:trPr>
          <w:trHeight w:val="33"/>
        </w:trPr>
        <w:tc>
          <w:tcPr>
            <w:tcW w:w="4140" w:type="dxa"/>
            <w:vAlign w:val="bottom"/>
            <w:shd w:val="clear" w:color="auto" w:fill="CCEEFF"/>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60" w:top="140" w:right="259" w:bottom="1440" w:gutter="0" w:footer="0" w:header="0"/>
        </w:sectPr>
      </w:pPr>
    </w:p>
    <w:bookmarkStart w:id="52" w:name="page53"/>
    <w:bookmarkEnd w:id="52"/>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WESCO Distribution, Inc.</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Retirement Savings Plan</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Schedule H (Form 5500), line 4(i) - Schedule of Assets (Held at End of Year)</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EIN 25-1723345, Plan Number 001</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2013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Pr>
          <w:p>
            <w:pPr>
              <w:ind w:left="140"/>
              <w:spacing w:after="0"/>
              <w:rPr>
                <w:sz w:val="20"/>
                <w:szCs w:val="20"/>
                <w:color w:val="auto"/>
              </w:rPr>
            </w:pPr>
            <w:r>
              <w:rPr>
                <w:rFonts w:ascii="Arial" w:cs="Arial" w:eastAsia="Arial" w:hAnsi="Arial"/>
                <w:sz w:val="16"/>
                <w:szCs w:val="16"/>
                <w:b w:val="1"/>
                <w:bCs w:val="1"/>
                <w:color w:val="auto"/>
              </w:rPr>
              <w:t>(a)</w:t>
            </w:r>
          </w:p>
        </w:tc>
        <w:tc>
          <w:tcPr>
            <w:tcW w:w="4340" w:type="dxa"/>
            <w:vAlign w:val="bottom"/>
          </w:tcPr>
          <w:p>
            <w:pPr>
              <w:jc w:val="center"/>
              <w:ind w:left="899"/>
              <w:spacing w:after="0"/>
              <w:rPr>
                <w:sz w:val="20"/>
                <w:szCs w:val="20"/>
                <w:color w:val="auto"/>
              </w:rPr>
            </w:pPr>
            <w:r>
              <w:rPr>
                <w:rFonts w:ascii="Arial" w:cs="Arial" w:eastAsia="Arial" w:hAnsi="Arial"/>
                <w:sz w:val="16"/>
                <w:szCs w:val="16"/>
                <w:b w:val="1"/>
                <w:bCs w:val="1"/>
                <w:color w:val="auto"/>
                <w:w w:val="97"/>
              </w:rPr>
              <w:t>(b)</w:t>
            </w:r>
          </w:p>
        </w:tc>
        <w:tc>
          <w:tcPr>
            <w:tcW w:w="2100" w:type="dxa"/>
            <w:vAlign w:val="bottom"/>
          </w:tcPr>
          <w:p>
            <w:pPr>
              <w:spacing w:after="0"/>
              <w:rPr>
                <w:sz w:val="18"/>
                <w:szCs w:val="18"/>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1"/>
              </w:rPr>
              <w:t>(c)</w:t>
            </w:r>
          </w:p>
        </w:tc>
        <w:tc>
          <w:tcPr>
            <w:tcW w:w="1720" w:type="dxa"/>
            <w:vAlign w:val="bottom"/>
          </w:tcPr>
          <w:p>
            <w:pPr>
              <w:jc w:val="center"/>
              <w:ind w:left="399"/>
              <w:spacing w:after="0"/>
              <w:rPr>
                <w:sz w:val="20"/>
                <w:szCs w:val="20"/>
                <w:color w:val="auto"/>
              </w:rPr>
            </w:pPr>
            <w:r>
              <w:rPr>
                <w:rFonts w:ascii="Arial" w:cs="Arial" w:eastAsia="Arial" w:hAnsi="Arial"/>
                <w:sz w:val="16"/>
                <w:szCs w:val="16"/>
                <w:b w:val="1"/>
                <w:bCs w:val="1"/>
                <w:color w:val="auto"/>
                <w:w w:val="97"/>
              </w:rPr>
              <w:t>(d)</w:t>
            </w:r>
          </w:p>
        </w:tc>
      </w:tr>
      <w:tr>
        <w:trPr>
          <w:trHeight w:val="270"/>
        </w:trPr>
        <w:tc>
          <w:tcPr>
            <w:tcW w:w="40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800" w:type="dxa"/>
            <w:vAlign w:val="bottom"/>
          </w:tcPr>
          <w:p>
            <w:pPr>
              <w:jc w:val="center"/>
              <w:ind w:right="599"/>
              <w:spacing w:after="0"/>
              <w:rPr>
                <w:sz w:val="20"/>
                <w:szCs w:val="20"/>
                <w:color w:val="auto"/>
              </w:rPr>
            </w:pPr>
            <w:r>
              <w:rPr>
                <w:rFonts w:ascii="Arial" w:cs="Arial" w:eastAsia="Arial" w:hAnsi="Arial"/>
                <w:sz w:val="16"/>
                <w:szCs w:val="16"/>
                <w:b w:val="1"/>
                <w:bCs w:val="1"/>
                <w:color w:val="auto"/>
                <w:w w:val="91"/>
              </w:rPr>
              <w:t>Description of Investment</w:t>
            </w:r>
          </w:p>
        </w:tc>
        <w:tc>
          <w:tcPr>
            <w:tcW w:w="172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340" w:type="dxa"/>
            <w:vAlign w:val="bottom"/>
          </w:tcPr>
          <w:p>
            <w:pPr>
              <w:jc w:val="center"/>
              <w:ind w:left="899"/>
              <w:spacing w:after="0"/>
              <w:rPr>
                <w:sz w:val="20"/>
                <w:szCs w:val="20"/>
                <w:color w:val="auto"/>
              </w:rPr>
            </w:pPr>
            <w:r>
              <w:rPr>
                <w:rFonts w:ascii="Arial" w:cs="Arial" w:eastAsia="Arial" w:hAnsi="Arial"/>
                <w:sz w:val="16"/>
                <w:szCs w:val="16"/>
                <w:b w:val="1"/>
                <w:bCs w:val="1"/>
                <w:color w:val="auto"/>
                <w:w w:val="91"/>
              </w:rPr>
              <w:t>Identity of Issue,</w:t>
            </w:r>
          </w:p>
        </w:tc>
        <w:tc>
          <w:tcPr>
            <w:tcW w:w="2100" w:type="dxa"/>
            <w:vAlign w:val="bottom"/>
          </w:tcPr>
          <w:p>
            <w:pPr>
              <w:spacing w:after="0"/>
              <w:rPr>
                <w:sz w:val="23"/>
                <w:szCs w:val="23"/>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5"/>
              </w:rPr>
              <w:t>Including Maturity Date,</w:t>
            </w:r>
          </w:p>
        </w:tc>
        <w:tc>
          <w:tcPr>
            <w:tcW w:w="172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340" w:type="dxa"/>
            <w:vAlign w:val="bottom"/>
          </w:tcPr>
          <w:p>
            <w:pPr>
              <w:jc w:val="center"/>
              <w:ind w:left="919"/>
              <w:spacing w:after="0"/>
              <w:rPr>
                <w:sz w:val="20"/>
                <w:szCs w:val="20"/>
                <w:color w:val="auto"/>
              </w:rPr>
            </w:pPr>
            <w:r>
              <w:rPr>
                <w:rFonts w:ascii="Arial" w:cs="Arial" w:eastAsia="Arial" w:hAnsi="Arial"/>
                <w:sz w:val="16"/>
                <w:szCs w:val="16"/>
                <w:b w:val="1"/>
                <w:bCs w:val="1"/>
                <w:color w:val="auto"/>
                <w:w w:val="90"/>
              </w:rPr>
              <w:t>Borrower, Lessor or</w:t>
            </w:r>
          </w:p>
        </w:tc>
        <w:tc>
          <w:tcPr>
            <w:tcW w:w="2100" w:type="dxa"/>
            <w:vAlign w:val="bottom"/>
          </w:tcPr>
          <w:p>
            <w:pPr>
              <w:spacing w:after="0"/>
              <w:rPr>
                <w:sz w:val="23"/>
                <w:szCs w:val="23"/>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3"/>
              </w:rPr>
              <w:t>Rate of Interest, Collateral,</w:t>
            </w:r>
          </w:p>
        </w:tc>
        <w:tc>
          <w:tcPr>
            <w:tcW w:w="1720" w:type="dxa"/>
            <w:vAlign w:val="bottom"/>
          </w:tcPr>
          <w:p>
            <w:pPr>
              <w:jc w:val="center"/>
              <w:ind w:left="379"/>
              <w:spacing w:after="0"/>
              <w:rPr>
                <w:sz w:val="20"/>
                <w:szCs w:val="20"/>
                <w:color w:val="auto"/>
              </w:rPr>
            </w:pPr>
            <w:r>
              <w:rPr>
                <w:rFonts w:ascii="Arial" w:cs="Arial" w:eastAsia="Arial" w:hAnsi="Arial"/>
                <w:sz w:val="16"/>
                <w:szCs w:val="16"/>
                <w:b w:val="1"/>
                <w:bCs w:val="1"/>
                <w:color w:val="auto"/>
              </w:rPr>
              <w:t>Current</w:t>
            </w:r>
          </w:p>
        </w:tc>
      </w:tr>
      <w:tr>
        <w:trPr>
          <w:trHeight w:val="270"/>
        </w:trPr>
        <w:tc>
          <w:tcPr>
            <w:tcW w:w="400" w:type="dxa"/>
            <w:vAlign w:val="bottom"/>
          </w:tcPr>
          <w:p>
            <w:pPr>
              <w:spacing w:after="0"/>
              <w:rPr>
                <w:sz w:val="23"/>
                <w:szCs w:val="23"/>
                <w:color w:val="auto"/>
              </w:rPr>
            </w:pPr>
          </w:p>
        </w:tc>
        <w:tc>
          <w:tcPr>
            <w:tcW w:w="4340" w:type="dxa"/>
            <w:vAlign w:val="bottom"/>
          </w:tcPr>
          <w:p>
            <w:pPr>
              <w:jc w:val="center"/>
              <w:ind w:left="919"/>
              <w:spacing w:after="0"/>
              <w:rPr>
                <w:sz w:val="20"/>
                <w:szCs w:val="20"/>
                <w:color w:val="auto"/>
              </w:rPr>
            </w:pPr>
            <w:r>
              <w:rPr>
                <w:rFonts w:ascii="Arial" w:cs="Arial" w:eastAsia="Arial" w:hAnsi="Arial"/>
                <w:sz w:val="16"/>
                <w:szCs w:val="16"/>
                <w:b w:val="1"/>
                <w:bCs w:val="1"/>
                <w:color w:val="auto"/>
                <w:w w:val="96"/>
              </w:rPr>
              <w:t>Similar Party</w:t>
            </w:r>
          </w:p>
        </w:tc>
        <w:tc>
          <w:tcPr>
            <w:tcW w:w="2100" w:type="dxa"/>
            <w:vAlign w:val="bottom"/>
          </w:tcPr>
          <w:p>
            <w:pPr>
              <w:spacing w:after="0"/>
              <w:rPr>
                <w:sz w:val="23"/>
                <w:szCs w:val="23"/>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6"/>
              </w:rPr>
              <w:t>Par, or Maturity Value</w:t>
            </w:r>
          </w:p>
        </w:tc>
        <w:tc>
          <w:tcPr>
            <w:tcW w:w="1720" w:type="dxa"/>
            <w:vAlign w:val="bottom"/>
          </w:tcPr>
          <w:p>
            <w:pPr>
              <w:jc w:val="center"/>
              <w:ind w:left="379"/>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ATLAS AIR WORLDWIDE HOLDINGS I</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4,691</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ATMEL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5,857</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ATMOS ENERGY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16,760</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AUTODESK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9,158</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AUTOMATIC DATA PROCESSING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80,718</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AUTOZONE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4,301</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AVERY DENNISON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24,292</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AVIS BUDGET GROUP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74,009</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AVISTA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10,684</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AVNET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32,156</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AVON PRODUCTS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41,982</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BABCOCK &amp; WILCOX CO COM</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16,103</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BAKER HUGHES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33,598</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BANCORPSOUTH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18,328</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BANK OF AMERICA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666,739</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BANK OF HAWAII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8,339</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BANK OF NEW YORK MELLON CORP/T</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104,471</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BARNES &amp; NOBLE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8,551</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BAXTER INTERNATIONAL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79,635</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BB&amp;T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46,426</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BECTON DICKINSON AND CO</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53,809</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BED BATH &amp; BEYOND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20,637</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BEMIS CO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14,705</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BENCHMARK ELECTRONICS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13,271</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BERKSHIRE HATHAWAY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236,053</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BEST BUY CO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137,785</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BIG LOTS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15,951</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BILL BARRETT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16,443</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BIO-RAD LABORATORIES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5,192</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BIOGEN IDEC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6,710</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BLACKROCK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56,015</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BOB EVANS FARMS INC/DE</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22,816</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BOEING CO/THE</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170,067</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BOOZ ALLEN HAMILTON HOLDING CO</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6,568</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BOSTON SCIENTIFIC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180,264</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BOYD GAMING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12,915</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BRIGGS &amp; STRATTON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11,489</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BRINK'S CO/THE</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11,949</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BRINKER INTERNATIONAL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21,455</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BRISTOL-MYERS SQUIBB CO</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181,029</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BROADCOM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5,366</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BROADRIDGE FINANCIAL SOLUTIONS</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7,311</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BROCADE COMMUNICATIONS SYSTEMS</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23,873</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BROWN SHOE CO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16,040</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BUNGE LTD</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30,791</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CA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33,280</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CABLEVISION SYSTEMS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24,941</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CACI INTERNATIONAL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26,066</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CAESARS ENTERTAINMENT IPO</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71,685</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CALPINE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14,008</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97"/>
        </w:trPr>
        <w:tc>
          <w:tcPr>
            <w:tcW w:w="4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c>
          <w:tcPr>
            <w:tcW w:w="2100" w:type="dxa"/>
            <w:vAlign w:val="bottom"/>
            <w:shd w:val="clear" w:color="auto" w:fill="CCEEFF"/>
          </w:tcPr>
          <w:p>
            <w:pPr>
              <w:spacing w:after="0"/>
              <w:rPr>
                <w:sz w:val="8"/>
                <w:szCs w:val="8"/>
                <w:color w:val="auto"/>
              </w:rPr>
            </w:pPr>
          </w:p>
        </w:tc>
        <w:tc>
          <w:tcPr>
            <w:tcW w:w="2800" w:type="dxa"/>
            <w:vAlign w:val="bottom"/>
            <w:shd w:val="clear" w:color="auto" w:fill="CCEEFF"/>
          </w:tcPr>
          <w:p>
            <w:pPr>
              <w:spacing w:after="0"/>
              <w:rPr>
                <w:sz w:val="8"/>
                <w:szCs w:val="8"/>
                <w:color w:val="auto"/>
              </w:rPr>
            </w:pPr>
          </w:p>
        </w:tc>
        <w:tc>
          <w:tcPr>
            <w:tcW w:w="1720" w:type="dxa"/>
            <w:vAlign w:val="bottom"/>
            <w:shd w:val="clear" w:color="auto" w:fill="CCEEFF"/>
          </w:tcPr>
          <w:p>
            <w:pPr>
              <w:spacing w:after="0"/>
              <w:rPr>
                <w:sz w:val="8"/>
                <w:szCs w:val="8"/>
                <w:color w:val="auto"/>
              </w:rPr>
            </w:pPr>
          </w:p>
        </w:tc>
      </w:tr>
    </w:tbl>
    <w:p>
      <w:pPr>
        <w:sectPr>
          <w:pgSz w:w="11900" w:h="16900" w:orient="portrait"/>
          <w:cols w:equalWidth="0" w:num="1">
            <w:col w:w="11360"/>
          </w:cols>
          <w:pgMar w:left="280" w:top="301" w:right="259" w:bottom="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CAMERON INTERNATIONAL CORP</w:t>
            </w:r>
          </w:p>
        </w:tc>
        <w:tc>
          <w:tcPr>
            <w:tcW w:w="4360" w:type="dxa"/>
            <w:vAlign w:val="bottom"/>
            <w:shd w:val="clear" w:color="auto" w:fill="CCEEFF"/>
          </w:tcPr>
          <w:p>
            <w:pPr>
              <w:ind w:left="1300"/>
              <w:spacing w:after="0"/>
              <w:rPr>
                <w:sz w:val="20"/>
                <w:szCs w:val="20"/>
                <w:color w:val="auto"/>
              </w:rPr>
            </w:pPr>
            <w:r>
              <w:rPr>
                <w:rFonts w:ascii="Arial" w:cs="Arial" w:eastAsia="Arial" w:hAnsi="Arial"/>
                <w:sz w:val="16"/>
                <w:szCs w:val="16"/>
                <w:color w:val="auto"/>
              </w:rPr>
              <w:t>Common Stock</w:t>
            </w:r>
          </w:p>
        </w:tc>
        <w:tc>
          <w:tcPr>
            <w:tcW w:w="2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14,109</w:t>
            </w:r>
          </w:p>
        </w:tc>
      </w:tr>
      <w:tr>
        <w:trPr>
          <w:trHeight w:val="237"/>
        </w:trPr>
        <w:tc>
          <w:tcPr>
            <w:tcW w:w="4400" w:type="dxa"/>
            <w:vAlign w:val="bottom"/>
          </w:tcPr>
          <w:p>
            <w:pPr>
              <w:ind w:left="480"/>
              <w:spacing w:after="0"/>
              <w:rPr>
                <w:sz w:val="20"/>
                <w:szCs w:val="20"/>
                <w:color w:val="auto"/>
              </w:rPr>
            </w:pPr>
            <w:r>
              <w:rPr>
                <w:rFonts w:ascii="Arial" w:cs="Arial" w:eastAsia="Arial" w:hAnsi="Arial"/>
                <w:sz w:val="16"/>
                <w:szCs w:val="16"/>
                <w:color w:val="auto"/>
              </w:rPr>
              <w:t>CAMPBELL SOUP CO</w:t>
            </w:r>
          </w:p>
        </w:tc>
        <w:tc>
          <w:tcPr>
            <w:tcW w:w="4360" w:type="dxa"/>
            <w:vAlign w:val="bottom"/>
          </w:tcPr>
          <w:p>
            <w:pPr>
              <w:ind w:left="1300"/>
              <w:spacing w:after="0"/>
              <w:rPr>
                <w:sz w:val="20"/>
                <w:szCs w:val="20"/>
                <w:color w:val="auto"/>
              </w:rPr>
            </w:pPr>
            <w:r>
              <w:rPr>
                <w:rFonts w:ascii="Arial" w:cs="Arial" w:eastAsia="Arial" w:hAnsi="Arial"/>
                <w:sz w:val="16"/>
                <w:szCs w:val="16"/>
                <w:color w:val="auto"/>
              </w:rPr>
              <w:t>Common Stock</w:t>
            </w:r>
          </w:p>
        </w:tc>
        <w:tc>
          <w:tcPr>
            <w:tcW w:w="2600" w:type="dxa"/>
            <w:vAlign w:val="bottom"/>
          </w:tcPr>
          <w:p>
            <w:pPr>
              <w:jc w:val="right"/>
              <w:ind w:right="39"/>
              <w:spacing w:after="0"/>
              <w:rPr>
                <w:sz w:val="20"/>
                <w:szCs w:val="20"/>
                <w:color w:val="auto"/>
              </w:rPr>
            </w:pPr>
            <w:r>
              <w:rPr>
                <w:rFonts w:ascii="Arial" w:cs="Arial" w:eastAsia="Arial" w:hAnsi="Arial"/>
                <w:sz w:val="16"/>
                <w:szCs w:val="16"/>
                <w:color w:val="auto"/>
              </w:rPr>
              <w:t>26,401</w:t>
            </w:r>
          </w:p>
        </w:tc>
      </w:tr>
      <w:tr>
        <w:trPr>
          <w:trHeight w:val="33"/>
        </w:trPr>
        <w:tc>
          <w:tcPr>
            <w:tcW w:w="4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37"/>
        </w:trPr>
        <w:tc>
          <w:tcPr>
            <w:tcW w:w="44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CAPITAL ONE FINANCIAL CORP</w:t>
            </w:r>
          </w:p>
        </w:tc>
        <w:tc>
          <w:tcPr>
            <w:tcW w:w="4360" w:type="dxa"/>
            <w:vAlign w:val="bottom"/>
            <w:shd w:val="clear" w:color="auto" w:fill="CCEEFF"/>
          </w:tcPr>
          <w:p>
            <w:pPr>
              <w:ind w:left="1300"/>
              <w:spacing w:after="0"/>
              <w:rPr>
                <w:sz w:val="20"/>
                <w:szCs w:val="20"/>
                <w:color w:val="auto"/>
              </w:rPr>
            </w:pPr>
            <w:r>
              <w:rPr>
                <w:rFonts w:ascii="Arial" w:cs="Arial" w:eastAsia="Arial" w:hAnsi="Arial"/>
                <w:sz w:val="16"/>
                <w:szCs w:val="16"/>
                <w:color w:val="auto"/>
              </w:rPr>
              <w:t>Common Stock</w:t>
            </w:r>
          </w:p>
        </w:tc>
        <w:tc>
          <w:tcPr>
            <w:tcW w:w="2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94,920</w:t>
            </w:r>
          </w:p>
        </w:tc>
      </w:tr>
      <w:tr>
        <w:trPr>
          <w:trHeight w:val="33"/>
        </w:trPr>
        <w:tc>
          <w:tcPr>
            <w:tcW w:w="440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80" w:top="140" w:right="259" w:bottom="1440" w:gutter="0" w:footer="0" w:header="0"/>
        </w:sectPr>
      </w:pPr>
    </w:p>
    <w:bookmarkStart w:id="54" w:name="page55"/>
    <w:bookmarkEnd w:id="54"/>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WESCO Distribution, Inc.</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Retirement Savings Plan</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Schedule H (Form 5500), line 4(i) - Schedule of Assets (Held at End of Year)</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EIN 25-1723345, Plan Number 001</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2013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Pr>
          <w:p>
            <w:pPr>
              <w:ind w:left="140"/>
              <w:spacing w:after="0"/>
              <w:rPr>
                <w:sz w:val="20"/>
                <w:szCs w:val="20"/>
                <w:color w:val="auto"/>
              </w:rPr>
            </w:pPr>
            <w:r>
              <w:rPr>
                <w:rFonts w:ascii="Arial" w:cs="Arial" w:eastAsia="Arial" w:hAnsi="Arial"/>
                <w:sz w:val="16"/>
                <w:szCs w:val="16"/>
                <w:b w:val="1"/>
                <w:bCs w:val="1"/>
                <w:color w:val="auto"/>
              </w:rPr>
              <w:t>(a)</w:t>
            </w:r>
          </w:p>
        </w:tc>
        <w:tc>
          <w:tcPr>
            <w:tcW w:w="4340" w:type="dxa"/>
            <w:vAlign w:val="bottom"/>
          </w:tcPr>
          <w:p>
            <w:pPr>
              <w:jc w:val="center"/>
              <w:ind w:left="899"/>
              <w:spacing w:after="0"/>
              <w:rPr>
                <w:sz w:val="20"/>
                <w:szCs w:val="20"/>
                <w:color w:val="auto"/>
              </w:rPr>
            </w:pPr>
            <w:r>
              <w:rPr>
                <w:rFonts w:ascii="Arial" w:cs="Arial" w:eastAsia="Arial" w:hAnsi="Arial"/>
                <w:sz w:val="16"/>
                <w:szCs w:val="16"/>
                <w:b w:val="1"/>
                <w:bCs w:val="1"/>
                <w:color w:val="auto"/>
                <w:w w:val="97"/>
              </w:rPr>
              <w:t>(b)</w:t>
            </w:r>
          </w:p>
        </w:tc>
        <w:tc>
          <w:tcPr>
            <w:tcW w:w="2100" w:type="dxa"/>
            <w:vAlign w:val="bottom"/>
          </w:tcPr>
          <w:p>
            <w:pPr>
              <w:spacing w:after="0"/>
              <w:rPr>
                <w:sz w:val="18"/>
                <w:szCs w:val="18"/>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1"/>
              </w:rPr>
              <w:t>(c)</w:t>
            </w:r>
          </w:p>
        </w:tc>
        <w:tc>
          <w:tcPr>
            <w:tcW w:w="1720" w:type="dxa"/>
            <w:vAlign w:val="bottom"/>
          </w:tcPr>
          <w:p>
            <w:pPr>
              <w:jc w:val="center"/>
              <w:ind w:left="399"/>
              <w:spacing w:after="0"/>
              <w:rPr>
                <w:sz w:val="20"/>
                <w:szCs w:val="20"/>
                <w:color w:val="auto"/>
              </w:rPr>
            </w:pPr>
            <w:r>
              <w:rPr>
                <w:rFonts w:ascii="Arial" w:cs="Arial" w:eastAsia="Arial" w:hAnsi="Arial"/>
                <w:sz w:val="16"/>
                <w:szCs w:val="16"/>
                <w:b w:val="1"/>
                <w:bCs w:val="1"/>
                <w:color w:val="auto"/>
                <w:w w:val="97"/>
              </w:rPr>
              <w:t>(d)</w:t>
            </w:r>
          </w:p>
        </w:tc>
      </w:tr>
      <w:tr>
        <w:trPr>
          <w:trHeight w:val="270"/>
        </w:trPr>
        <w:tc>
          <w:tcPr>
            <w:tcW w:w="40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800" w:type="dxa"/>
            <w:vAlign w:val="bottom"/>
          </w:tcPr>
          <w:p>
            <w:pPr>
              <w:jc w:val="center"/>
              <w:ind w:right="599"/>
              <w:spacing w:after="0"/>
              <w:rPr>
                <w:sz w:val="20"/>
                <w:szCs w:val="20"/>
                <w:color w:val="auto"/>
              </w:rPr>
            </w:pPr>
            <w:r>
              <w:rPr>
                <w:rFonts w:ascii="Arial" w:cs="Arial" w:eastAsia="Arial" w:hAnsi="Arial"/>
                <w:sz w:val="16"/>
                <w:szCs w:val="16"/>
                <w:b w:val="1"/>
                <w:bCs w:val="1"/>
                <w:color w:val="auto"/>
                <w:w w:val="91"/>
              </w:rPr>
              <w:t>Description of Investment</w:t>
            </w:r>
          </w:p>
        </w:tc>
        <w:tc>
          <w:tcPr>
            <w:tcW w:w="172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340" w:type="dxa"/>
            <w:vAlign w:val="bottom"/>
          </w:tcPr>
          <w:p>
            <w:pPr>
              <w:jc w:val="center"/>
              <w:ind w:left="899"/>
              <w:spacing w:after="0"/>
              <w:rPr>
                <w:sz w:val="20"/>
                <w:szCs w:val="20"/>
                <w:color w:val="auto"/>
              </w:rPr>
            </w:pPr>
            <w:r>
              <w:rPr>
                <w:rFonts w:ascii="Arial" w:cs="Arial" w:eastAsia="Arial" w:hAnsi="Arial"/>
                <w:sz w:val="16"/>
                <w:szCs w:val="16"/>
                <w:b w:val="1"/>
                <w:bCs w:val="1"/>
                <w:color w:val="auto"/>
                <w:w w:val="91"/>
              </w:rPr>
              <w:t>Identity of Issue,</w:t>
            </w:r>
          </w:p>
        </w:tc>
        <w:tc>
          <w:tcPr>
            <w:tcW w:w="2100" w:type="dxa"/>
            <w:vAlign w:val="bottom"/>
          </w:tcPr>
          <w:p>
            <w:pPr>
              <w:spacing w:after="0"/>
              <w:rPr>
                <w:sz w:val="23"/>
                <w:szCs w:val="23"/>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5"/>
              </w:rPr>
              <w:t>Including Maturity Date,</w:t>
            </w:r>
          </w:p>
        </w:tc>
        <w:tc>
          <w:tcPr>
            <w:tcW w:w="172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340" w:type="dxa"/>
            <w:vAlign w:val="bottom"/>
          </w:tcPr>
          <w:p>
            <w:pPr>
              <w:jc w:val="center"/>
              <w:ind w:left="919"/>
              <w:spacing w:after="0"/>
              <w:rPr>
                <w:sz w:val="20"/>
                <w:szCs w:val="20"/>
                <w:color w:val="auto"/>
              </w:rPr>
            </w:pPr>
            <w:r>
              <w:rPr>
                <w:rFonts w:ascii="Arial" w:cs="Arial" w:eastAsia="Arial" w:hAnsi="Arial"/>
                <w:sz w:val="16"/>
                <w:szCs w:val="16"/>
                <w:b w:val="1"/>
                <w:bCs w:val="1"/>
                <w:color w:val="auto"/>
                <w:w w:val="90"/>
              </w:rPr>
              <w:t>Borrower, Lessor or</w:t>
            </w:r>
          </w:p>
        </w:tc>
        <w:tc>
          <w:tcPr>
            <w:tcW w:w="2100" w:type="dxa"/>
            <w:vAlign w:val="bottom"/>
          </w:tcPr>
          <w:p>
            <w:pPr>
              <w:spacing w:after="0"/>
              <w:rPr>
                <w:sz w:val="23"/>
                <w:szCs w:val="23"/>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3"/>
              </w:rPr>
              <w:t>Rate of Interest, Collateral,</w:t>
            </w:r>
          </w:p>
        </w:tc>
        <w:tc>
          <w:tcPr>
            <w:tcW w:w="1720" w:type="dxa"/>
            <w:vAlign w:val="bottom"/>
          </w:tcPr>
          <w:p>
            <w:pPr>
              <w:jc w:val="center"/>
              <w:ind w:left="379"/>
              <w:spacing w:after="0"/>
              <w:rPr>
                <w:sz w:val="20"/>
                <w:szCs w:val="20"/>
                <w:color w:val="auto"/>
              </w:rPr>
            </w:pPr>
            <w:r>
              <w:rPr>
                <w:rFonts w:ascii="Arial" w:cs="Arial" w:eastAsia="Arial" w:hAnsi="Arial"/>
                <w:sz w:val="16"/>
                <w:szCs w:val="16"/>
                <w:b w:val="1"/>
                <w:bCs w:val="1"/>
                <w:color w:val="auto"/>
              </w:rPr>
              <w:t>Current</w:t>
            </w:r>
          </w:p>
        </w:tc>
      </w:tr>
      <w:tr>
        <w:trPr>
          <w:trHeight w:val="270"/>
        </w:trPr>
        <w:tc>
          <w:tcPr>
            <w:tcW w:w="400" w:type="dxa"/>
            <w:vAlign w:val="bottom"/>
          </w:tcPr>
          <w:p>
            <w:pPr>
              <w:spacing w:after="0"/>
              <w:rPr>
                <w:sz w:val="23"/>
                <w:szCs w:val="23"/>
                <w:color w:val="auto"/>
              </w:rPr>
            </w:pPr>
          </w:p>
        </w:tc>
        <w:tc>
          <w:tcPr>
            <w:tcW w:w="4340" w:type="dxa"/>
            <w:vAlign w:val="bottom"/>
          </w:tcPr>
          <w:p>
            <w:pPr>
              <w:jc w:val="center"/>
              <w:ind w:left="919"/>
              <w:spacing w:after="0"/>
              <w:rPr>
                <w:sz w:val="20"/>
                <w:szCs w:val="20"/>
                <w:color w:val="auto"/>
              </w:rPr>
            </w:pPr>
            <w:r>
              <w:rPr>
                <w:rFonts w:ascii="Arial" w:cs="Arial" w:eastAsia="Arial" w:hAnsi="Arial"/>
                <w:sz w:val="16"/>
                <w:szCs w:val="16"/>
                <w:b w:val="1"/>
                <w:bCs w:val="1"/>
                <w:color w:val="auto"/>
                <w:w w:val="96"/>
              </w:rPr>
              <w:t>Similar Party</w:t>
            </w:r>
          </w:p>
        </w:tc>
        <w:tc>
          <w:tcPr>
            <w:tcW w:w="2100" w:type="dxa"/>
            <w:vAlign w:val="bottom"/>
          </w:tcPr>
          <w:p>
            <w:pPr>
              <w:spacing w:after="0"/>
              <w:rPr>
                <w:sz w:val="23"/>
                <w:szCs w:val="23"/>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6"/>
              </w:rPr>
              <w:t>Par, or Maturity Value</w:t>
            </w:r>
          </w:p>
        </w:tc>
        <w:tc>
          <w:tcPr>
            <w:tcW w:w="1720" w:type="dxa"/>
            <w:vAlign w:val="bottom"/>
          </w:tcPr>
          <w:p>
            <w:pPr>
              <w:jc w:val="center"/>
              <w:ind w:left="379"/>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CARDINAL HEALTH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44,896</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CAREER EDUCATION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21,113</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CAREFUSION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35,918</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CARNIVAL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8,235</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CATERPILLAR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74,010</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CBS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84,774</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CELGENE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6,083</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CENTENE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8,784</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CENTERPOINT ENERGY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29,068</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CENTURYLINK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28,474</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CF INDUSTRIES HOLDINGS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5,593</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CHARLES RIVER LABORATORIES INT</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5,463</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CHARLES SCHWAB CORP/THE</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75,764</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CHARTER COMMUNICATIONS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78,500</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CHECKPOINT SYSTEMS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12,111</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CHEESECAKE FACTORY INC/THE</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11,295</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CHEMTURA CORP NEW</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10,582</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CHESAPEAKE ENERGY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97,026</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CHEVRON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663,022</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CHILDRENS PLACE RETAIL STORES</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7,634</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CHIQUITA BRANDS INTERNATIONAL</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13,081</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CHUBB CORP/THE</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77,014</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CIGNA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56,075</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CIMAREX ENERGY CO</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4,931</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CINCINNATI BELL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10,132</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CINCINNATI FINANCIAL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25,923</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CINEMARK HOLDINGS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12,599</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CINTAS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9,117</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CISCO SYSTEMS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155,059</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CIT GROUP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7,090</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CITIGROUP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340,643</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CITY NATIONAL CORP/CA</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9,665</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CLOUD PEAK ENERGY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10,710</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CME GROUP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9,729</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CMS ENERGY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13,760</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CNO FINANCIAL GROUP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47,763</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COCA-COLA CO/THE</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234,393</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COCA-COLA ENTERPRISES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46,910</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COEUR MINING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4,188</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COLGATE-PALMOLIVE CO</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72,253</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COMCAST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130,016</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COMERICA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14,167</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COMMERCE BANCSHARES INC/MO</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12,889</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COMMERCIAL METALS CO</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14,821</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COMMONWEALTH REIT</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4,709</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COMMUNITY HEALTH SYSTEMS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119,616</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COMPUTER SCIENCES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82,423</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COMPUWARE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9,327</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COMSTOCK RESOURCES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5,359</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COMTECH TELECOMMUNICATIONS COR</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12,919</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97"/>
        </w:trPr>
        <w:tc>
          <w:tcPr>
            <w:tcW w:w="4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c>
          <w:tcPr>
            <w:tcW w:w="2100" w:type="dxa"/>
            <w:vAlign w:val="bottom"/>
            <w:shd w:val="clear" w:color="auto" w:fill="CCEEFF"/>
          </w:tcPr>
          <w:p>
            <w:pPr>
              <w:spacing w:after="0"/>
              <w:rPr>
                <w:sz w:val="8"/>
                <w:szCs w:val="8"/>
                <w:color w:val="auto"/>
              </w:rPr>
            </w:pPr>
          </w:p>
        </w:tc>
        <w:tc>
          <w:tcPr>
            <w:tcW w:w="2800" w:type="dxa"/>
            <w:vAlign w:val="bottom"/>
            <w:shd w:val="clear" w:color="auto" w:fill="CCEEFF"/>
          </w:tcPr>
          <w:p>
            <w:pPr>
              <w:spacing w:after="0"/>
              <w:rPr>
                <w:sz w:val="8"/>
                <w:szCs w:val="8"/>
                <w:color w:val="auto"/>
              </w:rPr>
            </w:pPr>
          </w:p>
        </w:tc>
        <w:tc>
          <w:tcPr>
            <w:tcW w:w="1720" w:type="dxa"/>
            <w:vAlign w:val="bottom"/>
            <w:shd w:val="clear" w:color="auto" w:fill="CCEEFF"/>
          </w:tcPr>
          <w:p>
            <w:pPr>
              <w:spacing w:after="0"/>
              <w:rPr>
                <w:sz w:val="8"/>
                <w:szCs w:val="8"/>
                <w:color w:val="auto"/>
              </w:rPr>
            </w:pPr>
          </w:p>
        </w:tc>
      </w:tr>
    </w:tbl>
    <w:p>
      <w:pPr>
        <w:sectPr>
          <w:pgSz w:w="11900" w:h="16900" w:orient="portrait"/>
          <w:cols w:equalWidth="0" w:num="1">
            <w:col w:w="11360"/>
          </w:cols>
          <w:pgMar w:left="280" w:top="301" w:right="259" w:bottom="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CON-WAY INC</w:t>
            </w:r>
          </w:p>
        </w:tc>
        <w:tc>
          <w:tcPr>
            <w:tcW w:w="4820" w:type="dxa"/>
            <w:vAlign w:val="bottom"/>
            <w:shd w:val="clear" w:color="auto" w:fill="CCEEFF"/>
          </w:tcPr>
          <w:p>
            <w:pPr>
              <w:ind w:left="1760"/>
              <w:spacing w:after="0"/>
              <w:rPr>
                <w:sz w:val="20"/>
                <w:szCs w:val="20"/>
                <w:color w:val="auto"/>
              </w:rPr>
            </w:pPr>
            <w:r>
              <w:rPr>
                <w:rFonts w:ascii="Arial" w:cs="Arial" w:eastAsia="Arial" w:hAnsi="Arial"/>
                <w:sz w:val="16"/>
                <w:szCs w:val="16"/>
                <w:color w:val="auto"/>
              </w:rPr>
              <w:t>Common Stock</w:t>
            </w:r>
          </w:p>
        </w:tc>
        <w:tc>
          <w:tcPr>
            <w:tcW w:w="2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12,112</w:t>
            </w:r>
          </w:p>
        </w:tc>
      </w:tr>
      <w:tr>
        <w:trPr>
          <w:trHeight w:val="237"/>
        </w:trPr>
        <w:tc>
          <w:tcPr>
            <w:tcW w:w="3940" w:type="dxa"/>
            <w:vAlign w:val="bottom"/>
          </w:tcPr>
          <w:p>
            <w:pPr>
              <w:ind w:left="480"/>
              <w:spacing w:after="0"/>
              <w:rPr>
                <w:sz w:val="20"/>
                <w:szCs w:val="20"/>
                <w:color w:val="auto"/>
              </w:rPr>
            </w:pPr>
            <w:r>
              <w:rPr>
                <w:rFonts w:ascii="Arial" w:cs="Arial" w:eastAsia="Arial" w:hAnsi="Arial"/>
                <w:sz w:val="16"/>
                <w:szCs w:val="16"/>
                <w:color w:val="auto"/>
              </w:rPr>
              <w:t>CONAGRA FOODS INC</w:t>
            </w:r>
          </w:p>
        </w:tc>
        <w:tc>
          <w:tcPr>
            <w:tcW w:w="4820" w:type="dxa"/>
            <w:vAlign w:val="bottom"/>
          </w:tcPr>
          <w:p>
            <w:pPr>
              <w:ind w:left="1760"/>
              <w:spacing w:after="0"/>
              <w:rPr>
                <w:sz w:val="20"/>
                <w:szCs w:val="20"/>
                <w:color w:val="auto"/>
              </w:rPr>
            </w:pPr>
            <w:r>
              <w:rPr>
                <w:rFonts w:ascii="Arial" w:cs="Arial" w:eastAsia="Arial" w:hAnsi="Arial"/>
                <w:sz w:val="16"/>
                <w:szCs w:val="16"/>
                <w:color w:val="auto"/>
              </w:rPr>
              <w:t>Common Stock</w:t>
            </w:r>
          </w:p>
        </w:tc>
        <w:tc>
          <w:tcPr>
            <w:tcW w:w="2600" w:type="dxa"/>
            <w:vAlign w:val="bottom"/>
          </w:tcPr>
          <w:p>
            <w:pPr>
              <w:jc w:val="right"/>
              <w:ind w:right="39"/>
              <w:spacing w:after="0"/>
              <w:rPr>
                <w:sz w:val="20"/>
                <w:szCs w:val="20"/>
                <w:color w:val="auto"/>
              </w:rPr>
            </w:pPr>
            <w:r>
              <w:rPr>
                <w:rFonts w:ascii="Arial" w:cs="Arial" w:eastAsia="Arial" w:hAnsi="Arial"/>
                <w:sz w:val="16"/>
                <w:szCs w:val="16"/>
                <w:color w:val="auto"/>
              </w:rPr>
              <w:t>42,428</w:t>
            </w:r>
          </w:p>
        </w:tc>
      </w:tr>
      <w:tr>
        <w:trPr>
          <w:trHeight w:val="33"/>
        </w:trPr>
        <w:tc>
          <w:tcPr>
            <w:tcW w:w="39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37"/>
        </w:trPr>
        <w:tc>
          <w:tcPr>
            <w:tcW w:w="39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CONMED CORP</w:t>
            </w:r>
          </w:p>
        </w:tc>
        <w:tc>
          <w:tcPr>
            <w:tcW w:w="4820" w:type="dxa"/>
            <w:vAlign w:val="bottom"/>
            <w:shd w:val="clear" w:color="auto" w:fill="CCEEFF"/>
          </w:tcPr>
          <w:p>
            <w:pPr>
              <w:ind w:left="1760"/>
              <w:spacing w:after="0"/>
              <w:rPr>
                <w:sz w:val="20"/>
                <w:szCs w:val="20"/>
                <w:color w:val="auto"/>
              </w:rPr>
            </w:pPr>
            <w:r>
              <w:rPr>
                <w:rFonts w:ascii="Arial" w:cs="Arial" w:eastAsia="Arial" w:hAnsi="Arial"/>
                <w:sz w:val="16"/>
                <w:szCs w:val="16"/>
                <w:color w:val="auto"/>
              </w:rPr>
              <w:t>Common Stock</w:t>
            </w:r>
          </w:p>
        </w:tc>
        <w:tc>
          <w:tcPr>
            <w:tcW w:w="2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13,558</w:t>
            </w:r>
          </w:p>
        </w:tc>
      </w:tr>
      <w:tr>
        <w:trPr>
          <w:trHeight w:val="33"/>
        </w:trPr>
        <w:tc>
          <w:tcPr>
            <w:tcW w:w="3940" w:type="dxa"/>
            <w:vAlign w:val="bottom"/>
            <w:shd w:val="clear" w:color="auto" w:fill="CCEEFF"/>
          </w:tcPr>
          <w:p>
            <w:pPr>
              <w:spacing w:after="0"/>
              <w:rPr>
                <w:sz w:val="2"/>
                <w:szCs w:val="2"/>
                <w:color w:val="auto"/>
              </w:rPr>
            </w:pPr>
          </w:p>
        </w:tc>
        <w:tc>
          <w:tcPr>
            <w:tcW w:w="482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80" w:top="140" w:right="259" w:bottom="1440" w:gutter="0" w:footer="0" w:header="0"/>
        </w:sectPr>
      </w:pPr>
    </w:p>
    <w:bookmarkStart w:id="56" w:name="page57"/>
    <w:bookmarkEnd w:id="56"/>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WESCO Distribution, Inc.</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Retirement Savings Plan</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Schedule H (Form 5500), line 4(i) - Schedule of Assets (Held at End of Year)</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EIN 25-1723345, Plan Number 001</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2013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Pr>
          <w:p>
            <w:pPr>
              <w:ind w:left="140"/>
              <w:spacing w:after="0"/>
              <w:rPr>
                <w:sz w:val="20"/>
                <w:szCs w:val="20"/>
                <w:color w:val="auto"/>
              </w:rPr>
            </w:pPr>
            <w:r>
              <w:rPr>
                <w:rFonts w:ascii="Arial" w:cs="Arial" w:eastAsia="Arial" w:hAnsi="Arial"/>
                <w:sz w:val="16"/>
                <w:szCs w:val="16"/>
                <w:b w:val="1"/>
                <w:bCs w:val="1"/>
                <w:color w:val="auto"/>
              </w:rPr>
              <w:t>(a)</w:t>
            </w:r>
          </w:p>
        </w:tc>
        <w:tc>
          <w:tcPr>
            <w:tcW w:w="4340" w:type="dxa"/>
            <w:vAlign w:val="bottom"/>
          </w:tcPr>
          <w:p>
            <w:pPr>
              <w:jc w:val="center"/>
              <w:ind w:left="899"/>
              <w:spacing w:after="0"/>
              <w:rPr>
                <w:sz w:val="20"/>
                <w:szCs w:val="20"/>
                <w:color w:val="auto"/>
              </w:rPr>
            </w:pPr>
            <w:r>
              <w:rPr>
                <w:rFonts w:ascii="Arial" w:cs="Arial" w:eastAsia="Arial" w:hAnsi="Arial"/>
                <w:sz w:val="16"/>
                <w:szCs w:val="16"/>
                <w:b w:val="1"/>
                <w:bCs w:val="1"/>
                <w:color w:val="auto"/>
                <w:w w:val="97"/>
              </w:rPr>
              <w:t>(b)</w:t>
            </w:r>
          </w:p>
        </w:tc>
        <w:tc>
          <w:tcPr>
            <w:tcW w:w="2100" w:type="dxa"/>
            <w:vAlign w:val="bottom"/>
          </w:tcPr>
          <w:p>
            <w:pPr>
              <w:spacing w:after="0"/>
              <w:rPr>
                <w:sz w:val="18"/>
                <w:szCs w:val="18"/>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1"/>
              </w:rPr>
              <w:t>(c)</w:t>
            </w:r>
          </w:p>
        </w:tc>
        <w:tc>
          <w:tcPr>
            <w:tcW w:w="1720" w:type="dxa"/>
            <w:vAlign w:val="bottom"/>
          </w:tcPr>
          <w:p>
            <w:pPr>
              <w:jc w:val="center"/>
              <w:ind w:left="399"/>
              <w:spacing w:after="0"/>
              <w:rPr>
                <w:sz w:val="20"/>
                <w:szCs w:val="20"/>
                <w:color w:val="auto"/>
              </w:rPr>
            </w:pPr>
            <w:r>
              <w:rPr>
                <w:rFonts w:ascii="Arial" w:cs="Arial" w:eastAsia="Arial" w:hAnsi="Arial"/>
                <w:sz w:val="16"/>
                <w:szCs w:val="16"/>
                <w:b w:val="1"/>
                <w:bCs w:val="1"/>
                <w:color w:val="auto"/>
                <w:w w:val="97"/>
              </w:rPr>
              <w:t>(d)</w:t>
            </w:r>
          </w:p>
        </w:tc>
      </w:tr>
      <w:tr>
        <w:trPr>
          <w:trHeight w:val="270"/>
        </w:trPr>
        <w:tc>
          <w:tcPr>
            <w:tcW w:w="40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800" w:type="dxa"/>
            <w:vAlign w:val="bottom"/>
          </w:tcPr>
          <w:p>
            <w:pPr>
              <w:jc w:val="center"/>
              <w:ind w:right="599"/>
              <w:spacing w:after="0"/>
              <w:rPr>
                <w:sz w:val="20"/>
                <w:szCs w:val="20"/>
                <w:color w:val="auto"/>
              </w:rPr>
            </w:pPr>
            <w:r>
              <w:rPr>
                <w:rFonts w:ascii="Arial" w:cs="Arial" w:eastAsia="Arial" w:hAnsi="Arial"/>
                <w:sz w:val="16"/>
                <w:szCs w:val="16"/>
                <w:b w:val="1"/>
                <w:bCs w:val="1"/>
                <w:color w:val="auto"/>
                <w:w w:val="91"/>
              </w:rPr>
              <w:t>Description of Investment</w:t>
            </w:r>
          </w:p>
        </w:tc>
        <w:tc>
          <w:tcPr>
            <w:tcW w:w="172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340" w:type="dxa"/>
            <w:vAlign w:val="bottom"/>
          </w:tcPr>
          <w:p>
            <w:pPr>
              <w:jc w:val="center"/>
              <w:ind w:left="899"/>
              <w:spacing w:after="0"/>
              <w:rPr>
                <w:sz w:val="20"/>
                <w:szCs w:val="20"/>
                <w:color w:val="auto"/>
              </w:rPr>
            </w:pPr>
            <w:r>
              <w:rPr>
                <w:rFonts w:ascii="Arial" w:cs="Arial" w:eastAsia="Arial" w:hAnsi="Arial"/>
                <w:sz w:val="16"/>
                <w:szCs w:val="16"/>
                <w:b w:val="1"/>
                <w:bCs w:val="1"/>
                <w:color w:val="auto"/>
                <w:w w:val="91"/>
              </w:rPr>
              <w:t>Identity of Issue,</w:t>
            </w:r>
          </w:p>
        </w:tc>
        <w:tc>
          <w:tcPr>
            <w:tcW w:w="2100" w:type="dxa"/>
            <w:vAlign w:val="bottom"/>
          </w:tcPr>
          <w:p>
            <w:pPr>
              <w:spacing w:after="0"/>
              <w:rPr>
                <w:sz w:val="23"/>
                <w:szCs w:val="23"/>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5"/>
              </w:rPr>
              <w:t>Including Maturity Date,</w:t>
            </w:r>
          </w:p>
        </w:tc>
        <w:tc>
          <w:tcPr>
            <w:tcW w:w="172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340" w:type="dxa"/>
            <w:vAlign w:val="bottom"/>
          </w:tcPr>
          <w:p>
            <w:pPr>
              <w:jc w:val="center"/>
              <w:ind w:left="919"/>
              <w:spacing w:after="0"/>
              <w:rPr>
                <w:sz w:val="20"/>
                <w:szCs w:val="20"/>
                <w:color w:val="auto"/>
              </w:rPr>
            </w:pPr>
            <w:r>
              <w:rPr>
                <w:rFonts w:ascii="Arial" w:cs="Arial" w:eastAsia="Arial" w:hAnsi="Arial"/>
                <w:sz w:val="16"/>
                <w:szCs w:val="16"/>
                <w:b w:val="1"/>
                <w:bCs w:val="1"/>
                <w:color w:val="auto"/>
                <w:w w:val="90"/>
              </w:rPr>
              <w:t>Borrower, Lessor or</w:t>
            </w:r>
          </w:p>
        </w:tc>
        <w:tc>
          <w:tcPr>
            <w:tcW w:w="2100" w:type="dxa"/>
            <w:vAlign w:val="bottom"/>
          </w:tcPr>
          <w:p>
            <w:pPr>
              <w:spacing w:after="0"/>
              <w:rPr>
                <w:sz w:val="23"/>
                <w:szCs w:val="23"/>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3"/>
              </w:rPr>
              <w:t>Rate of Interest, Collateral,</w:t>
            </w:r>
          </w:p>
        </w:tc>
        <w:tc>
          <w:tcPr>
            <w:tcW w:w="1720" w:type="dxa"/>
            <w:vAlign w:val="bottom"/>
          </w:tcPr>
          <w:p>
            <w:pPr>
              <w:jc w:val="center"/>
              <w:ind w:left="379"/>
              <w:spacing w:after="0"/>
              <w:rPr>
                <w:sz w:val="20"/>
                <w:szCs w:val="20"/>
                <w:color w:val="auto"/>
              </w:rPr>
            </w:pPr>
            <w:r>
              <w:rPr>
                <w:rFonts w:ascii="Arial" w:cs="Arial" w:eastAsia="Arial" w:hAnsi="Arial"/>
                <w:sz w:val="16"/>
                <w:szCs w:val="16"/>
                <w:b w:val="1"/>
                <w:bCs w:val="1"/>
                <w:color w:val="auto"/>
              </w:rPr>
              <w:t>Current</w:t>
            </w:r>
          </w:p>
        </w:tc>
      </w:tr>
      <w:tr>
        <w:trPr>
          <w:trHeight w:val="270"/>
        </w:trPr>
        <w:tc>
          <w:tcPr>
            <w:tcW w:w="400" w:type="dxa"/>
            <w:vAlign w:val="bottom"/>
          </w:tcPr>
          <w:p>
            <w:pPr>
              <w:spacing w:after="0"/>
              <w:rPr>
                <w:sz w:val="23"/>
                <w:szCs w:val="23"/>
                <w:color w:val="auto"/>
              </w:rPr>
            </w:pPr>
          </w:p>
        </w:tc>
        <w:tc>
          <w:tcPr>
            <w:tcW w:w="4340" w:type="dxa"/>
            <w:vAlign w:val="bottom"/>
          </w:tcPr>
          <w:p>
            <w:pPr>
              <w:jc w:val="center"/>
              <w:ind w:left="919"/>
              <w:spacing w:after="0"/>
              <w:rPr>
                <w:sz w:val="20"/>
                <w:szCs w:val="20"/>
                <w:color w:val="auto"/>
              </w:rPr>
            </w:pPr>
            <w:r>
              <w:rPr>
                <w:rFonts w:ascii="Arial" w:cs="Arial" w:eastAsia="Arial" w:hAnsi="Arial"/>
                <w:sz w:val="16"/>
                <w:szCs w:val="16"/>
                <w:b w:val="1"/>
                <w:bCs w:val="1"/>
                <w:color w:val="auto"/>
                <w:w w:val="96"/>
              </w:rPr>
              <w:t>Similar Party</w:t>
            </w:r>
          </w:p>
        </w:tc>
        <w:tc>
          <w:tcPr>
            <w:tcW w:w="2100" w:type="dxa"/>
            <w:vAlign w:val="bottom"/>
          </w:tcPr>
          <w:p>
            <w:pPr>
              <w:spacing w:after="0"/>
              <w:rPr>
                <w:sz w:val="23"/>
                <w:szCs w:val="23"/>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6"/>
              </w:rPr>
              <w:t>Par, or Maturity Value</w:t>
            </w:r>
          </w:p>
        </w:tc>
        <w:tc>
          <w:tcPr>
            <w:tcW w:w="1720" w:type="dxa"/>
            <w:vAlign w:val="bottom"/>
          </w:tcPr>
          <w:p>
            <w:pPr>
              <w:jc w:val="center"/>
              <w:ind w:left="379"/>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CONOCOPHILLIPS</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360,668</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CONSOLIDATED COMMUNICATIONS HO</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16,548</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CONSOLIDATED EDISON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39,580</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CONSTELLATION BRANDS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14,569</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CONVERGYS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17,956</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COOPER TIRE &amp; RUBBER CO</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6,731</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CORELOGIC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42,245</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CORINTHIAN COLLEGES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3,800</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CORNING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54,975</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COSTCO WHOLESALE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60,938</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COVANCE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7,925</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COVIDIEN PLC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49,713</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CRACKER BARREL OLD COUNTRY STO</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9,026</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CROWN HOLDINGS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10,741</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CSX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46,262</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CULLEN/FROST BANKERS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11,760</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CUMMINS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17,198</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CVS CAREMARK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121,240</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DANA HOLDING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8,280</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DARDEN RESTAURANTS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22,129</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DAVITA HEALTHCARE PARTNERS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5,450</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DEAN FOODS CO</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6,721</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DECKERS OUTDOOR CORP COM</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10,473</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DEERE &amp; CO</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34,340</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DELTA AIR LINES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35,574</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DENBURY RES INC COM NEW</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8,379</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DEVON ENERGY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57,725</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DEVRY EDUCATIOH GROUP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13,242</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DEX MEDIA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3,488</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DIAMOND OFFSHORE DRILLING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19,808</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DIEBOLD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11,487</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DIGITAL RIVER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5,005</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DILLARD'S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10,207</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DIRECTV</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59,806</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DISCOVER FINANCIAL SERVICES</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20,310</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DISH NETWORK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15,465</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DOMINION RESOURCES INC/VA</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102,081</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DOMINO'S PIZZA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28,069</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DOVER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27,321</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DOW CHEMICAL CO/THE</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63,625</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DR HORTON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4,464</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DR PEPPER SNAPPLE GROUP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19,878</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DTE ENERGY CO</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62,473</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DUKE ENERGY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71,080</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DUN &amp; BRADSTREET CORP/THE</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10,066</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E*TRADE FINANCIAL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39,948</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EARTHLINK HOLDINGS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8,577</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EASTMAN CHEMICAL CO</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17,351</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EBAY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27,707</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EDISON INTERNATIONAL</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68,570</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97"/>
        </w:trPr>
        <w:tc>
          <w:tcPr>
            <w:tcW w:w="4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c>
          <w:tcPr>
            <w:tcW w:w="2100" w:type="dxa"/>
            <w:vAlign w:val="bottom"/>
            <w:shd w:val="clear" w:color="auto" w:fill="CCEEFF"/>
          </w:tcPr>
          <w:p>
            <w:pPr>
              <w:spacing w:after="0"/>
              <w:rPr>
                <w:sz w:val="8"/>
                <w:szCs w:val="8"/>
                <w:color w:val="auto"/>
              </w:rPr>
            </w:pPr>
          </w:p>
        </w:tc>
        <w:tc>
          <w:tcPr>
            <w:tcW w:w="2800" w:type="dxa"/>
            <w:vAlign w:val="bottom"/>
            <w:shd w:val="clear" w:color="auto" w:fill="CCEEFF"/>
          </w:tcPr>
          <w:p>
            <w:pPr>
              <w:spacing w:after="0"/>
              <w:rPr>
                <w:sz w:val="8"/>
                <w:szCs w:val="8"/>
                <w:color w:val="auto"/>
              </w:rPr>
            </w:pPr>
          </w:p>
        </w:tc>
        <w:tc>
          <w:tcPr>
            <w:tcW w:w="1720" w:type="dxa"/>
            <w:vAlign w:val="bottom"/>
            <w:shd w:val="clear" w:color="auto" w:fill="CCEEFF"/>
          </w:tcPr>
          <w:p>
            <w:pPr>
              <w:spacing w:after="0"/>
              <w:rPr>
                <w:sz w:val="8"/>
                <w:szCs w:val="8"/>
                <w:color w:val="auto"/>
              </w:rPr>
            </w:pPr>
          </w:p>
        </w:tc>
      </w:tr>
    </w:tbl>
    <w:p>
      <w:pPr>
        <w:sectPr>
          <w:pgSz w:w="11900" w:h="16900" w:orient="portrait"/>
          <w:cols w:equalWidth="0" w:num="1">
            <w:col w:w="11360"/>
          </w:cols>
          <w:pgMar w:left="280" w:top="301" w:right="259" w:bottom="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EI DU PONT DE NEMOURS &amp; CO</w:t>
            </w:r>
          </w:p>
        </w:tc>
        <w:tc>
          <w:tcPr>
            <w:tcW w:w="446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Common Stock</w:t>
            </w:r>
          </w:p>
        </w:tc>
        <w:tc>
          <w:tcPr>
            <w:tcW w:w="2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69,063</w:t>
            </w:r>
          </w:p>
        </w:tc>
      </w:tr>
      <w:tr>
        <w:trPr>
          <w:trHeight w:val="237"/>
        </w:trPr>
        <w:tc>
          <w:tcPr>
            <w:tcW w:w="4300" w:type="dxa"/>
            <w:vAlign w:val="bottom"/>
          </w:tcPr>
          <w:p>
            <w:pPr>
              <w:ind w:left="480"/>
              <w:spacing w:after="0"/>
              <w:rPr>
                <w:sz w:val="20"/>
                <w:szCs w:val="20"/>
                <w:color w:val="auto"/>
              </w:rPr>
            </w:pPr>
            <w:r>
              <w:rPr>
                <w:rFonts w:ascii="Arial" w:cs="Arial" w:eastAsia="Arial" w:hAnsi="Arial"/>
                <w:sz w:val="16"/>
                <w:szCs w:val="16"/>
                <w:color w:val="auto"/>
              </w:rPr>
              <w:t>EL PASO ELECTRIC CO</w:t>
            </w:r>
          </w:p>
        </w:tc>
        <w:tc>
          <w:tcPr>
            <w:tcW w:w="4460" w:type="dxa"/>
            <w:vAlign w:val="bottom"/>
          </w:tcPr>
          <w:p>
            <w:pPr>
              <w:ind w:left="1400"/>
              <w:spacing w:after="0"/>
              <w:rPr>
                <w:sz w:val="20"/>
                <w:szCs w:val="20"/>
                <w:color w:val="auto"/>
              </w:rPr>
            </w:pPr>
            <w:r>
              <w:rPr>
                <w:rFonts w:ascii="Arial" w:cs="Arial" w:eastAsia="Arial" w:hAnsi="Arial"/>
                <w:sz w:val="16"/>
                <w:szCs w:val="16"/>
                <w:color w:val="auto"/>
              </w:rPr>
              <w:t>Common Stock</w:t>
            </w:r>
          </w:p>
        </w:tc>
        <w:tc>
          <w:tcPr>
            <w:tcW w:w="2600" w:type="dxa"/>
            <w:vAlign w:val="bottom"/>
          </w:tcPr>
          <w:p>
            <w:pPr>
              <w:jc w:val="right"/>
              <w:ind w:right="39"/>
              <w:spacing w:after="0"/>
              <w:rPr>
                <w:sz w:val="20"/>
                <w:szCs w:val="20"/>
                <w:color w:val="auto"/>
              </w:rPr>
            </w:pPr>
            <w:r>
              <w:rPr>
                <w:rFonts w:ascii="Arial" w:cs="Arial" w:eastAsia="Arial" w:hAnsi="Arial"/>
                <w:sz w:val="16"/>
                <w:szCs w:val="16"/>
                <w:color w:val="auto"/>
              </w:rPr>
              <w:t>5,196</w:t>
            </w:r>
          </w:p>
        </w:tc>
      </w:tr>
      <w:tr>
        <w:trPr>
          <w:trHeight w:val="33"/>
        </w:trPr>
        <w:tc>
          <w:tcPr>
            <w:tcW w:w="43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37"/>
        </w:trPr>
        <w:tc>
          <w:tcPr>
            <w:tcW w:w="43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ELECTRONIC ARTS INC</w:t>
            </w:r>
          </w:p>
        </w:tc>
        <w:tc>
          <w:tcPr>
            <w:tcW w:w="446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Common Stock</w:t>
            </w:r>
          </w:p>
        </w:tc>
        <w:tc>
          <w:tcPr>
            <w:tcW w:w="2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46,018</w:t>
            </w:r>
          </w:p>
        </w:tc>
      </w:tr>
      <w:tr>
        <w:trPr>
          <w:trHeight w:val="33"/>
        </w:trPr>
        <w:tc>
          <w:tcPr>
            <w:tcW w:w="4300" w:type="dxa"/>
            <w:vAlign w:val="bottom"/>
            <w:shd w:val="clear" w:color="auto" w:fill="CCEEFF"/>
          </w:tcPr>
          <w:p>
            <w:pPr>
              <w:spacing w:after="0"/>
              <w:rPr>
                <w:sz w:val="2"/>
                <w:szCs w:val="2"/>
                <w:color w:val="auto"/>
              </w:rPr>
            </w:pPr>
          </w:p>
        </w:tc>
        <w:tc>
          <w:tcPr>
            <w:tcW w:w="446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80" w:top="140" w:right="259" w:bottom="1440" w:gutter="0" w:footer="0" w:header="0"/>
        </w:sectPr>
      </w:pPr>
    </w:p>
    <w:bookmarkStart w:id="58" w:name="page59"/>
    <w:bookmarkEnd w:id="58"/>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WESCO Distribution, Inc.</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Retirement Savings Plan</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Schedule H (Form 5500), line 4(i) - Schedule of Assets (Held at End of Year)</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EIN 25-1723345, Plan Number 001</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2013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Pr>
          <w:p>
            <w:pPr>
              <w:ind w:left="140"/>
              <w:spacing w:after="0"/>
              <w:rPr>
                <w:sz w:val="20"/>
                <w:szCs w:val="20"/>
                <w:color w:val="auto"/>
              </w:rPr>
            </w:pPr>
            <w:r>
              <w:rPr>
                <w:rFonts w:ascii="Arial" w:cs="Arial" w:eastAsia="Arial" w:hAnsi="Arial"/>
                <w:sz w:val="16"/>
                <w:szCs w:val="16"/>
                <w:b w:val="1"/>
                <w:bCs w:val="1"/>
                <w:color w:val="auto"/>
              </w:rPr>
              <w:t>(a)</w:t>
            </w:r>
          </w:p>
        </w:tc>
        <w:tc>
          <w:tcPr>
            <w:tcW w:w="4340" w:type="dxa"/>
            <w:vAlign w:val="bottom"/>
          </w:tcPr>
          <w:p>
            <w:pPr>
              <w:jc w:val="center"/>
              <w:ind w:left="899"/>
              <w:spacing w:after="0"/>
              <w:rPr>
                <w:sz w:val="20"/>
                <w:szCs w:val="20"/>
                <w:color w:val="auto"/>
              </w:rPr>
            </w:pPr>
            <w:r>
              <w:rPr>
                <w:rFonts w:ascii="Arial" w:cs="Arial" w:eastAsia="Arial" w:hAnsi="Arial"/>
                <w:sz w:val="16"/>
                <w:szCs w:val="16"/>
                <w:b w:val="1"/>
                <w:bCs w:val="1"/>
                <w:color w:val="auto"/>
                <w:w w:val="97"/>
              </w:rPr>
              <w:t>(b)</w:t>
            </w:r>
          </w:p>
        </w:tc>
        <w:tc>
          <w:tcPr>
            <w:tcW w:w="2100" w:type="dxa"/>
            <w:vAlign w:val="bottom"/>
          </w:tcPr>
          <w:p>
            <w:pPr>
              <w:spacing w:after="0"/>
              <w:rPr>
                <w:sz w:val="18"/>
                <w:szCs w:val="18"/>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1"/>
              </w:rPr>
              <w:t>(c)</w:t>
            </w:r>
          </w:p>
        </w:tc>
        <w:tc>
          <w:tcPr>
            <w:tcW w:w="1720" w:type="dxa"/>
            <w:vAlign w:val="bottom"/>
          </w:tcPr>
          <w:p>
            <w:pPr>
              <w:jc w:val="center"/>
              <w:ind w:left="399"/>
              <w:spacing w:after="0"/>
              <w:rPr>
                <w:sz w:val="20"/>
                <w:szCs w:val="20"/>
                <w:color w:val="auto"/>
              </w:rPr>
            </w:pPr>
            <w:r>
              <w:rPr>
                <w:rFonts w:ascii="Arial" w:cs="Arial" w:eastAsia="Arial" w:hAnsi="Arial"/>
                <w:sz w:val="16"/>
                <w:szCs w:val="16"/>
                <w:b w:val="1"/>
                <w:bCs w:val="1"/>
                <w:color w:val="auto"/>
                <w:w w:val="97"/>
              </w:rPr>
              <w:t>(d)</w:t>
            </w:r>
          </w:p>
        </w:tc>
      </w:tr>
      <w:tr>
        <w:trPr>
          <w:trHeight w:val="270"/>
        </w:trPr>
        <w:tc>
          <w:tcPr>
            <w:tcW w:w="40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800" w:type="dxa"/>
            <w:vAlign w:val="bottom"/>
          </w:tcPr>
          <w:p>
            <w:pPr>
              <w:jc w:val="center"/>
              <w:ind w:right="599"/>
              <w:spacing w:after="0"/>
              <w:rPr>
                <w:sz w:val="20"/>
                <w:szCs w:val="20"/>
                <w:color w:val="auto"/>
              </w:rPr>
            </w:pPr>
            <w:r>
              <w:rPr>
                <w:rFonts w:ascii="Arial" w:cs="Arial" w:eastAsia="Arial" w:hAnsi="Arial"/>
                <w:sz w:val="16"/>
                <w:szCs w:val="16"/>
                <w:b w:val="1"/>
                <w:bCs w:val="1"/>
                <w:color w:val="auto"/>
                <w:w w:val="91"/>
              </w:rPr>
              <w:t>Description of Investment</w:t>
            </w:r>
          </w:p>
        </w:tc>
        <w:tc>
          <w:tcPr>
            <w:tcW w:w="172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340" w:type="dxa"/>
            <w:vAlign w:val="bottom"/>
          </w:tcPr>
          <w:p>
            <w:pPr>
              <w:jc w:val="center"/>
              <w:ind w:left="899"/>
              <w:spacing w:after="0"/>
              <w:rPr>
                <w:sz w:val="20"/>
                <w:szCs w:val="20"/>
                <w:color w:val="auto"/>
              </w:rPr>
            </w:pPr>
            <w:r>
              <w:rPr>
                <w:rFonts w:ascii="Arial" w:cs="Arial" w:eastAsia="Arial" w:hAnsi="Arial"/>
                <w:sz w:val="16"/>
                <w:szCs w:val="16"/>
                <w:b w:val="1"/>
                <w:bCs w:val="1"/>
                <w:color w:val="auto"/>
                <w:w w:val="91"/>
              </w:rPr>
              <w:t>Identity of Issue,</w:t>
            </w:r>
          </w:p>
        </w:tc>
        <w:tc>
          <w:tcPr>
            <w:tcW w:w="2100" w:type="dxa"/>
            <w:vAlign w:val="bottom"/>
          </w:tcPr>
          <w:p>
            <w:pPr>
              <w:spacing w:after="0"/>
              <w:rPr>
                <w:sz w:val="23"/>
                <w:szCs w:val="23"/>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5"/>
              </w:rPr>
              <w:t>Including Maturity Date,</w:t>
            </w:r>
          </w:p>
        </w:tc>
        <w:tc>
          <w:tcPr>
            <w:tcW w:w="172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340" w:type="dxa"/>
            <w:vAlign w:val="bottom"/>
          </w:tcPr>
          <w:p>
            <w:pPr>
              <w:jc w:val="center"/>
              <w:ind w:left="919"/>
              <w:spacing w:after="0"/>
              <w:rPr>
                <w:sz w:val="20"/>
                <w:szCs w:val="20"/>
                <w:color w:val="auto"/>
              </w:rPr>
            </w:pPr>
            <w:r>
              <w:rPr>
                <w:rFonts w:ascii="Arial" w:cs="Arial" w:eastAsia="Arial" w:hAnsi="Arial"/>
                <w:sz w:val="16"/>
                <w:szCs w:val="16"/>
                <w:b w:val="1"/>
                <w:bCs w:val="1"/>
                <w:color w:val="auto"/>
                <w:w w:val="90"/>
              </w:rPr>
              <w:t>Borrower, Lessor or</w:t>
            </w:r>
          </w:p>
        </w:tc>
        <w:tc>
          <w:tcPr>
            <w:tcW w:w="2100" w:type="dxa"/>
            <w:vAlign w:val="bottom"/>
          </w:tcPr>
          <w:p>
            <w:pPr>
              <w:spacing w:after="0"/>
              <w:rPr>
                <w:sz w:val="23"/>
                <w:szCs w:val="23"/>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3"/>
              </w:rPr>
              <w:t>Rate of Interest, Collateral,</w:t>
            </w:r>
          </w:p>
        </w:tc>
        <w:tc>
          <w:tcPr>
            <w:tcW w:w="1720" w:type="dxa"/>
            <w:vAlign w:val="bottom"/>
          </w:tcPr>
          <w:p>
            <w:pPr>
              <w:jc w:val="center"/>
              <w:ind w:left="379"/>
              <w:spacing w:after="0"/>
              <w:rPr>
                <w:sz w:val="20"/>
                <w:szCs w:val="20"/>
                <w:color w:val="auto"/>
              </w:rPr>
            </w:pPr>
            <w:r>
              <w:rPr>
                <w:rFonts w:ascii="Arial" w:cs="Arial" w:eastAsia="Arial" w:hAnsi="Arial"/>
                <w:sz w:val="16"/>
                <w:szCs w:val="16"/>
                <w:b w:val="1"/>
                <w:bCs w:val="1"/>
                <w:color w:val="auto"/>
              </w:rPr>
              <w:t>Current</w:t>
            </w:r>
          </w:p>
        </w:tc>
      </w:tr>
      <w:tr>
        <w:trPr>
          <w:trHeight w:val="270"/>
        </w:trPr>
        <w:tc>
          <w:tcPr>
            <w:tcW w:w="400" w:type="dxa"/>
            <w:vAlign w:val="bottom"/>
          </w:tcPr>
          <w:p>
            <w:pPr>
              <w:spacing w:after="0"/>
              <w:rPr>
                <w:sz w:val="23"/>
                <w:szCs w:val="23"/>
                <w:color w:val="auto"/>
              </w:rPr>
            </w:pPr>
          </w:p>
        </w:tc>
        <w:tc>
          <w:tcPr>
            <w:tcW w:w="4340" w:type="dxa"/>
            <w:vAlign w:val="bottom"/>
          </w:tcPr>
          <w:p>
            <w:pPr>
              <w:jc w:val="center"/>
              <w:ind w:left="919"/>
              <w:spacing w:after="0"/>
              <w:rPr>
                <w:sz w:val="20"/>
                <w:szCs w:val="20"/>
                <w:color w:val="auto"/>
              </w:rPr>
            </w:pPr>
            <w:r>
              <w:rPr>
                <w:rFonts w:ascii="Arial" w:cs="Arial" w:eastAsia="Arial" w:hAnsi="Arial"/>
                <w:sz w:val="16"/>
                <w:szCs w:val="16"/>
                <w:b w:val="1"/>
                <w:bCs w:val="1"/>
                <w:color w:val="auto"/>
                <w:w w:val="96"/>
              </w:rPr>
              <w:t>Similar Party</w:t>
            </w:r>
          </w:p>
        </w:tc>
        <w:tc>
          <w:tcPr>
            <w:tcW w:w="2100" w:type="dxa"/>
            <w:vAlign w:val="bottom"/>
          </w:tcPr>
          <w:p>
            <w:pPr>
              <w:spacing w:after="0"/>
              <w:rPr>
                <w:sz w:val="23"/>
                <w:szCs w:val="23"/>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6"/>
              </w:rPr>
              <w:t>Par, or Maturity Value</w:t>
            </w:r>
          </w:p>
        </w:tc>
        <w:tc>
          <w:tcPr>
            <w:tcW w:w="1720" w:type="dxa"/>
            <w:vAlign w:val="bottom"/>
          </w:tcPr>
          <w:p>
            <w:pPr>
              <w:jc w:val="center"/>
              <w:ind w:left="379"/>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ELI LILLY &amp; CO</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125,052</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EMC CORP/MASSACHUSETTS</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45,823</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EMCOR GROUP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13,793</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EMERSON ELECTRIC CO</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119,867</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ENDO HEALTH SOLUTIONS</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16,460</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ENERGEN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15,848</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ENERGIZER HOLDINGS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15,478</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ENTERGY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75,355</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EOG RESOURCES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20,141</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EQUITY RESIDENTIAL SH BEN INT</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4,513</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EURONET WORLDWIDE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13,542</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EW SCRIPPS CO</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4,235</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EXELIS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43,400</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EXELON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77,404</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EXPEDIA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12,121</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EXPRESS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3,995</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EXTERRAN HOLDINGS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40,322</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EXXON MOBIL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954,518</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FAIRCHILD SEMICONDUCTOR INTL 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5,353</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FEDERATED INVESTORS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23,011</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FEDEX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53,195</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FERRO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20,708</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FIDELITY NATIONAL INFORMATION</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7,300</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FIFTH &amp; PACIFIC CO</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14,752</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FIFTH THIRD BANCORP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42,943</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FIRST CITIZENS BANCSHARES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8,460</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FIRST HORIZON NATIONAL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10,147</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FIRST SOLAR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29,287</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FIRSTENERGY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43,501</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FIRSTMERIT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9,670</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FIVE STAR QUALITY CARE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11,276</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FLOWERS FOODS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5,947</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FLOWSERVE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12,770</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FLUOR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20,073</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FOOT LOCKER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13,468</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FORD MOTOR CO</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56,566</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FOREST LABORATORIES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54,147</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FOREST OIL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8,530</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FRANKLIN RESOURCES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14,490</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FREEPORT-MCMORAN COPPER &amp; GOLD</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70,498</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FREESCALE SEMICONDUCTOR LTD</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10,497</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FRONTIER COMMUNICATIONS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37,614</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FTD GROUP INC COM</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16,844</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FTI CONSULTING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14,317</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FULTON FINANCIAL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4,357</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GAMESTOP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63,299</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GANNETT CO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54,013</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GAP INC/THE</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23,565</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GATX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8,295</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GENERAL CABLE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12,146</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97"/>
        </w:trPr>
        <w:tc>
          <w:tcPr>
            <w:tcW w:w="4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c>
          <w:tcPr>
            <w:tcW w:w="2100" w:type="dxa"/>
            <w:vAlign w:val="bottom"/>
            <w:shd w:val="clear" w:color="auto" w:fill="CCEEFF"/>
          </w:tcPr>
          <w:p>
            <w:pPr>
              <w:spacing w:after="0"/>
              <w:rPr>
                <w:sz w:val="8"/>
                <w:szCs w:val="8"/>
                <w:color w:val="auto"/>
              </w:rPr>
            </w:pPr>
          </w:p>
        </w:tc>
        <w:tc>
          <w:tcPr>
            <w:tcW w:w="2800" w:type="dxa"/>
            <w:vAlign w:val="bottom"/>
            <w:shd w:val="clear" w:color="auto" w:fill="CCEEFF"/>
          </w:tcPr>
          <w:p>
            <w:pPr>
              <w:spacing w:after="0"/>
              <w:rPr>
                <w:sz w:val="8"/>
                <w:szCs w:val="8"/>
                <w:color w:val="auto"/>
              </w:rPr>
            </w:pPr>
          </w:p>
        </w:tc>
        <w:tc>
          <w:tcPr>
            <w:tcW w:w="1720" w:type="dxa"/>
            <w:vAlign w:val="bottom"/>
            <w:shd w:val="clear" w:color="auto" w:fill="CCEEFF"/>
          </w:tcPr>
          <w:p>
            <w:pPr>
              <w:spacing w:after="0"/>
              <w:rPr>
                <w:sz w:val="8"/>
                <w:szCs w:val="8"/>
                <w:color w:val="auto"/>
              </w:rPr>
            </w:pPr>
          </w:p>
        </w:tc>
      </w:tr>
    </w:tbl>
    <w:p>
      <w:pPr>
        <w:sectPr>
          <w:pgSz w:w="11900" w:h="16900" w:orient="portrait"/>
          <w:cols w:equalWidth="0" w:num="1">
            <w:col w:w="11360"/>
          </w:cols>
          <w:pgMar w:left="280" w:top="301" w:right="259" w:bottom="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GENERAL DYNAMICS CORP</w:t>
            </w:r>
          </w:p>
        </w:tc>
        <w:tc>
          <w:tcPr>
            <w:tcW w:w="4560" w:type="dxa"/>
            <w:vAlign w:val="bottom"/>
            <w:shd w:val="clear" w:color="auto" w:fill="CCEEFF"/>
          </w:tcPr>
          <w:p>
            <w:pPr>
              <w:ind w:left="1540"/>
              <w:spacing w:after="0"/>
              <w:rPr>
                <w:sz w:val="20"/>
                <w:szCs w:val="20"/>
                <w:color w:val="auto"/>
              </w:rPr>
            </w:pPr>
            <w:r>
              <w:rPr>
                <w:rFonts w:ascii="Arial" w:cs="Arial" w:eastAsia="Arial" w:hAnsi="Arial"/>
                <w:sz w:val="16"/>
                <w:szCs w:val="16"/>
                <w:color w:val="auto"/>
              </w:rPr>
              <w:t>Common Stock</w:t>
            </w:r>
          </w:p>
        </w:tc>
        <w:tc>
          <w:tcPr>
            <w:tcW w:w="2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114,564</w:t>
            </w:r>
          </w:p>
        </w:tc>
      </w:tr>
      <w:tr>
        <w:trPr>
          <w:trHeight w:val="237"/>
        </w:trPr>
        <w:tc>
          <w:tcPr>
            <w:tcW w:w="4160" w:type="dxa"/>
            <w:vAlign w:val="bottom"/>
          </w:tcPr>
          <w:p>
            <w:pPr>
              <w:ind w:left="480"/>
              <w:spacing w:after="0"/>
              <w:rPr>
                <w:sz w:val="20"/>
                <w:szCs w:val="20"/>
                <w:color w:val="auto"/>
              </w:rPr>
            </w:pPr>
            <w:r>
              <w:rPr>
                <w:rFonts w:ascii="Arial" w:cs="Arial" w:eastAsia="Arial" w:hAnsi="Arial"/>
                <w:sz w:val="16"/>
                <w:szCs w:val="16"/>
                <w:color w:val="auto"/>
              </w:rPr>
              <w:t>GENERAL ELECTRIC CO</w:t>
            </w:r>
          </w:p>
        </w:tc>
        <w:tc>
          <w:tcPr>
            <w:tcW w:w="4560" w:type="dxa"/>
            <w:vAlign w:val="bottom"/>
          </w:tcPr>
          <w:p>
            <w:pPr>
              <w:ind w:left="1540"/>
              <w:spacing w:after="0"/>
              <w:rPr>
                <w:sz w:val="20"/>
                <w:szCs w:val="20"/>
                <w:color w:val="auto"/>
              </w:rPr>
            </w:pPr>
            <w:r>
              <w:rPr>
                <w:rFonts w:ascii="Arial" w:cs="Arial" w:eastAsia="Arial" w:hAnsi="Arial"/>
                <w:sz w:val="16"/>
                <w:szCs w:val="16"/>
                <w:color w:val="auto"/>
              </w:rPr>
              <w:t>Common Stock</w:t>
            </w:r>
          </w:p>
        </w:tc>
        <w:tc>
          <w:tcPr>
            <w:tcW w:w="2640" w:type="dxa"/>
            <w:vAlign w:val="bottom"/>
          </w:tcPr>
          <w:p>
            <w:pPr>
              <w:jc w:val="right"/>
              <w:ind w:right="39"/>
              <w:spacing w:after="0"/>
              <w:rPr>
                <w:sz w:val="20"/>
                <w:szCs w:val="20"/>
                <w:color w:val="auto"/>
              </w:rPr>
            </w:pPr>
            <w:r>
              <w:rPr>
                <w:rFonts w:ascii="Arial" w:cs="Arial" w:eastAsia="Arial" w:hAnsi="Arial"/>
                <w:sz w:val="16"/>
                <w:szCs w:val="16"/>
                <w:color w:val="auto"/>
              </w:rPr>
              <w:t>486,853</w:t>
            </w:r>
          </w:p>
        </w:tc>
      </w:tr>
      <w:tr>
        <w:trPr>
          <w:trHeight w:val="33"/>
        </w:trPr>
        <w:tc>
          <w:tcPr>
            <w:tcW w:w="41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37"/>
        </w:trPr>
        <w:tc>
          <w:tcPr>
            <w:tcW w:w="4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GENERAL MILLS INC</w:t>
            </w:r>
          </w:p>
        </w:tc>
        <w:tc>
          <w:tcPr>
            <w:tcW w:w="4560" w:type="dxa"/>
            <w:vAlign w:val="bottom"/>
            <w:shd w:val="clear" w:color="auto" w:fill="CCEEFF"/>
          </w:tcPr>
          <w:p>
            <w:pPr>
              <w:ind w:left="1540"/>
              <w:spacing w:after="0"/>
              <w:rPr>
                <w:sz w:val="20"/>
                <w:szCs w:val="20"/>
                <w:color w:val="auto"/>
              </w:rPr>
            </w:pPr>
            <w:r>
              <w:rPr>
                <w:rFonts w:ascii="Arial" w:cs="Arial" w:eastAsia="Arial" w:hAnsi="Arial"/>
                <w:sz w:val="16"/>
                <w:szCs w:val="16"/>
                <w:color w:val="auto"/>
              </w:rPr>
              <w:t>Common Stock</w:t>
            </w:r>
          </w:p>
        </w:tc>
        <w:tc>
          <w:tcPr>
            <w:tcW w:w="2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15,722</w:t>
            </w:r>
          </w:p>
        </w:tc>
      </w:tr>
      <w:tr>
        <w:trPr>
          <w:trHeight w:val="33"/>
        </w:trPr>
        <w:tc>
          <w:tcPr>
            <w:tcW w:w="4160" w:type="dxa"/>
            <w:vAlign w:val="bottom"/>
            <w:shd w:val="clear" w:color="auto" w:fill="CCEEFF"/>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80" w:top="140" w:right="259" w:bottom="1440" w:gutter="0" w:footer="0" w:header="0"/>
        </w:sectPr>
      </w:pPr>
    </w:p>
    <w:bookmarkStart w:id="60" w:name="page61"/>
    <w:bookmarkEnd w:id="60"/>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WESCO Distribution, Inc.</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Retirement Savings Plan</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Schedule H (Form 5500), line 4(i) - Schedule of Assets (Held at End of Year)</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EIN 25-1723345, Plan Number 001</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2013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Pr>
          <w:p>
            <w:pPr>
              <w:ind w:left="140"/>
              <w:spacing w:after="0"/>
              <w:rPr>
                <w:sz w:val="20"/>
                <w:szCs w:val="20"/>
                <w:color w:val="auto"/>
              </w:rPr>
            </w:pPr>
            <w:r>
              <w:rPr>
                <w:rFonts w:ascii="Arial" w:cs="Arial" w:eastAsia="Arial" w:hAnsi="Arial"/>
                <w:sz w:val="16"/>
                <w:szCs w:val="16"/>
                <w:b w:val="1"/>
                <w:bCs w:val="1"/>
                <w:color w:val="auto"/>
              </w:rPr>
              <w:t>(a)</w:t>
            </w:r>
          </w:p>
        </w:tc>
        <w:tc>
          <w:tcPr>
            <w:tcW w:w="4340" w:type="dxa"/>
            <w:vAlign w:val="bottom"/>
          </w:tcPr>
          <w:p>
            <w:pPr>
              <w:jc w:val="center"/>
              <w:ind w:left="899"/>
              <w:spacing w:after="0"/>
              <w:rPr>
                <w:sz w:val="20"/>
                <w:szCs w:val="20"/>
                <w:color w:val="auto"/>
              </w:rPr>
            </w:pPr>
            <w:r>
              <w:rPr>
                <w:rFonts w:ascii="Arial" w:cs="Arial" w:eastAsia="Arial" w:hAnsi="Arial"/>
                <w:sz w:val="16"/>
                <w:szCs w:val="16"/>
                <w:b w:val="1"/>
                <w:bCs w:val="1"/>
                <w:color w:val="auto"/>
                <w:w w:val="97"/>
              </w:rPr>
              <w:t>(b)</w:t>
            </w:r>
          </w:p>
        </w:tc>
        <w:tc>
          <w:tcPr>
            <w:tcW w:w="2100" w:type="dxa"/>
            <w:vAlign w:val="bottom"/>
          </w:tcPr>
          <w:p>
            <w:pPr>
              <w:spacing w:after="0"/>
              <w:rPr>
                <w:sz w:val="18"/>
                <w:szCs w:val="18"/>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1"/>
              </w:rPr>
              <w:t>(c)</w:t>
            </w:r>
          </w:p>
        </w:tc>
        <w:tc>
          <w:tcPr>
            <w:tcW w:w="1720" w:type="dxa"/>
            <w:vAlign w:val="bottom"/>
          </w:tcPr>
          <w:p>
            <w:pPr>
              <w:jc w:val="center"/>
              <w:ind w:left="399"/>
              <w:spacing w:after="0"/>
              <w:rPr>
                <w:sz w:val="20"/>
                <w:szCs w:val="20"/>
                <w:color w:val="auto"/>
              </w:rPr>
            </w:pPr>
            <w:r>
              <w:rPr>
                <w:rFonts w:ascii="Arial" w:cs="Arial" w:eastAsia="Arial" w:hAnsi="Arial"/>
                <w:sz w:val="16"/>
                <w:szCs w:val="16"/>
                <w:b w:val="1"/>
                <w:bCs w:val="1"/>
                <w:color w:val="auto"/>
                <w:w w:val="97"/>
              </w:rPr>
              <w:t>(d)</w:t>
            </w:r>
          </w:p>
        </w:tc>
      </w:tr>
      <w:tr>
        <w:trPr>
          <w:trHeight w:val="270"/>
        </w:trPr>
        <w:tc>
          <w:tcPr>
            <w:tcW w:w="40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800" w:type="dxa"/>
            <w:vAlign w:val="bottom"/>
          </w:tcPr>
          <w:p>
            <w:pPr>
              <w:jc w:val="center"/>
              <w:ind w:right="599"/>
              <w:spacing w:after="0"/>
              <w:rPr>
                <w:sz w:val="20"/>
                <w:szCs w:val="20"/>
                <w:color w:val="auto"/>
              </w:rPr>
            </w:pPr>
            <w:r>
              <w:rPr>
                <w:rFonts w:ascii="Arial" w:cs="Arial" w:eastAsia="Arial" w:hAnsi="Arial"/>
                <w:sz w:val="16"/>
                <w:szCs w:val="16"/>
                <w:b w:val="1"/>
                <w:bCs w:val="1"/>
                <w:color w:val="auto"/>
                <w:w w:val="91"/>
              </w:rPr>
              <w:t>Description of Investment</w:t>
            </w:r>
          </w:p>
        </w:tc>
        <w:tc>
          <w:tcPr>
            <w:tcW w:w="172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340" w:type="dxa"/>
            <w:vAlign w:val="bottom"/>
          </w:tcPr>
          <w:p>
            <w:pPr>
              <w:jc w:val="center"/>
              <w:ind w:left="899"/>
              <w:spacing w:after="0"/>
              <w:rPr>
                <w:sz w:val="20"/>
                <w:szCs w:val="20"/>
                <w:color w:val="auto"/>
              </w:rPr>
            </w:pPr>
            <w:r>
              <w:rPr>
                <w:rFonts w:ascii="Arial" w:cs="Arial" w:eastAsia="Arial" w:hAnsi="Arial"/>
                <w:sz w:val="16"/>
                <w:szCs w:val="16"/>
                <w:b w:val="1"/>
                <w:bCs w:val="1"/>
                <w:color w:val="auto"/>
                <w:w w:val="91"/>
              </w:rPr>
              <w:t>Identity of Issue,</w:t>
            </w:r>
          </w:p>
        </w:tc>
        <w:tc>
          <w:tcPr>
            <w:tcW w:w="2100" w:type="dxa"/>
            <w:vAlign w:val="bottom"/>
          </w:tcPr>
          <w:p>
            <w:pPr>
              <w:spacing w:after="0"/>
              <w:rPr>
                <w:sz w:val="23"/>
                <w:szCs w:val="23"/>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5"/>
              </w:rPr>
              <w:t>Including Maturity Date,</w:t>
            </w:r>
          </w:p>
        </w:tc>
        <w:tc>
          <w:tcPr>
            <w:tcW w:w="172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340" w:type="dxa"/>
            <w:vAlign w:val="bottom"/>
          </w:tcPr>
          <w:p>
            <w:pPr>
              <w:jc w:val="center"/>
              <w:ind w:left="919"/>
              <w:spacing w:after="0"/>
              <w:rPr>
                <w:sz w:val="20"/>
                <w:szCs w:val="20"/>
                <w:color w:val="auto"/>
              </w:rPr>
            </w:pPr>
            <w:r>
              <w:rPr>
                <w:rFonts w:ascii="Arial" w:cs="Arial" w:eastAsia="Arial" w:hAnsi="Arial"/>
                <w:sz w:val="16"/>
                <w:szCs w:val="16"/>
                <w:b w:val="1"/>
                <w:bCs w:val="1"/>
                <w:color w:val="auto"/>
                <w:w w:val="90"/>
              </w:rPr>
              <w:t>Borrower, Lessor or</w:t>
            </w:r>
          </w:p>
        </w:tc>
        <w:tc>
          <w:tcPr>
            <w:tcW w:w="2100" w:type="dxa"/>
            <w:vAlign w:val="bottom"/>
          </w:tcPr>
          <w:p>
            <w:pPr>
              <w:spacing w:after="0"/>
              <w:rPr>
                <w:sz w:val="23"/>
                <w:szCs w:val="23"/>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3"/>
              </w:rPr>
              <w:t>Rate of Interest, Collateral,</w:t>
            </w:r>
          </w:p>
        </w:tc>
        <w:tc>
          <w:tcPr>
            <w:tcW w:w="1720" w:type="dxa"/>
            <w:vAlign w:val="bottom"/>
          </w:tcPr>
          <w:p>
            <w:pPr>
              <w:jc w:val="center"/>
              <w:ind w:left="379"/>
              <w:spacing w:after="0"/>
              <w:rPr>
                <w:sz w:val="20"/>
                <w:szCs w:val="20"/>
                <w:color w:val="auto"/>
              </w:rPr>
            </w:pPr>
            <w:r>
              <w:rPr>
                <w:rFonts w:ascii="Arial" w:cs="Arial" w:eastAsia="Arial" w:hAnsi="Arial"/>
                <w:sz w:val="16"/>
                <w:szCs w:val="16"/>
                <w:b w:val="1"/>
                <w:bCs w:val="1"/>
                <w:color w:val="auto"/>
              </w:rPr>
              <w:t>Current</w:t>
            </w:r>
          </w:p>
        </w:tc>
      </w:tr>
      <w:tr>
        <w:trPr>
          <w:trHeight w:val="270"/>
        </w:trPr>
        <w:tc>
          <w:tcPr>
            <w:tcW w:w="400" w:type="dxa"/>
            <w:vAlign w:val="bottom"/>
          </w:tcPr>
          <w:p>
            <w:pPr>
              <w:spacing w:after="0"/>
              <w:rPr>
                <w:sz w:val="23"/>
                <w:szCs w:val="23"/>
                <w:color w:val="auto"/>
              </w:rPr>
            </w:pPr>
          </w:p>
        </w:tc>
        <w:tc>
          <w:tcPr>
            <w:tcW w:w="4340" w:type="dxa"/>
            <w:vAlign w:val="bottom"/>
          </w:tcPr>
          <w:p>
            <w:pPr>
              <w:jc w:val="center"/>
              <w:ind w:left="919"/>
              <w:spacing w:after="0"/>
              <w:rPr>
                <w:sz w:val="20"/>
                <w:szCs w:val="20"/>
                <w:color w:val="auto"/>
              </w:rPr>
            </w:pPr>
            <w:r>
              <w:rPr>
                <w:rFonts w:ascii="Arial" w:cs="Arial" w:eastAsia="Arial" w:hAnsi="Arial"/>
                <w:sz w:val="16"/>
                <w:szCs w:val="16"/>
                <w:b w:val="1"/>
                <w:bCs w:val="1"/>
                <w:color w:val="auto"/>
                <w:w w:val="96"/>
              </w:rPr>
              <w:t>Similar Party</w:t>
            </w:r>
          </w:p>
        </w:tc>
        <w:tc>
          <w:tcPr>
            <w:tcW w:w="2100" w:type="dxa"/>
            <w:vAlign w:val="bottom"/>
          </w:tcPr>
          <w:p>
            <w:pPr>
              <w:spacing w:after="0"/>
              <w:rPr>
                <w:sz w:val="23"/>
                <w:szCs w:val="23"/>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6"/>
              </w:rPr>
              <w:t>Par, or Maturity Value</w:t>
            </w:r>
          </w:p>
        </w:tc>
        <w:tc>
          <w:tcPr>
            <w:tcW w:w="1720" w:type="dxa"/>
            <w:vAlign w:val="bottom"/>
          </w:tcPr>
          <w:p>
            <w:pPr>
              <w:jc w:val="center"/>
              <w:ind w:left="379"/>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GENERAL MOTORS CO</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129,394</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GENTIVA HEALTH SERVICES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12,795</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GENUINE PARTS CO</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32,361</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GENWORTH FINANCIAL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128,185</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GILEAD SCIENCES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60,456</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GOLDMAN SACHS GROUP INC/THE</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157,230</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GOODYEAR TIRE &amp; RUBBER CO/THE</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63,393</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GOOGLE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156,899</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GRAHAM HOLDINGS CO</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39,136</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GREAT PLAINS ENERGY INC COM</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6,763</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GT ADVANCED TECHNOLOGIES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12,306</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GUESS?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19,885</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H&amp;R BLOCK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14,201</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HALLIBURTON CO</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56,992</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HANESBRANDS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18,973</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HANGER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5,429</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HANOVER INSURANCE GROUP INC/TH</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13,076</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HARLEY-DAVIDSON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17,033</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HARMAN INTERNATIONAL INDUSTRIE</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9,576</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HARRIS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19,058</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HARRIS TEETER SUPERMARKETS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5,034</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HARSCO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20,041</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HARTFORD FINANCIAL SERVICES GR</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124,160</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HASBRO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16,503</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HAWAIIAN ELECTRIC INDUSTRIES I</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10,763</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HAWAIIAN HOLDINGS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5,759</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HCA HOLDINGS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109,828</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HCC INSURANCE HOLDINGS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10,981</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HEALTH MANAGEMENT ASSOCIATES I</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37,427</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HEALTH NET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32,607</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HEALTHSOUTH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9,829</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HECLA MINING CO</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4,953</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HELIX ENERGY SOLUTIONS GROUP I</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15,368</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HELMERICH &amp; PAYNE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5,297</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HENRY SCHEIN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5,599</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HERSHEY CO/THE</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16,821</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HERTZ GLOBAL HOLDINGS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56,610</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HESS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101,343</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HEWLETT-PACKARD CO</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427,031</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HILL-ROM HOLDINGS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8,227</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HILLSHIRE BRANDS CO</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52,367</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HNI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16,192</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HOLOGIC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4,984</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HOME DEPOT INC/THE</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67,848</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HONEYWELL INTERNATIONAL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112,111</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HOSPIRA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17,172</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HUDSON CITY BANCORP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24,537</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HUMANA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56,668</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HUNTINGTON BANCSHARES INC/OH</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9,853</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HUNTINGTON INGLASS INDUSTRIES</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23,943</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97"/>
        </w:trPr>
        <w:tc>
          <w:tcPr>
            <w:tcW w:w="4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c>
          <w:tcPr>
            <w:tcW w:w="2100" w:type="dxa"/>
            <w:vAlign w:val="bottom"/>
            <w:shd w:val="clear" w:color="auto" w:fill="CCEEFF"/>
          </w:tcPr>
          <w:p>
            <w:pPr>
              <w:spacing w:after="0"/>
              <w:rPr>
                <w:sz w:val="8"/>
                <w:szCs w:val="8"/>
                <w:color w:val="auto"/>
              </w:rPr>
            </w:pPr>
          </w:p>
        </w:tc>
        <w:tc>
          <w:tcPr>
            <w:tcW w:w="2800" w:type="dxa"/>
            <w:vAlign w:val="bottom"/>
            <w:shd w:val="clear" w:color="auto" w:fill="CCEEFF"/>
          </w:tcPr>
          <w:p>
            <w:pPr>
              <w:spacing w:after="0"/>
              <w:rPr>
                <w:sz w:val="8"/>
                <w:szCs w:val="8"/>
                <w:color w:val="auto"/>
              </w:rPr>
            </w:pPr>
          </w:p>
        </w:tc>
        <w:tc>
          <w:tcPr>
            <w:tcW w:w="1720" w:type="dxa"/>
            <w:vAlign w:val="bottom"/>
            <w:shd w:val="clear" w:color="auto" w:fill="CCEEFF"/>
          </w:tcPr>
          <w:p>
            <w:pPr>
              <w:spacing w:after="0"/>
              <w:rPr>
                <w:sz w:val="8"/>
                <w:szCs w:val="8"/>
                <w:color w:val="auto"/>
              </w:rPr>
            </w:pPr>
          </w:p>
        </w:tc>
      </w:tr>
    </w:tbl>
    <w:p>
      <w:pPr>
        <w:sectPr>
          <w:pgSz w:w="11900" w:h="16900" w:orient="portrait"/>
          <w:cols w:equalWidth="0" w:num="1">
            <w:col w:w="11360"/>
          </w:cols>
          <w:pgMar w:left="280" w:top="301" w:right="259" w:bottom="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1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HUNTSMAN CORP</w:t>
            </w:r>
          </w:p>
        </w:tc>
        <w:tc>
          <w:tcPr>
            <w:tcW w:w="4620" w:type="dxa"/>
            <w:vAlign w:val="bottom"/>
            <w:shd w:val="clear" w:color="auto" w:fill="CCEEFF"/>
          </w:tcPr>
          <w:p>
            <w:pPr>
              <w:ind w:left="1560"/>
              <w:spacing w:after="0"/>
              <w:rPr>
                <w:sz w:val="20"/>
                <w:szCs w:val="20"/>
                <w:color w:val="auto"/>
              </w:rPr>
            </w:pPr>
            <w:r>
              <w:rPr>
                <w:rFonts w:ascii="Arial" w:cs="Arial" w:eastAsia="Arial" w:hAnsi="Arial"/>
                <w:sz w:val="16"/>
                <w:szCs w:val="16"/>
                <w:color w:val="auto"/>
              </w:rPr>
              <w:t>Common Stock</w:t>
            </w:r>
          </w:p>
        </w:tc>
        <w:tc>
          <w:tcPr>
            <w:tcW w:w="2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19,385</w:t>
            </w:r>
          </w:p>
        </w:tc>
      </w:tr>
      <w:tr>
        <w:trPr>
          <w:trHeight w:val="237"/>
        </w:trPr>
        <w:tc>
          <w:tcPr>
            <w:tcW w:w="4140" w:type="dxa"/>
            <w:vAlign w:val="bottom"/>
          </w:tcPr>
          <w:p>
            <w:pPr>
              <w:ind w:left="480"/>
              <w:spacing w:after="0"/>
              <w:rPr>
                <w:sz w:val="20"/>
                <w:szCs w:val="20"/>
                <w:color w:val="auto"/>
              </w:rPr>
            </w:pPr>
            <w:r>
              <w:rPr>
                <w:rFonts w:ascii="Arial" w:cs="Arial" w:eastAsia="Arial" w:hAnsi="Arial"/>
                <w:sz w:val="16"/>
                <w:szCs w:val="16"/>
                <w:color w:val="auto"/>
              </w:rPr>
              <w:t>IAC/INTERACTIVECORP</w:t>
            </w:r>
          </w:p>
        </w:tc>
        <w:tc>
          <w:tcPr>
            <w:tcW w:w="4620" w:type="dxa"/>
            <w:vAlign w:val="bottom"/>
          </w:tcPr>
          <w:p>
            <w:pPr>
              <w:ind w:left="1560"/>
              <w:spacing w:after="0"/>
              <w:rPr>
                <w:sz w:val="20"/>
                <w:szCs w:val="20"/>
                <w:color w:val="auto"/>
              </w:rPr>
            </w:pPr>
            <w:r>
              <w:rPr>
                <w:rFonts w:ascii="Arial" w:cs="Arial" w:eastAsia="Arial" w:hAnsi="Arial"/>
                <w:sz w:val="16"/>
                <w:szCs w:val="16"/>
                <w:color w:val="auto"/>
              </w:rPr>
              <w:t>Common Stock</w:t>
            </w:r>
          </w:p>
        </w:tc>
        <w:tc>
          <w:tcPr>
            <w:tcW w:w="2600" w:type="dxa"/>
            <w:vAlign w:val="bottom"/>
          </w:tcPr>
          <w:p>
            <w:pPr>
              <w:jc w:val="right"/>
              <w:ind w:right="39"/>
              <w:spacing w:after="0"/>
              <w:rPr>
                <w:sz w:val="20"/>
                <w:szCs w:val="20"/>
                <w:color w:val="auto"/>
              </w:rPr>
            </w:pPr>
            <w:r>
              <w:rPr>
                <w:rFonts w:ascii="Arial" w:cs="Arial" w:eastAsia="Arial" w:hAnsi="Arial"/>
                <w:sz w:val="16"/>
                <w:szCs w:val="16"/>
                <w:color w:val="auto"/>
              </w:rPr>
              <w:t>7,689</w:t>
            </w:r>
          </w:p>
        </w:tc>
      </w:tr>
      <w:tr>
        <w:trPr>
          <w:trHeight w:val="33"/>
        </w:trPr>
        <w:tc>
          <w:tcPr>
            <w:tcW w:w="41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37"/>
        </w:trPr>
        <w:tc>
          <w:tcPr>
            <w:tcW w:w="41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ILLINOIS TOOL WORKS INC</w:t>
            </w:r>
          </w:p>
        </w:tc>
        <w:tc>
          <w:tcPr>
            <w:tcW w:w="4620" w:type="dxa"/>
            <w:vAlign w:val="bottom"/>
            <w:shd w:val="clear" w:color="auto" w:fill="CCEEFF"/>
          </w:tcPr>
          <w:p>
            <w:pPr>
              <w:ind w:left="1560"/>
              <w:spacing w:after="0"/>
              <w:rPr>
                <w:sz w:val="20"/>
                <w:szCs w:val="20"/>
                <w:color w:val="auto"/>
              </w:rPr>
            </w:pPr>
            <w:r>
              <w:rPr>
                <w:rFonts w:ascii="Arial" w:cs="Arial" w:eastAsia="Arial" w:hAnsi="Arial"/>
                <w:sz w:val="16"/>
                <w:szCs w:val="16"/>
                <w:color w:val="auto"/>
              </w:rPr>
              <w:t>Common Stock</w:t>
            </w:r>
          </w:p>
        </w:tc>
        <w:tc>
          <w:tcPr>
            <w:tcW w:w="2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19,675</w:t>
            </w:r>
          </w:p>
        </w:tc>
      </w:tr>
      <w:tr>
        <w:trPr>
          <w:trHeight w:val="33"/>
        </w:trPr>
        <w:tc>
          <w:tcPr>
            <w:tcW w:w="4140" w:type="dxa"/>
            <w:vAlign w:val="bottom"/>
            <w:shd w:val="clear" w:color="auto" w:fill="CCEEFF"/>
          </w:tcPr>
          <w:p>
            <w:pPr>
              <w:spacing w:after="0"/>
              <w:rPr>
                <w:sz w:val="2"/>
                <w:szCs w:val="2"/>
                <w:color w:val="auto"/>
              </w:rPr>
            </w:pPr>
          </w:p>
        </w:tc>
        <w:tc>
          <w:tcPr>
            <w:tcW w:w="462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80" w:top="140" w:right="259" w:bottom="1440" w:gutter="0" w:footer="0" w:header="0"/>
        </w:sectPr>
      </w:pPr>
    </w:p>
    <w:bookmarkStart w:id="62" w:name="page63"/>
    <w:bookmarkEnd w:id="62"/>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WESCO Distribution, Inc.</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Retirement Savings Plan</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Schedule H (Form 5500), line 4(i) - Schedule of Assets (Held at End of Year)</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EIN 25-1723345, Plan Number 001</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2013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Pr>
          <w:p>
            <w:pPr>
              <w:ind w:left="140"/>
              <w:spacing w:after="0"/>
              <w:rPr>
                <w:sz w:val="20"/>
                <w:szCs w:val="20"/>
                <w:color w:val="auto"/>
              </w:rPr>
            </w:pPr>
            <w:r>
              <w:rPr>
                <w:rFonts w:ascii="Arial" w:cs="Arial" w:eastAsia="Arial" w:hAnsi="Arial"/>
                <w:sz w:val="16"/>
                <w:szCs w:val="16"/>
                <w:b w:val="1"/>
                <w:bCs w:val="1"/>
                <w:color w:val="auto"/>
              </w:rPr>
              <w:t>(a)</w:t>
            </w:r>
          </w:p>
        </w:tc>
        <w:tc>
          <w:tcPr>
            <w:tcW w:w="4340" w:type="dxa"/>
            <w:vAlign w:val="bottom"/>
          </w:tcPr>
          <w:p>
            <w:pPr>
              <w:jc w:val="center"/>
              <w:ind w:left="899"/>
              <w:spacing w:after="0"/>
              <w:rPr>
                <w:sz w:val="20"/>
                <w:szCs w:val="20"/>
                <w:color w:val="auto"/>
              </w:rPr>
            </w:pPr>
            <w:r>
              <w:rPr>
                <w:rFonts w:ascii="Arial" w:cs="Arial" w:eastAsia="Arial" w:hAnsi="Arial"/>
                <w:sz w:val="16"/>
                <w:szCs w:val="16"/>
                <w:b w:val="1"/>
                <w:bCs w:val="1"/>
                <w:color w:val="auto"/>
                <w:w w:val="97"/>
              </w:rPr>
              <w:t>(b)</w:t>
            </w:r>
          </w:p>
        </w:tc>
        <w:tc>
          <w:tcPr>
            <w:tcW w:w="2100" w:type="dxa"/>
            <w:vAlign w:val="bottom"/>
          </w:tcPr>
          <w:p>
            <w:pPr>
              <w:spacing w:after="0"/>
              <w:rPr>
                <w:sz w:val="18"/>
                <w:szCs w:val="18"/>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1"/>
              </w:rPr>
              <w:t>(c)</w:t>
            </w:r>
          </w:p>
        </w:tc>
        <w:tc>
          <w:tcPr>
            <w:tcW w:w="1720" w:type="dxa"/>
            <w:vAlign w:val="bottom"/>
          </w:tcPr>
          <w:p>
            <w:pPr>
              <w:jc w:val="center"/>
              <w:ind w:left="399"/>
              <w:spacing w:after="0"/>
              <w:rPr>
                <w:sz w:val="20"/>
                <w:szCs w:val="20"/>
                <w:color w:val="auto"/>
              </w:rPr>
            </w:pPr>
            <w:r>
              <w:rPr>
                <w:rFonts w:ascii="Arial" w:cs="Arial" w:eastAsia="Arial" w:hAnsi="Arial"/>
                <w:sz w:val="16"/>
                <w:szCs w:val="16"/>
                <w:b w:val="1"/>
                <w:bCs w:val="1"/>
                <w:color w:val="auto"/>
                <w:w w:val="97"/>
              </w:rPr>
              <w:t>(d)</w:t>
            </w:r>
          </w:p>
        </w:tc>
      </w:tr>
      <w:tr>
        <w:trPr>
          <w:trHeight w:val="270"/>
        </w:trPr>
        <w:tc>
          <w:tcPr>
            <w:tcW w:w="40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800" w:type="dxa"/>
            <w:vAlign w:val="bottom"/>
          </w:tcPr>
          <w:p>
            <w:pPr>
              <w:jc w:val="center"/>
              <w:ind w:right="599"/>
              <w:spacing w:after="0"/>
              <w:rPr>
                <w:sz w:val="20"/>
                <w:szCs w:val="20"/>
                <w:color w:val="auto"/>
              </w:rPr>
            </w:pPr>
            <w:r>
              <w:rPr>
                <w:rFonts w:ascii="Arial" w:cs="Arial" w:eastAsia="Arial" w:hAnsi="Arial"/>
                <w:sz w:val="16"/>
                <w:szCs w:val="16"/>
                <w:b w:val="1"/>
                <w:bCs w:val="1"/>
                <w:color w:val="auto"/>
                <w:w w:val="91"/>
              </w:rPr>
              <w:t>Description of Investment</w:t>
            </w:r>
          </w:p>
        </w:tc>
        <w:tc>
          <w:tcPr>
            <w:tcW w:w="172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340" w:type="dxa"/>
            <w:vAlign w:val="bottom"/>
          </w:tcPr>
          <w:p>
            <w:pPr>
              <w:jc w:val="center"/>
              <w:ind w:left="899"/>
              <w:spacing w:after="0"/>
              <w:rPr>
                <w:sz w:val="20"/>
                <w:szCs w:val="20"/>
                <w:color w:val="auto"/>
              </w:rPr>
            </w:pPr>
            <w:r>
              <w:rPr>
                <w:rFonts w:ascii="Arial" w:cs="Arial" w:eastAsia="Arial" w:hAnsi="Arial"/>
                <w:sz w:val="16"/>
                <w:szCs w:val="16"/>
                <w:b w:val="1"/>
                <w:bCs w:val="1"/>
                <w:color w:val="auto"/>
                <w:w w:val="91"/>
              </w:rPr>
              <w:t>Identity of Issue,</w:t>
            </w:r>
          </w:p>
        </w:tc>
        <w:tc>
          <w:tcPr>
            <w:tcW w:w="2100" w:type="dxa"/>
            <w:vAlign w:val="bottom"/>
          </w:tcPr>
          <w:p>
            <w:pPr>
              <w:spacing w:after="0"/>
              <w:rPr>
                <w:sz w:val="23"/>
                <w:szCs w:val="23"/>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5"/>
              </w:rPr>
              <w:t>Including Maturity Date,</w:t>
            </w:r>
          </w:p>
        </w:tc>
        <w:tc>
          <w:tcPr>
            <w:tcW w:w="172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340" w:type="dxa"/>
            <w:vAlign w:val="bottom"/>
          </w:tcPr>
          <w:p>
            <w:pPr>
              <w:jc w:val="center"/>
              <w:ind w:left="919"/>
              <w:spacing w:after="0"/>
              <w:rPr>
                <w:sz w:val="20"/>
                <w:szCs w:val="20"/>
                <w:color w:val="auto"/>
              </w:rPr>
            </w:pPr>
            <w:r>
              <w:rPr>
                <w:rFonts w:ascii="Arial" w:cs="Arial" w:eastAsia="Arial" w:hAnsi="Arial"/>
                <w:sz w:val="16"/>
                <w:szCs w:val="16"/>
                <w:b w:val="1"/>
                <w:bCs w:val="1"/>
                <w:color w:val="auto"/>
                <w:w w:val="90"/>
              </w:rPr>
              <w:t>Borrower, Lessor or</w:t>
            </w:r>
          </w:p>
        </w:tc>
        <w:tc>
          <w:tcPr>
            <w:tcW w:w="2100" w:type="dxa"/>
            <w:vAlign w:val="bottom"/>
          </w:tcPr>
          <w:p>
            <w:pPr>
              <w:spacing w:after="0"/>
              <w:rPr>
                <w:sz w:val="23"/>
                <w:szCs w:val="23"/>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3"/>
              </w:rPr>
              <w:t>Rate of Interest, Collateral,</w:t>
            </w:r>
          </w:p>
        </w:tc>
        <w:tc>
          <w:tcPr>
            <w:tcW w:w="1720" w:type="dxa"/>
            <w:vAlign w:val="bottom"/>
          </w:tcPr>
          <w:p>
            <w:pPr>
              <w:jc w:val="center"/>
              <w:ind w:left="379"/>
              <w:spacing w:after="0"/>
              <w:rPr>
                <w:sz w:val="20"/>
                <w:szCs w:val="20"/>
                <w:color w:val="auto"/>
              </w:rPr>
            </w:pPr>
            <w:r>
              <w:rPr>
                <w:rFonts w:ascii="Arial" w:cs="Arial" w:eastAsia="Arial" w:hAnsi="Arial"/>
                <w:sz w:val="16"/>
                <w:szCs w:val="16"/>
                <w:b w:val="1"/>
                <w:bCs w:val="1"/>
                <w:color w:val="auto"/>
              </w:rPr>
              <w:t>Current</w:t>
            </w:r>
          </w:p>
        </w:tc>
      </w:tr>
      <w:tr>
        <w:trPr>
          <w:trHeight w:val="270"/>
        </w:trPr>
        <w:tc>
          <w:tcPr>
            <w:tcW w:w="400" w:type="dxa"/>
            <w:vAlign w:val="bottom"/>
          </w:tcPr>
          <w:p>
            <w:pPr>
              <w:spacing w:after="0"/>
              <w:rPr>
                <w:sz w:val="23"/>
                <w:szCs w:val="23"/>
                <w:color w:val="auto"/>
              </w:rPr>
            </w:pPr>
          </w:p>
        </w:tc>
        <w:tc>
          <w:tcPr>
            <w:tcW w:w="4340" w:type="dxa"/>
            <w:vAlign w:val="bottom"/>
          </w:tcPr>
          <w:p>
            <w:pPr>
              <w:jc w:val="center"/>
              <w:ind w:left="919"/>
              <w:spacing w:after="0"/>
              <w:rPr>
                <w:sz w:val="20"/>
                <w:szCs w:val="20"/>
                <w:color w:val="auto"/>
              </w:rPr>
            </w:pPr>
            <w:r>
              <w:rPr>
                <w:rFonts w:ascii="Arial" w:cs="Arial" w:eastAsia="Arial" w:hAnsi="Arial"/>
                <w:sz w:val="16"/>
                <w:szCs w:val="16"/>
                <w:b w:val="1"/>
                <w:bCs w:val="1"/>
                <w:color w:val="auto"/>
                <w:w w:val="96"/>
              </w:rPr>
              <w:t>Similar Party</w:t>
            </w:r>
          </w:p>
        </w:tc>
        <w:tc>
          <w:tcPr>
            <w:tcW w:w="2100" w:type="dxa"/>
            <w:vAlign w:val="bottom"/>
          </w:tcPr>
          <w:p>
            <w:pPr>
              <w:spacing w:after="0"/>
              <w:rPr>
                <w:sz w:val="23"/>
                <w:szCs w:val="23"/>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6"/>
              </w:rPr>
              <w:t>Par, or Maturity Value</w:t>
            </w:r>
          </w:p>
        </w:tc>
        <w:tc>
          <w:tcPr>
            <w:tcW w:w="1720" w:type="dxa"/>
            <w:vAlign w:val="bottom"/>
          </w:tcPr>
          <w:p>
            <w:pPr>
              <w:jc w:val="center"/>
              <w:ind w:left="379"/>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INGERSOLL-RAND PLC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42,381</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INGRAM MICRO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50,580</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INSIGHT ENTERPRISES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13,444</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INTEGRYS ENERGY GROUP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14,908</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INTEL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250,544</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INTERACTIVE BROKERS GROUP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26,896</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INTERNATIONAL BANCSHARES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7,697</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INTERNATIONAL BUSINESS MACHINE</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339,689</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INTERNATIONAL FLAVORS &amp; FRAGRA</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11,951</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INTERNATIONAL GAME TECHNOLOGY</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10,914</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INTERNATIONAL PAPER CO</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35,302</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INTERPUBLIC GROUP OF COS INC/T</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41,365</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INTERSIL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16,679</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INVACARE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8,634</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INVESTMENT TECHNOLOGY GROUP IN</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11,699</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ISTAR FINANCIAL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11,773</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ITRON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9,197</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ITT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72,815</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ITT EDUCATIONAL SERVICES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23,036</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JABIL CIRCUIT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5,023</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JACK IN THE BOX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19,508</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JACOBS ENGINEERING GROUP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21,606</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JETBLUE AIRWAYS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16,431</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JM SMUCKER CO/THE</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21,035</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JOHNSON &amp; JOHNSON</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633,620</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JOHNSON CONTROLS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57,764</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JONES GROUP INC/THE</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12,746</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JOY GLOBAL INC COM</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3,451</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JPMORGAN CHASE &amp; CO</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494,273</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JUNIPER NETWORKS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35,367</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KBR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12,628</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KELLOGG CO</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38,352</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KEMPER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13,041</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KEYCORP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43,199</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KIMBERLY-CLARK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50,663</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KINDRED HEALTHCARE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42,500</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KOHL'S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43,073</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KORN/FERRY INTERNATIONAL</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12,929</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KRAFT FOODS GROUP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21,133</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KROGER CO/THE</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132,188</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L-3 COMMUNICATIONS HOLDINGS IN</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29,173</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LABORATORY CORP OF AMERICA HOL</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4,751</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LACLEDE GROUP INC/THE</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17,169</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LAMAR ADVERTISING CO CL A</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16,145</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LEAP WIRELESS INTERNATIONAL IN</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25,387</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LEAR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30,526</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LEGG MASON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22,436</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LEGGETT &amp; PLATT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18,316</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LEIDOS HOLDINGS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24,361</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LENDER PROCESSING SERVICES</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15,363</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97"/>
        </w:trPr>
        <w:tc>
          <w:tcPr>
            <w:tcW w:w="4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c>
          <w:tcPr>
            <w:tcW w:w="2100" w:type="dxa"/>
            <w:vAlign w:val="bottom"/>
            <w:shd w:val="clear" w:color="auto" w:fill="CCEEFF"/>
          </w:tcPr>
          <w:p>
            <w:pPr>
              <w:spacing w:after="0"/>
              <w:rPr>
                <w:sz w:val="8"/>
                <w:szCs w:val="8"/>
                <w:color w:val="auto"/>
              </w:rPr>
            </w:pPr>
          </w:p>
        </w:tc>
        <w:tc>
          <w:tcPr>
            <w:tcW w:w="2800" w:type="dxa"/>
            <w:vAlign w:val="bottom"/>
            <w:shd w:val="clear" w:color="auto" w:fill="CCEEFF"/>
          </w:tcPr>
          <w:p>
            <w:pPr>
              <w:spacing w:after="0"/>
              <w:rPr>
                <w:sz w:val="8"/>
                <w:szCs w:val="8"/>
                <w:color w:val="auto"/>
              </w:rPr>
            </w:pPr>
          </w:p>
        </w:tc>
        <w:tc>
          <w:tcPr>
            <w:tcW w:w="1720" w:type="dxa"/>
            <w:vAlign w:val="bottom"/>
            <w:shd w:val="clear" w:color="auto" w:fill="CCEEFF"/>
          </w:tcPr>
          <w:p>
            <w:pPr>
              <w:spacing w:after="0"/>
              <w:rPr>
                <w:sz w:val="8"/>
                <w:szCs w:val="8"/>
                <w:color w:val="auto"/>
              </w:rPr>
            </w:pPr>
          </w:p>
        </w:tc>
      </w:tr>
    </w:tbl>
    <w:p>
      <w:pPr>
        <w:sectPr>
          <w:pgSz w:w="11900" w:h="16900" w:orient="portrait"/>
          <w:cols w:equalWidth="0" w:num="1">
            <w:col w:w="11360"/>
          </w:cols>
          <w:pgMar w:left="280" w:top="301" w:right="259" w:bottom="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LEVEL 3 COMMUNICATIONS INC</w:t>
            </w:r>
          </w:p>
        </w:tc>
        <w:tc>
          <w:tcPr>
            <w:tcW w:w="4420" w:type="dxa"/>
            <w:vAlign w:val="bottom"/>
            <w:shd w:val="clear" w:color="auto" w:fill="CCEEFF"/>
          </w:tcPr>
          <w:p>
            <w:pPr>
              <w:ind w:left="1360"/>
              <w:spacing w:after="0"/>
              <w:rPr>
                <w:sz w:val="20"/>
                <w:szCs w:val="20"/>
                <w:color w:val="auto"/>
              </w:rPr>
            </w:pPr>
            <w:r>
              <w:rPr>
                <w:rFonts w:ascii="Arial" w:cs="Arial" w:eastAsia="Arial" w:hAnsi="Arial"/>
                <w:sz w:val="16"/>
                <w:szCs w:val="16"/>
                <w:color w:val="auto"/>
              </w:rPr>
              <w:t>Common Stock</w:t>
            </w:r>
          </w:p>
        </w:tc>
        <w:tc>
          <w:tcPr>
            <w:tcW w:w="2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10,415</w:t>
            </w:r>
          </w:p>
        </w:tc>
      </w:tr>
      <w:tr>
        <w:trPr>
          <w:trHeight w:val="237"/>
        </w:trPr>
        <w:tc>
          <w:tcPr>
            <w:tcW w:w="4340" w:type="dxa"/>
            <w:vAlign w:val="bottom"/>
          </w:tcPr>
          <w:p>
            <w:pPr>
              <w:ind w:left="480"/>
              <w:spacing w:after="0"/>
              <w:rPr>
                <w:sz w:val="20"/>
                <w:szCs w:val="20"/>
                <w:color w:val="auto"/>
              </w:rPr>
            </w:pPr>
            <w:r>
              <w:rPr>
                <w:rFonts w:ascii="Arial" w:cs="Arial" w:eastAsia="Arial" w:hAnsi="Arial"/>
                <w:sz w:val="16"/>
                <w:szCs w:val="16"/>
                <w:color w:val="auto"/>
              </w:rPr>
              <w:t>LEXMARK INTERNATIONAL INC</w:t>
            </w:r>
          </w:p>
        </w:tc>
        <w:tc>
          <w:tcPr>
            <w:tcW w:w="4420" w:type="dxa"/>
            <w:vAlign w:val="bottom"/>
          </w:tcPr>
          <w:p>
            <w:pPr>
              <w:ind w:left="1360"/>
              <w:spacing w:after="0"/>
              <w:rPr>
                <w:sz w:val="20"/>
                <w:szCs w:val="20"/>
                <w:color w:val="auto"/>
              </w:rPr>
            </w:pPr>
            <w:r>
              <w:rPr>
                <w:rFonts w:ascii="Arial" w:cs="Arial" w:eastAsia="Arial" w:hAnsi="Arial"/>
                <w:sz w:val="16"/>
                <w:szCs w:val="16"/>
                <w:color w:val="auto"/>
              </w:rPr>
              <w:t>Common Stock</w:t>
            </w:r>
          </w:p>
        </w:tc>
        <w:tc>
          <w:tcPr>
            <w:tcW w:w="2600" w:type="dxa"/>
            <w:vAlign w:val="bottom"/>
          </w:tcPr>
          <w:p>
            <w:pPr>
              <w:jc w:val="right"/>
              <w:ind w:right="39"/>
              <w:spacing w:after="0"/>
              <w:rPr>
                <w:sz w:val="20"/>
                <w:szCs w:val="20"/>
                <w:color w:val="auto"/>
              </w:rPr>
            </w:pPr>
            <w:r>
              <w:rPr>
                <w:rFonts w:ascii="Arial" w:cs="Arial" w:eastAsia="Arial" w:hAnsi="Arial"/>
                <w:sz w:val="16"/>
                <w:szCs w:val="16"/>
                <w:color w:val="auto"/>
              </w:rPr>
              <w:t>31,790</w:t>
            </w:r>
          </w:p>
        </w:tc>
      </w:tr>
      <w:tr>
        <w:trPr>
          <w:trHeight w:val="33"/>
        </w:trPr>
        <w:tc>
          <w:tcPr>
            <w:tcW w:w="43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37"/>
        </w:trPr>
        <w:tc>
          <w:tcPr>
            <w:tcW w:w="43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LIBERTY GLOBAL PLC</w:t>
            </w:r>
          </w:p>
        </w:tc>
        <w:tc>
          <w:tcPr>
            <w:tcW w:w="4420" w:type="dxa"/>
            <w:vAlign w:val="bottom"/>
            <w:shd w:val="clear" w:color="auto" w:fill="CCEEFF"/>
          </w:tcPr>
          <w:p>
            <w:pPr>
              <w:ind w:left="1360"/>
              <w:spacing w:after="0"/>
              <w:rPr>
                <w:sz w:val="20"/>
                <w:szCs w:val="20"/>
                <w:color w:val="auto"/>
              </w:rPr>
            </w:pPr>
            <w:r>
              <w:rPr>
                <w:rFonts w:ascii="Arial" w:cs="Arial" w:eastAsia="Arial" w:hAnsi="Arial"/>
                <w:sz w:val="16"/>
                <w:szCs w:val="16"/>
                <w:color w:val="auto"/>
              </w:rPr>
              <w:t>Common Stock</w:t>
            </w:r>
          </w:p>
        </w:tc>
        <w:tc>
          <w:tcPr>
            <w:tcW w:w="2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22,962</w:t>
            </w:r>
          </w:p>
        </w:tc>
      </w:tr>
      <w:tr>
        <w:trPr>
          <w:trHeight w:val="33"/>
        </w:trPr>
        <w:tc>
          <w:tcPr>
            <w:tcW w:w="4340" w:type="dxa"/>
            <w:vAlign w:val="bottom"/>
            <w:shd w:val="clear" w:color="auto" w:fill="CCEEFF"/>
          </w:tcPr>
          <w:p>
            <w:pPr>
              <w:spacing w:after="0"/>
              <w:rPr>
                <w:sz w:val="2"/>
                <w:szCs w:val="2"/>
                <w:color w:val="auto"/>
              </w:rPr>
            </w:pPr>
          </w:p>
        </w:tc>
        <w:tc>
          <w:tcPr>
            <w:tcW w:w="442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80" w:top="140" w:right="259" w:bottom="1440" w:gutter="0" w:footer="0" w:header="0"/>
        </w:sectPr>
      </w:pPr>
    </w:p>
    <w:bookmarkStart w:id="64" w:name="page65"/>
    <w:bookmarkEnd w:id="64"/>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WESCO Distribution, Inc.</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Retirement Savings Plan</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Schedule H (Form 5500), line 4(i) - Schedule of Assets (Held at End of Year)</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EIN 25-1723345, Plan Number 001</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2013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Pr>
          <w:p>
            <w:pPr>
              <w:ind w:left="140"/>
              <w:spacing w:after="0"/>
              <w:rPr>
                <w:sz w:val="20"/>
                <w:szCs w:val="20"/>
                <w:color w:val="auto"/>
              </w:rPr>
            </w:pPr>
            <w:r>
              <w:rPr>
                <w:rFonts w:ascii="Arial" w:cs="Arial" w:eastAsia="Arial" w:hAnsi="Arial"/>
                <w:sz w:val="16"/>
                <w:szCs w:val="16"/>
                <w:b w:val="1"/>
                <w:bCs w:val="1"/>
                <w:color w:val="auto"/>
              </w:rPr>
              <w:t>(a)</w:t>
            </w:r>
          </w:p>
        </w:tc>
        <w:tc>
          <w:tcPr>
            <w:tcW w:w="4340" w:type="dxa"/>
            <w:vAlign w:val="bottom"/>
          </w:tcPr>
          <w:p>
            <w:pPr>
              <w:jc w:val="center"/>
              <w:ind w:left="899"/>
              <w:spacing w:after="0"/>
              <w:rPr>
                <w:sz w:val="20"/>
                <w:szCs w:val="20"/>
                <w:color w:val="auto"/>
              </w:rPr>
            </w:pPr>
            <w:r>
              <w:rPr>
                <w:rFonts w:ascii="Arial" w:cs="Arial" w:eastAsia="Arial" w:hAnsi="Arial"/>
                <w:sz w:val="16"/>
                <w:szCs w:val="16"/>
                <w:b w:val="1"/>
                <w:bCs w:val="1"/>
                <w:color w:val="auto"/>
                <w:w w:val="97"/>
              </w:rPr>
              <w:t>(b)</w:t>
            </w:r>
          </w:p>
        </w:tc>
        <w:tc>
          <w:tcPr>
            <w:tcW w:w="2100" w:type="dxa"/>
            <w:vAlign w:val="bottom"/>
          </w:tcPr>
          <w:p>
            <w:pPr>
              <w:spacing w:after="0"/>
              <w:rPr>
                <w:sz w:val="18"/>
                <w:szCs w:val="18"/>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1"/>
              </w:rPr>
              <w:t>(c)</w:t>
            </w:r>
          </w:p>
        </w:tc>
        <w:tc>
          <w:tcPr>
            <w:tcW w:w="1720" w:type="dxa"/>
            <w:vAlign w:val="bottom"/>
          </w:tcPr>
          <w:p>
            <w:pPr>
              <w:jc w:val="center"/>
              <w:ind w:left="399"/>
              <w:spacing w:after="0"/>
              <w:rPr>
                <w:sz w:val="20"/>
                <w:szCs w:val="20"/>
                <w:color w:val="auto"/>
              </w:rPr>
            </w:pPr>
            <w:r>
              <w:rPr>
                <w:rFonts w:ascii="Arial" w:cs="Arial" w:eastAsia="Arial" w:hAnsi="Arial"/>
                <w:sz w:val="16"/>
                <w:szCs w:val="16"/>
                <w:b w:val="1"/>
                <w:bCs w:val="1"/>
                <w:color w:val="auto"/>
                <w:w w:val="97"/>
              </w:rPr>
              <w:t>(d)</w:t>
            </w:r>
          </w:p>
        </w:tc>
      </w:tr>
      <w:tr>
        <w:trPr>
          <w:trHeight w:val="270"/>
        </w:trPr>
        <w:tc>
          <w:tcPr>
            <w:tcW w:w="40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800" w:type="dxa"/>
            <w:vAlign w:val="bottom"/>
          </w:tcPr>
          <w:p>
            <w:pPr>
              <w:jc w:val="center"/>
              <w:ind w:right="599"/>
              <w:spacing w:after="0"/>
              <w:rPr>
                <w:sz w:val="20"/>
                <w:szCs w:val="20"/>
                <w:color w:val="auto"/>
              </w:rPr>
            </w:pPr>
            <w:r>
              <w:rPr>
                <w:rFonts w:ascii="Arial" w:cs="Arial" w:eastAsia="Arial" w:hAnsi="Arial"/>
                <w:sz w:val="16"/>
                <w:szCs w:val="16"/>
                <w:b w:val="1"/>
                <w:bCs w:val="1"/>
                <w:color w:val="auto"/>
                <w:w w:val="91"/>
              </w:rPr>
              <w:t>Description of Investment</w:t>
            </w:r>
          </w:p>
        </w:tc>
        <w:tc>
          <w:tcPr>
            <w:tcW w:w="172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340" w:type="dxa"/>
            <w:vAlign w:val="bottom"/>
          </w:tcPr>
          <w:p>
            <w:pPr>
              <w:jc w:val="center"/>
              <w:ind w:left="899"/>
              <w:spacing w:after="0"/>
              <w:rPr>
                <w:sz w:val="20"/>
                <w:szCs w:val="20"/>
                <w:color w:val="auto"/>
              </w:rPr>
            </w:pPr>
            <w:r>
              <w:rPr>
                <w:rFonts w:ascii="Arial" w:cs="Arial" w:eastAsia="Arial" w:hAnsi="Arial"/>
                <w:sz w:val="16"/>
                <w:szCs w:val="16"/>
                <w:b w:val="1"/>
                <w:bCs w:val="1"/>
                <w:color w:val="auto"/>
                <w:w w:val="91"/>
              </w:rPr>
              <w:t>Identity of Issue,</w:t>
            </w:r>
          </w:p>
        </w:tc>
        <w:tc>
          <w:tcPr>
            <w:tcW w:w="2100" w:type="dxa"/>
            <w:vAlign w:val="bottom"/>
          </w:tcPr>
          <w:p>
            <w:pPr>
              <w:spacing w:after="0"/>
              <w:rPr>
                <w:sz w:val="23"/>
                <w:szCs w:val="23"/>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5"/>
              </w:rPr>
              <w:t>Including Maturity Date,</w:t>
            </w:r>
          </w:p>
        </w:tc>
        <w:tc>
          <w:tcPr>
            <w:tcW w:w="172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340" w:type="dxa"/>
            <w:vAlign w:val="bottom"/>
          </w:tcPr>
          <w:p>
            <w:pPr>
              <w:jc w:val="center"/>
              <w:ind w:left="919"/>
              <w:spacing w:after="0"/>
              <w:rPr>
                <w:sz w:val="20"/>
                <w:szCs w:val="20"/>
                <w:color w:val="auto"/>
              </w:rPr>
            </w:pPr>
            <w:r>
              <w:rPr>
                <w:rFonts w:ascii="Arial" w:cs="Arial" w:eastAsia="Arial" w:hAnsi="Arial"/>
                <w:sz w:val="16"/>
                <w:szCs w:val="16"/>
                <w:b w:val="1"/>
                <w:bCs w:val="1"/>
                <w:color w:val="auto"/>
                <w:w w:val="90"/>
              </w:rPr>
              <w:t>Borrower, Lessor or</w:t>
            </w:r>
          </w:p>
        </w:tc>
        <w:tc>
          <w:tcPr>
            <w:tcW w:w="2100" w:type="dxa"/>
            <w:vAlign w:val="bottom"/>
          </w:tcPr>
          <w:p>
            <w:pPr>
              <w:spacing w:after="0"/>
              <w:rPr>
                <w:sz w:val="23"/>
                <w:szCs w:val="23"/>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3"/>
              </w:rPr>
              <w:t>Rate of Interest, Collateral,</w:t>
            </w:r>
          </w:p>
        </w:tc>
        <w:tc>
          <w:tcPr>
            <w:tcW w:w="1720" w:type="dxa"/>
            <w:vAlign w:val="bottom"/>
          </w:tcPr>
          <w:p>
            <w:pPr>
              <w:jc w:val="center"/>
              <w:ind w:left="379"/>
              <w:spacing w:after="0"/>
              <w:rPr>
                <w:sz w:val="20"/>
                <w:szCs w:val="20"/>
                <w:color w:val="auto"/>
              </w:rPr>
            </w:pPr>
            <w:r>
              <w:rPr>
                <w:rFonts w:ascii="Arial" w:cs="Arial" w:eastAsia="Arial" w:hAnsi="Arial"/>
                <w:sz w:val="16"/>
                <w:szCs w:val="16"/>
                <w:b w:val="1"/>
                <w:bCs w:val="1"/>
                <w:color w:val="auto"/>
              </w:rPr>
              <w:t>Current</w:t>
            </w:r>
          </w:p>
        </w:tc>
      </w:tr>
      <w:tr>
        <w:trPr>
          <w:trHeight w:val="270"/>
        </w:trPr>
        <w:tc>
          <w:tcPr>
            <w:tcW w:w="400" w:type="dxa"/>
            <w:vAlign w:val="bottom"/>
          </w:tcPr>
          <w:p>
            <w:pPr>
              <w:spacing w:after="0"/>
              <w:rPr>
                <w:sz w:val="23"/>
                <w:szCs w:val="23"/>
                <w:color w:val="auto"/>
              </w:rPr>
            </w:pPr>
          </w:p>
        </w:tc>
        <w:tc>
          <w:tcPr>
            <w:tcW w:w="4340" w:type="dxa"/>
            <w:vAlign w:val="bottom"/>
          </w:tcPr>
          <w:p>
            <w:pPr>
              <w:jc w:val="center"/>
              <w:ind w:left="919"/>
              <w:spacing w:after="0"/>
              <w:rPr>
                <w:sz w:val="20"/>
                <w:szCs w:val="20"/>
                <w:color w:val="auto"/>
              </w:rPr>
            </w:pPr>
            <w:r>
              <w:rPr>
                <w:rFonts w:ascii="Arial" w:cs="Arial" w:eastAsia="Arial" w:hAnsi="Arial"/>
                <w:sz w:val="16"/>
                <w:szCs w:val="16"/>
                <w:b w:val="1"/>
                <w:bCs w:val="1"/>
                <w:color w:val="auto"/>
                <w:w w:val="96"/>
              </w:rPr>
              <w:t>Similar Party</w:t>
            </w:r>
          </w:p>
        </w:tc>
        <w:tc>
          <w:tcPr>
            <w:tcW w:w="2100" w:type="dxa"/>
            <w:vAlign w:val="bottom"/>
          </w:tcPr>
          <w:p>
            <w:pPr>
              <w:spacing w:after="0"/>
              <w:rPr>
                <w:sz w:val="23"/>
                <w:szCs w:val="23"/>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6"/>
              </w:rPr>
              <w:t>Par, or Maturity Value</w:t>
            </w:r>
          </w:p>
        </w:tc>
        <w:tc>
          <w:tcPr>
            <w:tcW w:w="1720" w:type="dxa"/>
            <w:vAlign w:val="bottom"/>
          </w:tcPr>
          <w:p>
            <w:pPr>
              <w:jc w:val="center"/>
              <w:ind w:left="379"/>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LIBERTY INTERACTIVE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51,069</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LIFE TECHNOLOGIES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16,524</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LIFEPOINT HOSPITALS INC COM</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23,408</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LINCOLN NATIONAL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102,930</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LINEAR TECHNOLOGY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5,830</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LIVE NATION ENTERTAINMENT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5,157</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LOCKHEED MARTIN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111,049</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LOEWS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29,040</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LORILLARD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66,239</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LOWE'S COS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106,731</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LSI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18,462</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M&amp;T BANK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9,546</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MACY'S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55,536</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MAGELLAN HEALTH SERVICES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14,618</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MANITOWOC CO INC/THE</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6,273</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MANPOWER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69,117</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MARATHON OIL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167,534</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MARATHON PETROLEUM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74,485</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MARKEL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4,062</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MARSH &amp; MCLENNAN COS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4,062</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MASCO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40,371</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MATTEL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37,160</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MAXIM INTEGRATED PRODUCTS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19,391</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MCDERMOTT INTERNATIONAL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12,714</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MCDONALD'S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148,553</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MCGRAW HILL FINANCIAL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40,586</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MCKESSON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78,602</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MDU RESOURCES GROUP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22,210</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MEADWESTVACO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25,814</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MEDTRONIC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126,832</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MEN'S WEARHOUSE INC/THE</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8,735</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MERCK &amp; CO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148,498</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MERCURY GENERAL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4,374</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MEREDITH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16,162</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METLIFE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158,417</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MGIC INVESTMENT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6,077</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MGM RESORTS INTERNATIONAL</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17,311</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MICROCHIP TECHNOLOGY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21,256</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MICRON TECHNOLOGY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148,966</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MICROSOFT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501,144</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MOLINA HEALTHCARE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9,591</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MOLSON COORS BREWING CO</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14,880</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MONDELEZ INTERNATIONAL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165,169</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MONSANTO CO</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71,911</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MONSTER WORLDWIDE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11,700</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MORGAN STANLEY</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119,983</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MOTOROLA SOLUTIONS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67,770</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MURPHY OIL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35,295</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NASDAQ OMX GROUP INC/THE</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19,064</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NATIONAL FUEL GAS CO</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20,920</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97"/>
        </w:trPr>
        <w:tc>
          <w:tcPr>
            <w:tcW w:w="4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c>
          <w:tcPr>
            <w:tcW w:w="2100" w:type="dxa"/>
            <w:vAlign w:val="bottom"/>
            <w:shd w:val="clear" w:color="auto" w:fill="CCEEFF"/>
          </w:tcPr>
          <w:p>
            <w:pPr>
              <w:spacing w:after="0"/>
              <w:rPr>
                <w:sz w:val="8"/>
                <w:szCs w:val="8"/>
                <w:color w:val="auto"/>
              </w:rPr>
            </w:pPr>
          </w:p>
        </w:tc>
        <w:tc>
          <w:tcPr>
            <w:tcW w:w="2800" w:type="dxa"/>
            <w:vAlign w:val="bottom"/>
            <w:shd w:val="clear" w:color="auto" w:fill="CCEEFF"/>
          </w:tcPr>
          <w:p>
            <w:pPr>
              <w:spacing w:after="0"/>
              <w:rPr>
                <w:sz w:val="8"/>
                <w:szCs w:val="8"/>
                <w:color w:val="auto"/>
              </w:rPr>
            </w:pPr>
          </w:p>
        </w:tc>
        <w:tc>
          <w:tcPr>
            <w:tcW w:w="1720" w:type="dxa"/>
            <w:vAlign w:val="bottom"/>
            <w:shd w:val="clear" w:color="auto" w:fill="CCEEFF"/>
          </w:tcPr>
          <w:p>
            <w:pPr>
              <w:spacing w:after="0"/>
              <w:rPr>
                <w:sz w:val="8"/>
                <w:szCs w:val="8"/>
                <w:color w:val="auto"/>
              </w:rPr>
            </w:pPr>
          </w:p>
        </w:tc>
      </w:tr>
    </w:tbl>
    <w:p>
      <w:pPr>
        <w:sectPr>
          <w:pgSz w:w="11900" w:h="16900" w:orient="portrait"/>
          <w:cols w:equalWidth="0" w:num="1">
            <w:col w:w="11360"/>
          </w:cols>
          <w:pgMar w:left="280" w:top="301" w:right="259" w:bottom="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NATIONAL OILWELL VARCO INC</w:t>
            </w:r>
          </w:p>
        </w:tc>
        <w:tc>
          <w:tcPr>
            <w:tcW w:w="438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Common Stock</w:t>
            </w:r>
          </w:p>
        </w:tc>
        <w:tc>
          <w:tcPr>
            <w:tcW w:w="2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31,892</w:t>
            </w:r>
          </w:p>
        </w:tc>
      </w:tr>
      <w:tr>
        <w:trPr>
          <w:trHeight w:val="237"/>
        </w:trPr>
        <w:tc>
          <w:tcPr>
            <w:tcW w:w="4380" w:type="dxa"/>
            <w:vAlign w:val="bottom"/>
          </w:tcPr>
          <w:p>
            <w:pPr>
              <w:ind w:left="480"/>
              <w:spacing w:after="0"/>
              <w:rPr>
                <w:sz w:val="20"/>
                <w:szCs w:val="20"/>
                <w:color w:val="auto"/>
              </w:rPr>
            </w:pPr>
            <w:r>
              <w:rPr>
                <w:rFonts w:ascii="Arial" w:cs="Arial" w:eastAsia="Arial" w:hAnsi="Arial"/>
                <w:sz w:val="16"/>
                <w:szCs w:val="16"/>
                <w:color w:val="auto"/>
              </w:rPr>
              <w:t>NAVISTAR INTERNATIONAL CORP</w:t>
            </w:r>
          </w:p>
        </w:tc>
        <w:tc>
          <w:tcPr>
            <w:tcW w:w="4380" w:type="dxa"/>
            <w:vAlign w:val="bottom"/>
          </w:tcPr>
          <w:p>
            <w:pPr>
              <w:ind w:left="1320"/>
              <w:spacing w:after="0"/>
              <w:rPr>
                <w:sz w:val="20"/>
                <w:szCs w:val="20"/>
                <w:color w:val="auto"/>
              </w:rPr>
            </w:pPr>
            <w:r>
              <w:rPr>
                <w:rFonts w:ascii="Arial" w:cs="Arial" w:eastAsia="Arial" w:hAnsi="Arial"/>
                <w:sz w:val="16"/>
                <w:szCs w:val="16"/>
                <w:color w:val="auto"/>
              </w:rPr>
              <w:t>Common Stock</w:t>
            </w:r>
          </w:p>
        </w:tc>
        <w:tc>
          <w:tcPr>
            <w:tcW w:w="2600" w:type="dxa"/>
            <w:vAlign w:val="bottom"/>
          </w:tcPr>
          <w:p>
            <w:pPr>
              <w:jc w:val="right"/>
              <w:ind w:right="39"/>
              <w:spacing w:after="0"/>
              <w:rPr>
                <w:sz w:val="20"/>
                <w:szCs w:val="20"/>
                <w:color w:val="auto"/>
              </w:rPr>
            </w:pPr>
            <w:r>
              <w:rPr>
                <w:rFonts w:ascii="Arial" w:cs="Arial" w:eastAsia="Arial" w:hAnsi="Arial"/>
                <w:sz w:val="16"/>
                <w:szCs w:val="16"/>
                <w:color w:val="auto"/>
              </w:rPr>
              <w:t>32,271</w:t>
            </w:r>
          </w:p>
        </w:tc>
      </w:tr>
      <w:tr>
        <w:trPr>
          <w:trHeight w:val="33"/>
        </w:trPr>
        <w:tc>
          <w:tcPr>
            <w:tcW w:w="43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37"/>
        </w:trPr>
        <w:tc>
          <w:tcPr>
            <w:tcW w:w="43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NCR CORP</w:t>
            </w:r>
          </w:p>
        </w:tc>
        <w:tc>
          <w:tcPr>
            <w:tcW w:w="438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Common Stock</w:t>
            </w:r>
          </w:p>
        </w:tc>
        <w:tc>
          <w:tcPr>
            <w:tcW w:w="2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13,965</w:t>
            </w:r>
          </w:p>
        </w:tc>
      </w:tr>
      <w:tr>
        <w:trPr>
          <w:trHeight w:val="33"/>
        </w:trPr>
        <w:tc>
          <w:tcPr>
            <w:tcW w:w="4380" w:type="dxa"/>
            <w:vAlign w:val="bottom"/>
            <w:shd w:val="clear" w:color="auto" w:fill="CCEEFF"/>
          </w:tcPr>
          <w:p>
            <w:pPr>
              <w:spacing w:after="0"/>
              <w:rPr>
                <w:sz w:val="2"/>
                <w:szCs w:val="2"/>
                <w:color w:val="auto"/>
              </w:rPr>
            </w:pPr>
          </w:p>
        </w:tc>
        <w:tc>
          <w:tcPr>
            <w:tcW w:w="438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80" w:top="140" w:right="259" w:bottom="1440" w:gutter="0" w:footer="0" w:header="0"/>
        </w:sectPr>
      </w:pPr>
    </w:p>
    <w:bookmarkStart w:id="66" w:name="page67"/>
    <w:bookmarkEnd w:id="66"/>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WESCO Distribution, Inc.</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Retirement Savings Plan</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Schedule H (Form 5500), line 4(i) - Schedule of Assets (Held at End of Year)</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EIN 25-1723345, Plan Number 001</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2013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Pr>
          <w:p>
            <w:pPr>
              <w:ind w:left="140"/>
              <w:spacing w:after="0"/>
              <w:rPr>
                <w:sz w:val="20"/>
                <w:szCs w:val="20"/>
                <w:color w:val="auto"/>
              </w:rPr>
            </w:pPr>
            <w:r>
              <w:rPr>
                <w:rFonts w:ascii="Arial" w:cs="Arial" w:eastAsia="Arial" w:hAnsi="Arial"/>
                <w:sz w:val="16"/>
                <w:szCs w:val="16"/>
                <w:b w:val="1"/>
                <w:bCs w:val="1"/>
                <w:color w:val="auto"/>
              </w:rPr>
              <w:t>(a)</w:t>
            </w:r>
          </w:p>
        </w:tc>
        <w:tc>
          <w:tcPr>
            <w:tcW w:w="4340" w:type="dxa"/>
            <w:vAlign w:val="bottom"/>
          </w:tcPr>
          <w:p>
            <w:pPr>
              <w:jc w:val="center"/>
              <w:ind w:left="899"/>
              <w:spacing w:after="0"/>
              <w:rPr>
                <w:sz w:val="20"/>
                <w:szCs w:val="20"/>
                <w:color w:val="auto"/>
              </w:rPr>
            </w:pPr>
            <w:r>
              <w:rPr>
                <w:rFonts w:ascii="Arial" w:cs="Arial" w:eastAsia="Arial" w:hAnsi="Arial"/>
                <w:sz w:val="16"/>
                <w:szCs w:val="16"/>
                <w:b w:val="1"/>
                <w:bCs w:val="1"/>
                <w:color w:val="auto"/>
                <w:w w:val="97"/>
              </w:rPr>
              <w:t>(b)</w:t>
            </w:r>
          </w:p>
        </w:tc>
        <w:tc>
          <w:tcPr>
            <w:tcW w:w="2100" w:type="dxa"/>
            <w:vAlign w:val="bottom"/>
          </w:tcPr>
          <w:p>
            <w:pPr>
              <w:spacing w:after="0"/>
              <w:rPr>
                <w:sz w:val="18"/>
                <w:szCs w:val="18"/>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1"/>
              </w:rPr>
              <w:t>(c)</w:t>
            </w:r>
          </w:p>
        </w:tc>
        <w:tc>
          <w:tcPr>
            <w:tcW w:w="1720" w:type="dxa"/>
            <w:vAlign w:val="bottom"/>
          </w:tcPr>
          <w:p>
            <w:pPr>
              <w:jc w:val="center"/>
              <w:ind w:left="399"/>
              <w:spacing w:after="0"/>
              <w:rPr>
                <w:sz w:val="20"/>
                <w:szCs w:val="20"/>
                <w:color w:val="auto"/>
              </w:rPr>
            </w:pPr>
            <w:r>
              <w:rPr>
                <w:rFonts w:ascii="Arial" w:cs="Arial" w:eastAsia="Arial" w:hAnsi="Arial"/>
                <w:sz w:val="16"/>
                <w:szCs w:val="16"/>
                <w:b w:val="1"/>
                <w:bCs w:val="1"/>
                <w:color w:val="auto"/>
                <w:w w:val="97"/>
              </w:rPr>
              <w:t>(d)</w:t>
            </w:r>
          </w:p>
        </w:tc>
      </w:tr>
      <w:tr>
        <w:trPr>
          <w:trHeight w:val="270"/>
        </w:trPr>
        <w:tc>
          <w:tcPr>
            <w:tcW w:w="40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800" w:type="dxa"/>
            <w:vAlign w:val="bottom"/>
          </w:tcPr>
          <w:p>
            <w:pPr>
              <w:jc w:val="center"/>
              <w:ind w:right="599"/>
              <w:spacing w:after="0"/>
              <w:rPr>
                <w:sz w:val="20"/>
                <w:szCs w:val="20"/>
                <w:color w:val="auto"/>
              </w:rPr>
            </w:pPr>
            <w:r>
              <w:rPr>
                <w:rFonts w:ascii="Arial" w:cs="Arial" w:eastAsia="Arial" w:hAnsi="Arial"/>
                <w:sz w:val="16"/>
                <w:szCs w:val="16"/>
                <w:b w:val="1"/>
                <w:bCs w:val="1"/>
                <w:color w:val="auto"/>
                <w:w w:val="91"/>
              </w:rPr>
              <w:t>Description of Investment</w:t>
            </w:r>
          </w:p>
        </w:tc>
        <w:tc>
          <w:tcPr>
            <w:tcW w:w="172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340" w:type="dxa"/>
            <w:vAlign w:val="bottom"/>
          </w:tcPr>
          <w:p>
            <w:pPr>
              <w:jc w:val="center"/>
              <w:ind w:left="899"/>
              <w:spacing w:after="0"/>
              <w:rPr>
                <w:sz w:val="20"/>
                <w:szCs w:val="20"/>
                <w:color w:val="auto"/>
              </w:rPr>
            </w:pPr>
            <w:r>
              <w:rPr>
                <w:rFonts w:ascii="Arial" w:cs="Arial" w:eastAsia="Arial" w:hAnsi="Arial"/>
                <w:sz w:val="16"/>
                <w:szCs w:val="16"/>
                <w:b w:val="1"/>
                <w:bCs w:val="1"/>
                <w:color w:val="auto"/>
                <w:w w:val="91"/>
              </w:rPr>
              <w:t>Identity of Issue,</w:t>
            </w:r>
          </w:p>
        </w:tc>
        <w:tc>
          <w:tcPr>
            <w:tcW w:w="2100" w:type="dxa"/>
            <w:vAlign w:val="bottom"/>
          </w:tcPr>
          <w:p>
            <w:pPr>
              <w:spacing w:after="0"/>
              <w:rPr>
                <w:sz w:val="23"/>
                <w:szCs w:val="23"/>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5"/>
              </w:rPr>
              <w:t>Including Maturity Date,</w:t>
            </w:r>
          </w:p>
        </w:tc>
        <w:tc>
          <w:tcPr>
            <w:tcW w:w="172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340" w:type="dxa"/>
            <w:vAlign w:val="bottom"/>
          </w:tcPr>
          <w:p>
            <w:pPr>
              <w:jc w:val="center"/>
              <w:ind w:left="919"/>
              <w:spacing w:after="0"/>
              <w:rPr>
                <w:sz w:val="20"/>
                <w:szCs w:val="20"/>
                <w:color w:val="auto"/>
              </w:rPr>
            </w:pPr>
            <w:r>
              <w:rPr>
                <w:rFonts w:ascii="Arial" w:cs="Arial" w:eastAsia="Arial" w:hAnsi="Arial"/>
                <w:sz w:val="16"/>
                <w:szCs w:val="16"/>
                <w:b w:val="1"/>
                <w:bCs w:val="1"/>
                <w:color w:val="auto"/>
                <w:w w:val="90"/>
              </w:rPr>
              <w:t>Borrower, Lessor or</w:t>
            </w:r>
          </w:p>
        </w:tc>
        <w:tc>
          <w:tcPr>
            <w:tcW w:w="2100" w:type="dxa"/>
            <w:vAlign w:val="bottom"/>
          </w:tcPr>
          <w:p>
            <w:pPr>
              <w:spacing w:after="0"/>
              <w:rPr>
                <w:sz w:val="23"/>
                <w:szCs w:val="23"/>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3"/>
              </w:rPr>
              <w:t>Rate of Interest, Collateral,</w:t>
            </w:r>
          </w:p>
        </w:tc>
        <w:tc>
          <w:tcPr>
            <w:tcW w:w="1720" w:type="dxa"/>
            <w:vAlign w:val="bottom"/>
          </w:tcPr>
          <w:p>
            <w:pPr>
              <w:jc w:val="center"/>
              <w:ind w:left="379"/>
              <w:spacing w:after="0"/>
              <w:rPr>
                <w:sz w:val="20"/>
                <w:szCs w:val="20"/>
                <w:color w:val="auto"/>
              </w:rPr>
            </w:pPr>
            <w:r>
              <w:rPr>
                <w:rFonts w:ascii="Arial" w:cs="Arial" w:eastAsia="Arial" w:hAnsi="Arial"/>
                <w:sz w:val="16"/>
                <w:szCs w:val="16"/>
                <w:b w:val="1"/>
                <w:bCs w:val="1"/>
                <w:color w:val="auto"/>
              </w:rPr>
              <w:t>Current</w:t>
            </w:r>
          </w:p>
        </w:tc>
      </w:tr>
      <w:tr>
        <w:trPr>
          <w:trHeight w:val="270"/>
        </w:trPr>
        <w:tc>
          <w:tcPr>
            <w:tcW w:w="400" w:type="dxa"/>
            <w:vAlign w:val="bottom"/>
          </w:tcPr>
          <w:p>
            <w:pPr>
              <w:spacing w:after="0"/>
              <w:rPr>
                <w:sz w:val="23"/>
                <w:szCs w:val="23"/>
                <w:color w:val="auto"/>
              </w:rPr>
            </w:pPr>
          </w:p>
        </w:tc>
        <w:tc>
          <w:tcPr>
            <w:tcW w:w="4340" w:type="dxa"/>
            <w:vAlign w:val="bottom"/>
          </w:tcPr>
          <w:p>
            <w:pPr>
              <w:jc w:val="center"/>
              <w:ind w:left="919"/>
              <w:spacing w:after="0"/>
              <w:rPr>
                <w:sz w:val="20"/>
                <w:szCs w:val="20"/>
                <w:color w:val="auto"/>
              </w:rPr>
            </w:pPr>
            <w:r>
              <w:rPr>
                <w:rFonts w:ascii="Arial" w:cs="Arial" w:eastAsia="Arial" w:hAnsi="Arial"/>
                <w:sz w:val="16"/>
                <w:szCs w:val="16"/>
                <w:b w:val="1"/>
                <w:bCs w:val="1"/>
                <w:color w:val="auto"/>
                <w:w w:val="96"/>
              </w:rPr>
              <w:t>Similar Party</w:t>
            </w:r>
          </w:p>
        </w:tc>
        <w:tc>
          <w:tcPr>
            <w:tcW w:w="2100" w:type="dxa"/>
            <w:vAlign w:val="bottom"/>
          </w:tcPr>
          <w:p>
            <w:pPr>
              <w:spacing w:after="0"/>
              <w:rPr>
                <w:sz w:val="23"/>
                <w:szCs w:val="23"/>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6"/>
              </w:rPr>
              <w:t>Par, or Maturity Value</w:t>
            </w:r>
          </w:p>
        </w:tc>
        <w:tc>
          <w:tcPr>
            <w:tcW w:w="1720" w:type="dxa"/>
            <w:vAlign w:val="bottom"/>
          </w:tcPr>
          <w:p>
            <w:pPr>
              <w:jc w:val="center"/>
              <w:ind w:left="379"/>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NETAPP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18,719</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NEW JERSEY RESOURCES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5,410</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NEW YORK COMMUNITY BANCORP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3,859</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NEW YORK TIMES CO/THE</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26,138</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NEWELL RUBBERMAID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22,168</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NEWFIELD EXPLORATION CO</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18,522</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NEWMONT MINING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22,339</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NEXTERA ENERGY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65,242</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NII HOLDINGS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6,394</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NIKE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52,453</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NISOURCE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34,162</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NOBLE ENERGY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18,390</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NORDSTROM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14,461</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NORFOLK SOUTHERN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47,343</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NORTHEAST UTILITIES</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9,453</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NORTHERN TRUST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22,776</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NORTHROP GRUMMAN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128,363</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NORTHWEST BANCSHARES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8,439</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NORTHWEST NATURAL GAS CO</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9,635</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NORTHWESTERN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10,094</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NRG ENERGY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76,539</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NUCOR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22,313</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NVR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12,312</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OCCIDENTAL PETROLEUM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147,976</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OFFICE DEPOT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101,240</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OGE ENERGY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9,085</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OLD REPUBLIC INTERNATIONAL COR</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14,006</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OM GROUP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17,149</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OMNICARE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22,212</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OMNICOM GROUP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82,625</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OMNIVISION TECHNOLOGIES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5,934</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ON SEMICONDUCTOR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5,092</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ORACLE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137,162</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ORBITAL SCIENCES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4,916</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OSHKOSH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21,563</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OWENS &amp; MINOR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4,862</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OWENS CORNING</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12,053</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OWENS-ILLINOIS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35,029</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PACCAR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20,236</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PACKAGING CORP OF AMERICA</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13,415</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PANTRY INC/THE</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12,585</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PARKER DRILLING CO</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5,577</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PARKER HANNIFIN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26,371</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PATTERSON UTI ENERGY INC COM</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19,977</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PAYCHEX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32,326</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PEABODY ENERGY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6,406</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PEOPLE'S UNITED FINANCIAL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11,083</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PEPCO HOLDINGS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23,358</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PEPSICO INC/NC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221,284</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PFIZER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304,769</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97"/>
        </w:trPr>
        <w:tc>
          <w:tcPr>
            <w:tcW w:w="4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c>
          <w:tcPr>
            <w:tcW w:w="2100" w:type="dxa"/>
            <w:vAlign w:val="bottom"/>
            <w:shd w:val="clear" w:color="auto" w:fill="CCEEFF"/>
          </w:tcPr>
          <w:p>
            <w:pPr>
              <w:spacing w:after="0"/>
              <w:rPr>
                <w:sz w:val="8"/>
                <w:szCs w:val="8"/>
                <w:color w:val="auto"/>
              </w:rPr>
            </w:pPr>
          </w:p>
        </w:tc>
        <w:tc>
          <w:tcPr>
            <w:tcW w:w="2800" w:type="dxa"/>
            <w:vAlign w:val="bottom"/>
            <w:shd w:val="clear" w:color="auto" w:fill="CCEEFF"/>
          </w:tcPr>
          <w:p>
            <w:pPr>
              <w:spacing w:after="0"/>
              <w:rPr>
                <w:sz w:val="8"/>
                <w:szCs w:val="8"/>
                <w:color w:val="auto"/>
              </w:rPr>
            </w:pPr>
          </w:p>
        </w:tc>
        <w:tc>
          <w:tcPr>
            <w:tcW w:w="1720" w:type="dxa"/>
            <w:vAlign w:val="bottom"/>
            <w:shd w:val="clear" w:color="auto" w:fill="CCEEFF"/>
          </w:tcPr>
          <w:p>
            <w:pPr>
              <w:spacing w:after="0"/>
              <w:rPr>
                <w:sz w:val="8"/>
                <w:szCs w:val="8"/>
                <w:color w:val="auto"/>
              </w:rPr>
            </w:pPr>
          </w:p>
        </w:tc>
      </w:tr>
    </w:tbl>
    <w:p>
      <w:pPr>
        <w:sectPr>
          <w:pgSz w:w="11900" w:h="16900" w:orient="portrait"/>
          <w:cols w:equalWidth="0" w:num="1">
            <w:col w:w="11360"/>
          </w:cols>
          <w:pgMar w:left="280" w:top="301" w:right="259" w:bottom="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PG&amp;E CORP</w:t>
            </w:r>
          </w:p>
        </w:tc>
        <w:tc>
          <w:tcPr>
            <w:tcW w:w="426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Common Stock</w:t>
            </w:r>
          </w:p>
        </w:tc>
        <w:tc>
          <w:tcPr>
            <w:tcW w:w="2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58,043</w:t>
            </w:r>
          </w:p>
        </w:tc>
      </w:tr>
      <w:tr>
        <w:trPr>
          <w:trHeight w:val="237"/>
        </w:trPr>
        <w:tc>
          <w:tcPr>
            <w:tcW w:w="4460" w:type="dxa"/>
            <w:vAlign w:val="bottom"/>
          </w:tcPr>
          <w:p>
            <w:pPr>
              <w:ind w:left="480"/>
              <w:spacing w:after="0"/>
              <w:rPr>
                <w:sz w:val="20"/>
                <w:szCs w:val="20"/>
                <w:color w:val="auto"/>
              </w:rPr>
            </w:pPr>
            <w:r>
              <w:rPr>
                <w:rFonts w:ascii="Arial" w:cs="Arial" w:eastAsia="Arial" w:hAnsi="Arial"/>
                <w:sz w:val="16"/>
                <w:szCs w:val="16"/>
                <w:color w:val="auto"/>
              </w:rPr>
              <w:t>PHH CORP</w:t>
            </w:r>
          </w:p>
        </w:tc>
        <w:tc>
          <w:tcPr>
            <w:tcW w:w="4260" w:type="dxa"/>
            <w:vAlign w:val="bottom"/>
          </w:tcPr>
          <w:p>
            <w:pPr>
              <w:ind w:left="1240"/>
              <w:spacing w:after="0"/>
              <w:rPr>
                <w:sz w:val="20"/>
                <w:szCs w:val="20"/>
                <w:color w:val="auto"/>
              </w:rPr>
            </w:pPr>
            <w:r>
              <w:rPr>
                <w:rFonts w:ascii="Arial" w:cs="Arial" w:eastAsia="Arial" w:hAnsi="Arial"/>
                <w:sz w:val="16"/>
                <w:szCs w:val="16"/>
                <w:color w:val="auto"/>
              </w:rPr>
              <w:t>Common Stock</w:t>
            </w:r>
          </w:p>
        </w:tc>
        <w:tc>
          <w:tcPr>
            <w:tcW w:w="2640" w:type="dxa"/>
            <w:vAlign w:val="bottom"/>
          </w:tcPr>
          <w:p>
            <w:pPr>
              <w:jc w:val="right"/>
              <w:ind w:right="39"/>
              <w:spacing w:after="0"/>
              <w:rPr>
                <w:sz w:val="20"/>
                <w:szCs w:val="20"/>
                <w:color w:val="auto"/>
              </w:rPr>
            </w:pPr>
            <w:r>
              <w:rPr>
                <w:rFonts w:ascii="Arial" w:cs="Arial" w:eastAsia="Arial" w:hAnsi="Arial"/>
                <w:sz w:val="16"/>
                <w:szCs w:val="16"/>
                <w:color w:val="auto"/>
              </w:rPr>
              <w:t>32,191</w:t>
            </w:r>
          </w:p>
        </w:tc>
      </w:tr>
      <w:tr>
        <w:trPr>
          <w:trHeight w:val="33"/>
        </w:trPr>
        <w:tc>
          <w:tcPr>
            <w:tcW w:w="446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37"/>
        </w:trPr>
        <w:tc>
          <w:tcPr>
            <w:tcW w:w="44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PHILIP MORRIS INTERNATIONAL IN</w:t>
            </w:r>
          </w:p>
        </w:tc>
        <w:tc>
          <w:tcPr>
            <w:tcW w:w="426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Common Stock</w:t>
            </w:r>
          </w:p>
        </w:tc>
        <w:tc>
          <w:tcPr>
            <w:tcW w:w="2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181,840</w:t>
            </w:r>
          </w:p>
        </w:tc>
      </w:tr>
      <w:tr>
        <w:trPr>
          <w:trHeight w:val="33"/>
        </w:trPr>
        <w:tc>
          <w:tcPr>
            <w:tcW w:w="4460" w:type="dxa"/>
            <w:vAlign w:val="bottom"/>
            <w:shd w:val="clear" w:color="auto" w:fill="CCEEFF"/>
          </w:tcPr>
          <w:p>
            <w:pPr>
              <w:spacing w:after="0"/>
              <w:rPr>
                <w:sz w:val="2"/>
                <w:szCs w:val="2"/>
                <w:color w:val="auto"/>
              </w:rPr>
            </w:pPr>
          </w:p>
        </w:tc>
        <w:tc>
          <w:tcPr>
            <w:tcW w:w="426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80" w:top="140" w:right="259" w:bottom="1440" w:gutter="0" w:footer="0" w:header="0"/>
        </w:sectPr>
      </w:pPr>
    </w:p>
    <w:bookmarkStart w:id="68" w:name="page69"/>
    <w:bookmarkEnd w:id="68"/>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WESCO Distribution, Inc.</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Retirement Savings Plan</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Schedule H (Form 5500), line 4(i) - Schedule of Assets (Held at End of Year)</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EIN 25-1723345, Plan Number 001</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2013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Pr>
          <w:p>
            <w:pPr>
              <w:ind w:left="140"/>
              <w:spacing w:after="0"/>
              <w:rPr>
                <w:sz w:val="20"/>
                <w:szCs w:val="20"/>
                <w:color w:val="auto"/>
              </w:rPr>
            </w:pPr>
            <w:r>
              <w:rPr>
                <w:rFonts w:ascii="Arial" w:cs="Arial" w:eastAsia="Arial" w:hAnsi="Arial"/>
                <w:sz w:val="16"/>
                <w:szCs w:val="16"/>
                <w:b w:val="1"/>
                <w:bCs w:val="1"/>
                <w:color w:val="auto"/>
              </w:rPr>
              <w:t>(a)</w:t>
            </w:r>
          </w:p>
        </w:tc>
        <w:tc>
          <w:tcPr>
            <w:tcW w:w="4340" w:type="dxa"/>
            <w:vAlign w:val="bottom"/>
          </w:tcPr>
          <w:p>
            <w:pPr>
              <w:jc w:val="center"/>
              <w:ind w:left="899"/>
              <w:spacing w:after="0"/>
              <w:rPr>
                <w:sz w:val="20"/>
                <w:szCs w:val="20"/>
                <w:color w:val="auto"/>
              </w:rPr>
            </w:pPr>
            <w:r>
              <w:rPr>
                <w:rFonts w:ascii="Arial" w:cs="Arial" w:eastAsia="Arial" w:hAnsi="Arial"/>
                <w:sz w:val="16"/>
                <w:szCs w:val="16"/>
                <w:b w:val="1"/>
                <w:bCs w:val="1"/>
                <w:color w:val="auto"/>
                <w:w w:val="97"/>
              </w:rPr>
              <w:t>(b)</w:t>
            </w:r>
          </w:p>
        </w:tc>
        <w:tc>
          <w:tcPr>
            <w:tcW w:w="2100" w:type="dxa"/>
            <w:vAlign w:val="bottom"/>
          </w:tcPr>
          <w:p>
            <w:pPr>
              <w:spacing w:after="0"/>
              <w:rPr>
                <w:sz w:val="18"/>
                <w:szCs w:val="18"/>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1"/>
              </w:rPr>
              <w:t>(c)</w:t>
            </w:r>
          </w:p>
        </w:tc>
        <w:tc>
          <w:tcPr>
            <w:tcW w:w="1720" w:type="dxa"/>
            <w:vAlign w:val="bottom"/>
          </w:tcPr>
          <w:p>
            <w:pPr>
              <w:jc w:val="center"/>
              <w:ind w:left="399"/>
              <w:spacing w:after="0"/>
              <w:rPr>
                <w:sz w:val="20"/>
                <w:szCs w:val="20"/>
                <w:color w:val="auto"/>
              </w:rPr>
            </w:pPr>
            <w:r>
              <w:rPr>
                <w:rFonts w:ascii="Arial" w:cs="Arial" w:eastAsia="Arial" w:hAnsi="Arial"/>
                <w:sz w:val="16"/>
                <w:szCs w:val="16"/>
                <w:b w:val="1"/>
                <w:bCs w:val="1"/>
                <w:color w:val="auto"/>
                <w:w w:val="97"/>
              </w:rPr>
              <w:t>(d)</w:t>
            </w:r>
          </w:p>
        </w:tc>
      </w:tr>
      <w:tr>
        <w:trPr>
          <w:trHeight w:val="270"/>
        </w:trPr>
        <w:tc>
          <w:tcPr>
            <w:tcW w:w="40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800" w:type="dxa"/>
            <w:vAlign w:val="bottom"/>
          </w:tcPr>
          <w:p>
            <w:pPr>
              <w:jc w:val="center"/>
              <w:ind w:right="599"/>
              <w:spacing w:after="0"/>
              <w:rPr>
                <w:sz w:val="20"/>
                <w:szCs w:val="20"/>
                <w:color w:val="auto"/>
              </w:rPr>
            </w:pPr>
            <w:r>
              <w:rPr>
                <w:rFonts w:ascii="Arial" w:cs="Arial" w:eastAsia="Arial" w:hAnsi="Arial"/>
                <w:sz w:val="16"/>
                <w:szCs w:val="16"/>
                <w:b w:val="1"/>
                <w:bCs w:val="1"/>
                <w:color w:val="auto"/>
                <w:w w:val="91"/>
              </w:rPr>
              <w:t>Description of Investment</w:t>
            </w:r>
          </w:p>
        </w:tc>
        <w:tc>
          <w:tcPr>
            <w:tcW w:w="172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340" w:type="dxa"/>
            <w:vAlign w:val="bottom"/>
          </w:tcPr>
          <w:p>
            <w:pPr>
              <w:jc w:val="center"/>
              <w:ind w:left="899"/>
              <w:spacing w:after="0"/>
              <w:rPr>
                <w:sz w:val="20"/>
                <w:szCs w:val="20"/>
                <w:color w:val="auto"/>
              </w:rPr>
            </w:pPr>
            <w:r>
              <w:rPr>
                <w:rFonts w:ascii="Arial" w:cs="Arial" w:eastAsia="Arial" w:hAnsi="Arial"/>
                <w:sz w:val="16"/>
                <w:szCs w:val="16"/>
                <w:b w:val="1"/>
                <w:bCs w:val="1"/>
                <w:color w:val="auto"/>
                <w:w w:val="91"/>
              </w:rPr>
              <w:t>Identity of Issue,</w:t>
            </w:r>
          </w:p>
        </w:tc>
        <w:tc>
          <w:tcPr>
            <w:tcW w:w="2100" w:type="dxa"/>
            <w:vAlign w:val="bottom"/>
          </w:tcPr>
          <w:p>
            <w:pPr>
              <w:spacing w:after="0"/>
              <w:rPr>
                <w:sz w:val="23"/>
                <w:szCs w:val="23"/>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5"/>
              </w:rPr>
              <w:t>Including Maturity Date,</w:t>
            </w:r>
          </w:p>
        </w:tc>
        <w:tc>
          <w:tcPr>
            <w:tcW w:w="172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340" w:type="dxa"/>
            <w:vAlign w:val="bottom"/>
          </w:tcPr>
          <w:p>
            <w:pPr>
              <w:jc w:val="center"/>
              <w:ind w:left="919"/>
              <w:spacing w:after="0"/>
              <w:rPr>
                <w:sz w:val="20"/>
                <w:szCs w:val="20"/>
                <w:color w:val="auto"/>
              </w:rPr>
            </w:pPr>
            <w:r>
              <w:rPr>
                <w:rFonts w:ascii="Arial" w:cs="Arial" w:eastAsia="Arial" w:hAnsi="Arial"/>
                <w:sz w:val="16"/>
                <w:szCs w:val="16"/>
                <w:b w:val="1"/>
                <w:bCs w:val="1"/>
                <w:color w:val="auto"/>
                <w:w w:val="90"/>
              </w:rPr>
              <w:t>Borrower, Lessor or</w:t>
            </w:r>
          </w:p>
        </w:tc>
        <w:tc>
          <w:tcPr>
            <w:tcW w:w="2100" w:type="dxa"/>
            <w:vAlign w:val="bottom"/>
          </w:tcPr>
          <w:p>
            <w:pPr>
              <w:spacing w:after="0"/>
              <w:rPr>
                <w:sz w:val="23"/>
                <w:szCs w:val="23"/>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3"/>
              </w:rPr>
              <w:t>Rate of Interest, Collateral,</w:t>
            </w:r>
          </w:p>
        </w:tc>
        <w:tc>
          <w:tcPr>
            <w:tcW w:w="1720" w:type="dxa"/>
            <w:vAlign w:val="bottom"/>
          </w:tcPr>
          <w:p>
            <w:pPr>
              <w:jc w:val="center"/>
              <w:ind w:left="379"/>
              <w:spacing w:after="0"/>
              <w:rPr>
                <w:sz w:val="20"/>
                <w:szCs w:val="20"/>
                <w:color w:val="auto"/>
              </w:rPr>
            </w:pPr>
            <w:r>
              <w:rPr>
                <w:rFonts w:ascii="Arial" w:cs="Arial" w:eastAsia="Arial" w:hAnsi="Arial"/>
                <w:sz w:val="16"/>
                <w:szCs w:val="16"/>
                <w:b w:val="1"/>
                <w:bCs w:val="1"/>
                <w:color w:val="auto"/>
              </w:rPr>
              <w:t>Current</w:t>
            </w:r>
          </w:p>
        </w:tc>
      </w:tr>
      <w:tr>
        <w:trPr>
          <w:trHeight w:val="270"/>
        </w:trPr>
        <w:tc>
          <w:tcPr>
            <w:tcW w:w="400" w:type="dxa"/>
            <w:vAlign w:val="bottom"/>
          </w:tcPr>
          <w:p>
            <w:pPr>
              <w:spacing w:after="0"/>
              <w:rPr>
                <w:sz w:val="23"/>
                <w:szCs w:val="23"/>
                <w:color w:val="auto"/>
              </w:rPr>
            </w:pPr>
          </w:p>
        </w:tc>
        <w:tc>
          <w:tcPr>
            <w:tcW w:w="4340" w:type="dxa"/>
            <w:vAlign w:val="bottom"/>
          </w:tcPr>
          <w:p>
            <w:pPr>
              <w:jc w:val="center"/>
              <w:ind w:left="919"/>
              <w:spacing w:after="0"/>
              <w:rPr>
                <w:sz w:val="20"/>
                <w:szCs w:val="20"/>
                <w:color w:val="auto"/>
              </w:rPr>
            </w:pPr>
            <w:r>
              <w:rPr>
                <w:rFonts w:ascii="Arial" w:cs="Arial" w:eastAsia="Arial" w:hAnsi="Arial"/>
                <w:sz w:val="16"/>
                <w:szCs w:val="16"/>
                <w:b w:val="1"/>
                <w:bCs w:val="1"/>
                <w:color w:val="auto"/>
                <w:w w:val="96"/>
              </w:rPr>
              <w:t>Similar Party</w:t>
            </w:r>
          </w:p>
        </w:tc>
        <w:tc>
          <w:tcPr>
            <w:tcW w:w="2100" w:type="dxa"/>
            <w:vAlign w:val="bottom"/>
          </w:tcPr>
          <w:p>
            <w:pPr>
              <w:spacing w:after="0"/>
              <w:rPr>
                <w:sz w:val="23"/>
                <w:szCs w:val="23"/>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6"/>
              </w:rPr>
              <w:t>Par, or Maturity Value</w:t>
            </w:r>
          </w:p>
        </w:tc>
        <w:tc>
          <w:tcPr>
            <w:tcW w:w="1720" w:type="dxa"/>
            <w:vAlign w:val="bottom"/>
          </w:tcPr>
          <w:p>
            <w:pPr>
              <w:jc w:val="center"/>
              <w:ind w:left="379"/>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PHILLIPS 66 COM</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118,549</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PIEDMONT NATURAL GAS CO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10,976</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PINNACLE WEST CAPITAL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14,024</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PITNEY BOWES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83,950</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PLUM CREEK TIMBER CO INC COM R</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25,813</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PNC FINANCIAL SERVICES GROUP I</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71,141</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PNM RESOURCES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9,262</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POLYCOM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3,751</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PORTLAND GENERAL ELECTRIC CO</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10,751</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POST HOLDINGS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16,210</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PPG INDUSTRIES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54,053</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PPL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8,305</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PRAXAIR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36,408</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PRIMERICA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21,541</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PRINCIPAL FINANCIAL GROUP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55,770</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PROASSURANCE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3,345</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PROCTER &amp; GAMBLE CO/THE</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442,382</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PROGRESS SOFTWARE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7,439</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PROGRESSIVE CORP/THE</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50,668</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PROTECTIVE LIFE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29,484</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PROVIDENT FINANCIAL SERVICES I</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6,936</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PRUDENTIAL FINANCIAL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169,039</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PUBLIC SERVICE ENTERPRISE GROU</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65,458</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QEP RESOURCES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11,770</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QUAD / GRAPHICS INC COM CL A</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16,992</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QUALCOMM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86,724</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QUEST DIAGNOSTICS INC/DE</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14,295</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QUESTAR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17,955</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QUIKSILVER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10,559</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RADIOSHACK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20,400</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RAYMOND JAMES FINANCIAL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17,379</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RAYTHEON CO</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92,242</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REGAL ENTERTAINMENT GROUP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10,659</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REGIONS FINANCIAL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40,292</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REGIS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6,617</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REINSURANCE GROUP OF AMERICA I</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22,604</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RELIANCE STEEL &amp; ALUMINUM CO</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8,418</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RENT-A-CENTER INC/TX</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16,103</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REPUBLIC AIRWAYS HOLDINGS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11,481</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REYNOLDS AMERICAN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50,190</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RITE AID CORP COM</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146,836</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RLI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9,933</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ROBERT HALF INTERNATIONAL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9,700</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ROCKWELL AUTOMATION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17,015</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ROCKWELL COLLINS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13,601</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ROCKWOOD HOLDINGS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8,271</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ROWAN COS PLC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5,870</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RPM INTERNATIONAL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11,955</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RR DONNELLEY &amp; SONS CO</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73,758</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RUBY TUESDAY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6,202</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97"/>
        </w:trPr>
        <w:tc>
          <w:tcPr>
            <w:tcW w:w="4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c>
          <w:tcPr>
            <w:tcW w:w="2100" w:type="dxa"/>
            <w:vAlign w:val="bottom"/>
            <w:shd w:val="clear" w:color="auto" w:fill="CCEEFF"/>
          </w:tcPr>
          <w:p>
            <w:pPr>
              <w:spacing w:after="0"/>
              <w:rPr>
                <w:sz w:val="8"/>
                <w:szCs w:val="8"/>
                <w:color w:val="auto"/>
              </w:rPr>
            </w:pPr>
          </w:p>
        </w:tc>
        <w:tc>
          <w:tcPr>
            <w:tcW w:w="2800" w:type="dxa"/>
            <w:vAlign w:val="bottom"/>
            <w:shd w:val="clear" w:color="auto" w:fill="CCEEFF"/>
          </w:tcPr>
          <w:p>
            <w:pPr>
              <w:spacing w:after="0"/>
              <w:rPr>
                <w:sz w:val="8"/>
                <w:szCs w:val="8"/>
                <w:color w:val="auto"/>
              </w:rPr>
            </w:pPr>
          </w:p>
        </w:tc>
        <w:tc>
          <w:tcPr>
            <w:tcW w:w="1720" w:type="dxa"/>
            <w:vAlign w:val="bottom"/>
            <w:shd w:val="clear" w:color="auto" w:fill="CCEEFF"/>
          </w:tcPr>
          <w:p>
            <w:pPr>
              <w:spacing w:after="0"/>
              <w:rPr>
                <w:sz w:val="8"/>
                <w:szCs w:val="8"/>
                <w:color w:val="auto"/>
              </w:rPr>
            </w:pPr>
          </w:p>
        </w:tc>
      </w:tr>
    </w:tbl>
    <w:p>
      <w:pPr>
        <w:sectPr>
          <w:pgSz w:w="11900" w:h="16900" w:orient="portrait"/>
          <w:cols w:equalWidth="0" w:num="1">
            <w:col w:w="11360"/>
          </w:cols>
          <w:pgMar w:left="280" w:top="301" w:right="259" w:bottom="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RYDER SYSTEM INC</w:t>
            </w:r>
          </w:p>
        </w:tc>
        <w:tc>
          <w:tcPr>
            <w:tcW w:w="442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Common Stock</w:t>
            </w:r>
          </w:p>
        </w:tc>
        <w:tc>
          <w:tcPr>
            <w:tcW w:w="2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37,038</w:t>
            </w:r>
          </w:p>
        </w:tc>
      </w:tr>
      <w:tr>
        <w:trPr>
          <w:trHeight w:val="237"/>
        </w:trPr>
        <w:tc>
          <w:tcPr>
            <w:tcW w:w="4300" w:type="dxa"/>
            <w:vAlign w:val="bottom"/>
          </w:tcPr>
          <w:p>
            <w:pPr>
              <w:ind w:left="480"/>
              <w:spacing w:after="0"/>
              <w:rPr>
                <w:sz w:val="20"/>
                <w:szCs w:val="20"/>
                <w:color w:val="auto"/>
              </w:rPr>
            </w:pPr>
            <w:r>
              <w:rPr>
                <w:rFonts w:ascii="Arial" w:cs="Arial" w:eastAsia="Arial" w:hAnsi="Arial"/>
                <w:sz w:val="16"/>
                <w:szCs w:val="16"/>
                <w:color w:val="auto"/>
              </w:rPr>
              <w:t>SABRA HEALTH CARE REIT INC</w:t>
            </w:r>
          </w:p>
        </w:tc>
        <w:tc>
          <w:tcPr>
            <w:tcW w:w="4420" w:type="dxa"/>
            <w:vAlign w:val="bottom"/>
          </w:tcPr>
          <w:p>
            <w:pPr>
              <w:ind w:left="1400"/>
              <w:spacing w:after="0"/>
              <w:rPr>
                <w:sz w:val="20"/>
                <w:szCs w:val="20"/>
                <w:color w:val="auto"/>
              </w:rPr>
            </w:pPr>
            <w:r>
              <w:rPr>
                <w:rFonts w:ascii="Arial" w:cs="Arial" w:eastAsia="Arial" w:hAnsi="Arial"/>
                <w:sz w:val="16"/>
                <w:szCs w:val="16"/>
                <w:color w:val="auto"/>
              </w:rPr>
              <w:t>Common Stock</w:t>
            </w:r>
          </w:p>
        </w:tc>
        <w:tc>
          <w:tcPr>
            <w:tcW w:w="2640" w:type="dxa"/>
            <w:vAlign w:val="bottom"/>
          </w:tcPr>
          <w:p>
            <w:pPr>
              <w:jc w:val="right"/>
              <w:ind w:right="39"/>
              <w:spacing w:after="0"/>
              <w:rPr>
                <w:sz w:val="20"/>
                <w:szCs w:val="20"/>
                <w:color w:val="auto"/>
              </w:rPr>
            </w:pPr>
            <w:r>
              <w:rPr>
                <w:rFonts w:ascii="Arial" w:cs="Arial" w:eastAsia="Arial" w:hAnsi="Arial"/>
                <w:sz w:val="16"/>
                <w:szCs w:val="16"/>
                <w:color w:val="auto"/>
              </w:rPr>
              <w:t>10,168</w:t>
            </w:r>
          </w:p>
        </w:tc>
      </w:tr>
      <w:tr>
        <w:trPr>
          <w:trHeight w:val="33"/>
        </w:trPr>
        <w:tc>
          <w:tcPr>
            <w:tcW w:w="43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37"/>
        </w:trPr>
        <w:tc>
          <w:tcPr>
            <w:tcW w:w="43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SAFEWAY INC</w:t>
            </w:r>
          </w:p>
        </w:tc>
        <w:tc>
          <w:tcPr>
            <w:tcW w:w="442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Common Stock</w:t>
            </w:r>
          </w:p>
        </w:tc>
        <w:tc>
          <w:tcPr>
            <w:tcW w:w="2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119,336</w:t>
            </w:r>
          </w:p>
        </w:tc>
      </w:tr>
      <w:tr>
        <w:trPr>
          <w:trHeight w:val="33"/>
        </w:trPr>
        <w:tc>
          <w:tcPr>
            <w:tcW w:w="4300" w:type="dxa"/>
            <w:vAlign w:val="bottom"/>
            <w:shd w:val="clear" w:color="auto" w:fill="CCEEFF"/>
          </w:tcPr>
          <w:p>
            <w:pPr>
              <w:spacing w:after="0"/>
              <w:rPr>
                <w:sz w:val="2"/>
                <w:szCs w:val="2"/>
                <w:color w:val="auto"/>
              </w:rPr>
            </w:pPr>
          </w:p>
        </w:tc>
        <w:tc>
          <w:tcPr>
            <w:tcW w:w="442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80" w:top="140" w:right="259" w:bottom="1440" w:gutter="0" w:footer="0" w:header="0"/>
        </w:sectPr>
      </w:pPr>
    </w:p>
    <w:bookmarkStart w:id="70" w:name="page71"/>
    <w:bookmarkEnd w:id="70"/>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WESCO Distribution, Inc.</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Retirement Savings Plan</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Schedule H (Form 5500), line 4(i) - Schedule of Assets (Held at End of Year)</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EIN 25-1723345, Plan Number 001</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2013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Pr>
          <w:p>
            <w:pPr>
              <w:ind w:left="140"/>
              <w:spacing w:after="0"/>
              <w:rPr>
                <w:sz w:val="20"/>
                <w:szCs w:val="20"/>
                <w:color w:val="auto"/>
              </w:rPr>
            </w:pPr>
            <w:r>
              <w:rPr>
                <w:rFonts w:ascii="Arial" w:cs="Arial" w:eastAsia="Arial" w:hAnsi="Arial"/>
                <w:sz w:val="16"/>
                <w:szCs w:val="16"/>
                <w:b w:val="1"/>
                <w:bCs w:val="1"/>
                <w:color w:val="auto"/>
              </w:rPr>
              <w:t>(a)</w:t>
            </w:r>
          </w:p>
        </w:tc>
        <w:tc>
          <w:tcPr>
            <w:tcW w:w="4340" w:type="dxa"/>
            <w:vAlign w:val="bottom"/>
          </w:tcPr>
          <w:p>
            <w:pPr>
              <w:jc w:val="center"/>
              <w:ind w:left="899"/>
              <w:spacing w:after="0"/>
              <w:rPr>
                <w:sz w:val="20"/>
                <w:szCs w:val="20"/>
                <w:color w:val="auto"/>
              </w:rPr>
            </w:pPr>
            <w:r>
              <w:rPr>
                <w:rFonts w:ascii="Arial" w:cs="Arial" w:eastAsia="Arial" w:hAnsi="Arial"/>
                <w:sz w:val="16"/>
                <w:szCs w:val="16"/>
                <w:b w:val="1"/>
                <w:bCs w:val="1"/>
                <w:color w:val="auto"/>
                <w:w w:val="97"/>
              </w:rPr>
              <w:t>(b)</w:t>
            </w:r>
          </w:p>
        </w:tc>
        <w:tc>
          <w:tcPr>
            <w:tcW w:w="2100" w:type="dxa"/>
            <w:vAlign w:val="bottom"/>
          </w:tcPr>
          <w:p>
            <w:pPr>
              <w:spacing w:after="0"/>
              <w:rPr>
                <w:sz w:val="18"/>
                <w:szCs w:val="18"/>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1"/>
              </w:rPr>
              <w:t>(c)</w:t>
            </w:r>
          </w:p>
        </w:tc>
        <w:tc>
          <w:tcPr>
            <w:tcW w:w="1720" w:type="dxa"/>
            <w:vAlign w:val="bottom"/>
          </w:tcPr>
          <w:p>
            <w:pPr>
              <w:jc w:val="center"/>
              <w:ind w:left="399"/>
              <w:spacing w:after="0"/>
              <w:rPr>
                <w:sz w:val="20"/>
                <w:szCs w:val="20"/>
                <w:color w:val="auto"/>
              </w:rPr>
            </w:pPr>
            <w:r>
              <w:rPr>
                <w:rFonts w:ascii="Arial" w:cs="Arial" w:eastAsia="Arial" w:hAnsi="Arial"/>
                <w:sz w:val="16"/>
                <w:szCs w:val="16"/>
                <w:b w:val="1"/>
                <w:bCs w:val="1"/>
                <w:color w:val="auto"/>
                <w:w w:val="97"/>
              </w:rPr>
              <w:t>(d)</w:t>
            </w:r>
          </w:p>
        </w:tc>
      </w:tr>
      <w:tr>
        <w:trPr>
          <w:trHeight w:val="270"/>
        </w:trPr>
        <w:tc>
          <w:tcPr>
            <w:tcW w:w="40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800" w:type="dxa"/>
            <w:vAlign w:val="bottom"/>
          </w:tcPr>
          <w:p>
            <w:pPr>
              <w:jc w:val="center"/>
              <w:ind w:right="599"/>
              <w:spacing w:after="0"/>
              <w:rPr>
                <w:sz w:val="20"/>
                <w:szCs w:val="20"/>
                <w:color w:val="auto"/>
              </w:rPr>
            </w:pPr>
            <w:r>
              <w:rPr>
                <w:rFonts w:ascii="Arial" w:cs="Arial" w:eastAsia="Arial" w:hAnsi="Arial"/>
                <w:sz w:val="16"/>
                <w:szCs w:val="16"/>
                <w:b w:val="1"/>
                <w:bCs w:val="1"/>
                <w:color w:val="auto"/>
                <w:w w:val="91"/>
              </w:rPr>
              <w:t>Description of Investment</w:t>
            </w:r>
          </w:p>
        </w:tc>
        <w:tc>
          <w:tcPr>
            <w:tcW w:w="172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340" w:type="dxa"/>
            <w:vAlign w:val="bottom"/>
          </w:tcPr>
          <w:p>
            <w:pPr>
              <w:jc w:val="center"/>
              <w:ind w:left="899"/>
              <w:spacing w:after="0"/>
              <w:rPr>
                <w:sz w:val="20"/>
                <w:szCs w:val="20"/>
                <w:color w:val="auto"/>
              </w:rPr>
            </w:pPr>
            <w:r>
              <w:rPr>
                <w:rFonts w:ascii="Arial" w:cs="Arial" w:eastAsia="Arial" w:hAnsi="Arial"/>
                <w:sz w:val="16"/>
                <w:szCs w:val="16"/>
                <w:b w:val="1"/>
                <w:bCs w:val="1"/>
                <w:color w:val="auto"/>
                <w:w w:val="91"/>
              </w:rPr>
              <w:t>Identity of Issue,</w:t>
            </w:r>
          </w:p>
        </w:tc>
        <w:tc>
          <w:tcPr>
            <w:tcW w:w="2100" w:type="dxa"/>
            <w:vAlign w:val="bottom"/>
          </w:tcPr>
          <w:p>
            <w:pPr>
              <w:spacing w:after="0"/>
              <w:rPr>
                <w:sz w:val="23"/>
                <w:szCs w:val="23"/>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5"/>
              </w:rPr>
              <w:t>Including Maturity Date,</w:t>
            </w:r>
          </w:p>
        </w:tc>
        <w:tc>
          <w:tcPr>
            <w:tcW w:w="172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340" w:type="dxa"/>
            <w:vAlign w:val="bottom"/>
          </w:tcPr>
          <w:p>
            <w:pPr>
              <w:jc w:val="center"/>
              <w:ind w:left="919"/>
              <w:spacing w:after="0"/>
              <w:rPr>
                <w:sz w:val="20"/>
                <w:szCs w:val="20"/>
                <w:color w:val="auto"/>
              </w:rPr>
            </w:pPr>
            <w:r>
              <w:rPr>
                <w:rFonts w:ascii="Arial" w:cs="Arial" w:eastAsia="Arial" w:hAnsi="Arial"/>
                <w:sz w:val="16"/>
                <w:szCs w:val="16"/>
                <w:b w:val="1"/>
                <w:bCs w:val="1"/>
                <w:color w:val="auto"/>
                <w:w w:val="90"/>
              </w:rPr>
              <w:t>Borrower, Lessor or</w:t>
            </w:r>
          </w:p>
        </w:tc>
        <w:tc>
          <w:tcPr>
            <w:tcW w:w="2100" w:type="dxa"/>
            <w:vAlign w:val="bottom"/>
          </w:tcPr>
          <w:p>
            <w:pPr>
              <w:spacing w:after="0"/>
              <w:rPr>
                <w:sz w:val="23"/>
                <w:szCs w:val="23"/>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3"/>
              </w:rPr>
              <w:t>Rate of Interest, Collateral,</w:t>
            </w:r>
          </w:p>
        </w:tc>
        <w:tc>
          <w:tcPr>
            <w:tcW w:w="1720" w:type="dxa"/>
            <w:vAlign w:val="bottom"/>
          </w:tcPr>
          <w:p>
            <w:pPr>
              <w:jc w:val="center"/>
              <w:ind w:left="379"/>
              <w:spacing w:after="0"/>
              <w:rPr>
                <w:sz w:val="20"/>
                <w:szCs w:val="20"/>
                <w:color w:val="auto"/>
              </w:rPr>
            </w:pPr>
            <w:r>
              <w:rPr>
                <w:rFonts w:ascii="Arial" w:cs="Arial" w:eastAsia="Arial" w:hAnsi="Arial"/>
                <w:sz w:val="16"/>
                <w:szCs w:val="16"/>
                <w:b w:val="1"/>
                <w:bCs w:val="1"/>
                <w:color w:val="auto"/>
              </w:rPr>
              <w:t>Current</w:t>
            </w:r>
          </w:p>
        </w:tc>
      </w:tr>
      <w:tr>
        <w:trPr>
          <w:trHeight w:val="270"/>
        </w:trPr>
        <w:tc>
          <w:tcPr>
            <w:tcW w:w="400" w:type="dxa"/>
            <w:vAlign w:val="bottom"/>
          </w:tcPr>
          <w:p>
            <w:pPr>
              <w:spacing w:after="0"/>
              <w:rPr>
                <w:sz w:val="23"/>
                <w:szCs w:val="23"/>
                <w:color w:val="auto"/>
              </w:rPr>
            </w:pPr>
          </w:p>
        </w:tc>
        <w:tc>
          <w:tcPr>
            <w:tcW w:w="4340" w:type="dxa"/>
            <w:vAlign w:val="bottom"/>
          </w:tcPr>
          <w:p>
            <w:pPr>
              <w:jc w:val="center"/>
              <w:ind w:left="919"/>
              <w:spacing w:after="0"/>
              <w:rPr>
                <w:sz w:val="20"/>
                <w:szCs w:val="20"/>
                <w:color w:val="auto"/>
              </w:rPr>
            </w:pPr>
            <w:r>
              <w:rPr>
                <w:rFonts w:ascii="Arial" w:cs="Arial" w:eastAsia="Arial" w:hAnsi="Arial"/>
                <w:sz w:val="16"/>
                <w:szCs w:val="16"/>
                <w:b w:val="1"/>
                <w:bCs w:val="1"/>
                <w:color w:val="auto"/>
                <w:w w:val="96"/>
              </w:rPr>
              <w:t>Similar Party</w:t>
            </w:r>
          </w:p>
        </w:tc>
        <w:tc>
          <w:tcPr>
            <w:tcW w:w="2100" w:type="dxa"/>
            <w:vAlign w:val="bottom"/>
          </w:tcPr>
          <w:p>
            <w:pPr>
              <w:spacing w:after="0"/>
              <w:rPr>
                <w:sz w:val="23"/>
                <w:szCs w:val="23"/>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6"/>
              </w:rPr>
              <w:t>Par, or Maturity Value</w:t>
            </w:r>
          </w:p>
        </w:tc>
        <w:tc>
          <w:tcPr>
            <w:tcW w:w="1720" w:type="dxa"/>
            <w:vAlign w:val="bottom"/>
          </w:tcPr>
          <w:p>
            <w:pPr>
              <w:jc w:val="center"/>
              <w:ind w:left="379"/>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SANMINA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24,816</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SCANA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7,978</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SCHLUMBERGER LTD</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108,312</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SCHOLASTIC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8,673</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SCOTTS MIRACLE-GRO CO/THE</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15,306</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SEACOR HOLDINGS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10,214</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SEALED AIR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22,167</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SEARS HOLDINGS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32,759</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SELECTIVE INSURANCE GROUP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8,199</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SEMPRA ENERGY</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57,895</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SERVICE CORP INTERNATIONAL/US</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17,985</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SHERWIN-WILLIAMS CO/THE</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16,148</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SKYWEST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27,688</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SLM CORP COM</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4,678</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SNAP-ON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15,442</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SONOCO PRODUCTS CO</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9,846</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SOUTHERN CO/THE</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33,587</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SOUTHERN COPPER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13,580</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SOUTHWEST AIRLINES CO</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4,522</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SOUTHWEST GAS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16,941</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SPANSION INC COM CL A NEW</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5,542</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SPECTRA ENERGY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20,161</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SPECTRUM BRANDS HOLDINGS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8,960</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SPIRIT AEROSYSTEMS HOLDINGS IN</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15,609</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SPX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22,113</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ST JUDE MEDICAL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20,815</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STANCORP FINANCIAL GROUP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25,838</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STAPLES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57,808</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STARBUCKS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4,860</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STARWOOD HOTELS &amp; RESORTS WORL</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20,657</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STARZ</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6,257</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STATE STREET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73,243</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STEEL DYNAMICS INC COM</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17,058</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STEELCASE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22,394</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STERIS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16,097</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STONE ENERGY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4,877</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STRAYER EDUCATION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2,999</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STRYKER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23,293</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SUNEDISON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52,161</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SUNTRUST BANKS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67,141</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SUPERVALU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98,379</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SVB FINANCIAL GROUP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10,696</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SWIFT ENERGY CO</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8,721</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SYMANTEC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76,989</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SYMETRA FINANCIAL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30,127</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SYNNEX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11,593</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SYNOPSYS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13,104</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SYSCO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64,258</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T-MOBILE US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21,563</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TAKE-TWO INTERACTIVE SOFTWARE</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5,107</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97"/>
        </w:trPr>
        <w:tc>
          <w:tcPr>
            <w:tcW w:w="4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c>
          <w:tcPr>
            <w:tcW w:w="2100" w:type="dxa"/>
            <w:vAlign w:val="bottom"/>
            <w:shd w:val="clear" w:color="auto" w:fill="CCEEFF"/>
          </w:tcPr>
          <w:p>
            <w:pPr>
              <w:spacing w:after="0"/>
              <w:rPr>
                <w:sz w:val="8"/>
                <w:szCs w:val="8"/>
                <w:color w:val="auto"/>
              </w:rPr>
            </w:pPr>
          </w:p>
        </w:tc>
        <w:tc>
          <w:tcPr>
            <w:tcW w:w="2800" w:type="dxa"/>
            <w:vAlign w:val="bottom"/>
            <w:shd w:val="clear" w:color="auto" w:fill="CCEEFF"/>
          </w:tcPr>
          <w:p>
            <w:pPr>
              <w:spacing w:after="0"/>
              <w:rPr>
                <w:sz w:val="8"/>
                <w:szCs w:val="8"/>
                <w:color w:val="auto"/>
              </w:rPr>
            </w:pPr>
          </w:p>
        </w:tc>
        <w:tc>
          <w:tcPr>
            <w:tcW w:w="1720" w:type="dxa"/>
            <w:vAlign w:val="bottom"/>
            <w:shd w:val="clear" w:color="auto" w:fill="CCEEFF"/>
          </w:tcPr>
          <w:p>
            <w:pPr>
              <w:spacing w:after="0"/>
              <w:rPr>
                <w:sz w:val="8"/>
                <w:szCs w:val="8"/>
                <w:color w:val="auto"/>
              </w:rPr>
            </w:pPr>
          </w:p>
        </w:tc>
      </w:tr>
    </w:tbl>
    <w:p>
      <w:pPr>
        <w:sectPr>
          <w:pgSz w:w="11900" w:h="16900" w:orient="portrait"/>
          <w:cols w:equalWidth="0" w:num="1">
            <w:col w:w="11360"/>
          </w:cols>
          <w:pgMar w:left="280" w:top="301" w:right="259" w:bottom="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TARGET CORP</w:t>
            </w:r>
          </w:p>
        </w:tc>
        <w:tc>
          <w:tcPr>
            <w:tcW w:w="438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Common Stock</w:t>
            </w:r>
          </w:p>
        </w:tc>
        <w:tc>
          <w:tcPr>
            <w:tcW w:w="2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99,524</w:t>
            </w:r>
          </w:p>
        </w:tc>
      </w:tr>
      <w:tr>
        <w:trPr>
          <w:trHeight w:val="237"/>
        </w:trPr>
        <w:tc>
          <w:tcPr>
            <w:tcW w:w="4380" w:type="dxa"/>
            <w:vAlign w:val="bottom"/>
          </w:tcPr>
          <w:p>
            <w:pPr>
              <w:ind w:left="480"/>
              <w:spacing w:after="0"/>
              <w:rPr>
                <w:sz w:val="20"/>
                <w:szCs w:val="20"/>
                <w:color w:val="auto"/>
              </w:rPr>
            </w:pPr>
            <w:r>
              <w:rPr>
                <w:rFonts w:ascii="Arial" w:cs="Arial" w:eastAsia="Arial" w:hAnsi="Arial"/>
                <w:sz w:val="16"/>
                <w:szCs w:val="16"/>
                <w:color w:val="auto"/>
              </w:rPr>
              <w:t>TCF FINANCIAL CORP</w:t>
            </w:r>
          </w:p>
        </w:tc>
        <w:tc>
          <w:tcPr>
            <w:tcW w:w="4380" w:type="dxa"/>
            <w:vAlign w:val="bottom"/>
          </w:tcPr>
          <w:p>
            <w:pPr>
              <w:ind w:left="1320"/>
              <w:spacing w:after="0"/>
              <w:rPr>
                <w:sz w:val="20"/>
                <w:szCs w:val="20"/>
                <w:color w:val="auto"/>
              </w:rPr>
            </w:pPr>
            <w:r>
              <w:rPr>
                <w:rFonts w:ascii="Arial" w:cs="Arial" w:eastAsia="Arial" w:hAnsi="Arial"/>
                <w:sz w:val="16"/>
                <w:szCs w:val="16"/>
                <w:color w:val="auto"/>
              </w:rPr>
              <w:t>Common Stock</w:t>
            </w:r>
          </w:p>
        </w:tc>
        <w:tc>
          <w:tcPr>
            <w:tcW w:w="2600" w:type="dxa"/>
            <w:vAlign w:val="bottom"/>
          </w:tcPr>
          <w:p>
            <w:pPr>
              <w:jc w:val="right"/>
              <w:ind w:right="39"/>
              <w:spacing w:after="0"/>
              <w:rPr>
                <w:sz w:val="20"/>
                <w:szCs w:val="20"/>
                <w:color w:val="auto"/>
              </w:rPr>
            </w:pPr>
            <w:r>
              <w:rPr>
                <w:rFonts w:ascii="Arial" w:cs="Arial" w:eastAsia="Arial" w:hAnsi="Arial"/>
                <w:sz w:val="16"/>
                <w:szCs w:val="16"/>
                <w:color w:val="auto"/>
              </w:rPr>
              <w:t>11,863</w:t>
            </w:r>
          </w:p>
        </w:tc>
      </w:tr>
      <w:tr>
        <w:trPr>
          <w:trHeight w:val="33"/>
        </w:trPr>
        <w:tc>
          <w:tcPr>
            <w:tcW w:w="43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37"/>
        </w:trPr>
        <w:tc>
          <w:tcPr>
            <w:tcW w:w="43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TD AMERITRADE HOLDING CORP</w:t>
            </w:r>
          </w:p>
        </w:tc>
        <w:tc>
          <w:tcPr>
            <w:tcW w:w="438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Common Stock</w:t>
            </w:r>
          </w:p>
        </w:tc>
        <w:tc>
          <w:tcPr>
            <w:tcW w:w="2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12,042</w:t>
            </w:r>
          </w:p>
        </w:tc>
      </w:tr>
      <w:tr>
        <w:trPr>
          <w:trHeight w:val="33"/>
        </w:trPr>
        <w:tc>
          <w:tcPr>
            <w:tcW w:w="4380" w:type="dxa"/>
            <w:vAlign w:val="bottom"/>
            <w:shd w:val="clear" w:color="auto" w:fill="CCEEFF"/>
          </w:tcPr>
          <w:p>
            <w:pPr>
              <w:spacing w:after="0"/>
              <w:rPr>
                <w:sz w:val="2"/>
                <w:szCs w:val="2"/>
                <w:color w:val="auto"/>
              </w:rPr>
            </w:pPr>
          </w:p>
        </w:tc>
        <w:tc>
          <w:tcPr>
            <w:tcW w:w="438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80" w:top="140" w:right="259" w:bottom="1440" w:gutter="0" w:footer="0" w:header="0"/>
        </w:sectPr>
      </w:pPr>
    </w:p>
    <w:bookmarkStart w:id="72" w:name="page73"/>
    <w:bookmarkEnd w:id="72"/>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WESCO Distribution, Inc.</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Retirement Savings Plan</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Schedule H (Form 5500), line 4(i) - Schedule of Assets (Held at End of Year)</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EIN 25-1723345, Plan Number 001</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2013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Pr>
          <w:p>
            <w:pPr>
              <w:ind w:left="140"/>
              <w:spacing w:after="0"/>
              <w:rPr>
                <w:sz w:val="20"/>
                <w:szCs w:val="20"/>
                <w:color w:val="auto"/>
              </w:rPr>
            </w:pPr>
            <w:r>
              <w:rPr>
                <w:rFonts w:ascii="Arial" w:cs="Arial" w:eastAsia="Arial" w:hAnsi="Arial"/>
                <w:sz w:val="16"/>
                <w:szCs w:val="16"/>
                <w:b w:val="1"/>
                <w:bCs w:val="1"/>
                <w:color w:val="auto"/>
              </w:rPr>
              <w:t>(a)</w:t>
            </w:r>
          </w:p>
        </w:tc>
        <w:tc>
          <w:tcPr>
            <w:tcW w:w="4340" w:type="dxa"/>
            <w:vAlign w:val="bottom"/>
          </w:tcPr>
          <w:p>
            <w:pPr>
              <w:jc w:val="center"/>
              <w:ind w:left="899"/>
              <w:spacing w:after="0"/>
              <w:rPr>
                <w:sz w:val="20"/>
                <w:szCs w:val="20"/>
                <w:color w:val="auto"/>
              </w:rPr>
            </w:pPr>
            <w:r>
              <w:rPr>
                <w:rFonts w:ascii="Arial" w:cs="Arial" w:eastAsia="Arial" w:hAnsi="Arial"/>
                <w:sz w:val="16"/>
                <w:szCs w:val="16"/>
                <w:b w:val="1"/>
                <w:bCs w:val="1"/>
                <w:color w:val="auto"/>
                <w:w w:val="97"/>
              </w:rPr>
              <w:t>(b)</w:t>
            </w:r>
          </w:p>
        </w:tc>
        <w:tc>
          <w:tcPr>
            <w:tcW w:w="2100" w:type="dxa"/>
            <w:vAlign w:val="bottom"/>
          </w:tcPr>
          <w:p>
            <w:pPr>
              <w:spacing w:after="0"/>
              <w:rPr>
                <w:sz w:val="18"/>
                <w:szCs w:val="18"/>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1"/>
              </w:rPr>
              <w:t>(c)</w:t>
            </w:r>
          </w:p>
        </w:tc>
        <w:tc>
          <w:tcPr>
            <w:tcW w:w="1720" w:type="dxa"/>
            <w:vAlign w:val="bottom"/>
          </w:tcPr>
          <w:p>
            <w:pPr>
              <w:jc w:val="center"/>
              <w:ind w:left="399"/>
              <w:spacing w:after="0"/>
              <w:rPr>
                <w:sz w:val="20"/>
                <w:szCs w:val="20"/>
                <w:color w:val="auto"/>
              </w:rPr>
            </w:pPr>
            <w:r>
              <w:rPr>
                <w:rFonts w:ascii="Arial" w:cs="Arial" w:eastAsia="Arial" w:hAnsi="Arial"/>
                <w:sz w:val="16"/>
                <w:szCs w:val="16"/>
                <w:b w:val="1"/>
                <w:bCs w:val="1"/>
                <w:color w:val="auto"/>
                <w:w w:val="97"/>
              </w:rPr>
              <w:t>(d)</w:t>
            </w:r>
          </w:p>
        </w:tc>
      </w:tr>
      <w:tr>
        <w:trPr>
          <w:trHeight w:val="270"/>
        </w:trPr>
        <w:tc>
          <w:tcPr>
            <w:tcW w:w="40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800" w:type="dxa"/>
            <w:vAlign w:val="bottom"/>
          </w:tcPr>
          <w:p>
            <w:pPr>
              <w:jc w:val="center"/>
              <w:ind w:right="599"/>
              <w:spacing w:after="0"/>
              <w:rPr>
                <w:sz w:val="20"/>
                <w:szCs w:val="20"/>
                <w:color w:val="auto"/>
              </w:rPr>
            </w:pPr>
            <w:r>
              <w:rPr>
                <w:rFonts w:ascii="Arial" w:cs="Arial" w:eastAsia="Arial" w:hAnsi="Arial"/>
                <w:sz w:val="16"/>
                <w:szCs w:val="16"/>
                <w:b w:val="1"/>
                <w:bCs w:val="1"/>
                <w:color w:val="auto"/>
                <w:w w:val="91"/>
              </w:rPr>
              <w:t>Description of Investment</w:t>
            </w:r>
          </w:p>
        </w:tc>
        <w:tc>
          <w:tcPr>
            <w:tcW w:w="172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340" w:type="dxa"/>
            <w:vAlign w:val="bottom"/>
          </w:tcPr>
          <w:p>
            <w:pPr>
              <w:jc w:val="center"/>
              <w:ind w:left="899"/>
              <w:spacing w:after="0"/>
              <w:rPr>
                <w:sz w:val="20"/>
                <w:szCs w:val="20"/>
                <w:color w:val="auto"/>
              </w:rPr>
            </w:pPr>
            <w:r>
              <w:rPr>
                <w:rFonts w:ascii="Arial" w:cs="Arial" w:eastAsia="Arial" w:hAnsi="Arial"/>
                <w:sz w:val="16"/>
                <w:szCs w:val="16"/>
                <w:b w:val="1"/>
                <w:bCs w:val="1"/>
                <w:color w:val="auto"/>
                <w:w w:val="91"/>
              </w:rPr>
              <w:t>Identity of Issue,</w:t>
            </w:r>
          </w:p>
        </w:tc>
        <w:tc>
          <w:tcPr>
            <w:tcW w:w="2100" w:type="dxa"/>
            <w:vAlign w:val="bottom"/>
          </w:tcPr>
          <w:p>
            <w:pPr>
              <w:spacing w:after="0"/>
              <w:rPr>
                <w:sz w:val="23"/>
                <w:szCs w:val="23"/>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5"/>
              </w:rPr>
              <w:t>Including Maturity Date,</w:t>
            </w:r>
          </w:p>
        </w:tc>
        <w:tc>
          <w:tcPr>
            <w:tcW w:w="172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340" w:type="dxa"/>
            <w:vAlign w:val="bottom"/>
          </w:tcPr>
          <w:p>
            <w:pPr>
              <w:jc w:val="center"/>
              <w:ind w:left="919"/>
              <w:spacing w:after="0"/>
              <w:rPr>
                <w:sz w:val="20"/>
                <w:szCs w:val="20"/>
                <w:color w:val="auto"/>
              </w:rPr>
            </w:pPr>
            <w:r>
              <w:rPr>
                <w:rFonts w:ascii="Arial" w:cs="Arial" w:eastAsia="Arial" w:hAnsi="Arial"/>
                <w:sz w:val="16"/>
                <w:szCs w:val="16"/>
                <w:b w:val="1"/>
                <w:bCs w:val="1"/>
                <w:color w:val="auto"/>
                <w:w w:val="90"/>
              </w:rPr>
              <w:t>Borrower, Lessor or</w:t>
            </w:r>
          </w:p>
        </w:tc>
        <w:tc>
          <w:tcPr>
            <w:tcW w:w="2100" w:type="dxa"/>
            <w:vAlign w:val="bottom"/>
          </w:tcPr>
          <w:p>
            <w:pPr>
              <w:spacing w:after="0"/>
              <w:rPr>
                <w:sz w:val="23"/>
                <w:szCs w:val="23"/>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3"/>
              </w:rPr>
              <w:t>Rate of Interest, Collateral,</w:t>
            </w:r>
          </w:p>
        </w:tc>
        <w:tc>
          <w:tcPr>
            <w:tcW w:w="1720" w:type="dxa"/>
            <w:vAlign w:val="bottom"/>
          </w:tcPr>
          <w:p>
            <w:pPr>
              <w:jc w:val="center"/>
              <w:ind w:left="379"/>
              <w:spacing w:after="0"/>
              <w:rPr>
                <w:sz w:val="20"/>
                <w:szCs w:val="20"/>
                <w:color w:val="auto"/>
              </w:rPr>
            </w:pPr>
            <w:r>
              <w:rPr>
                <w:rFonts w:ascii="Arial" w:cs="Arial" w:eastAsia="Arial" w:hAnsi="Arial"/>
                <w:sz w:val="16"/>
                <w:szCs w:val="16"/>
                <w:b w:val="1"/>
                <w:bCs w:val="1"/>
                <w:color w:val="auto"/>
              </w:rPr>
              <w:t>Current</w:t>
            </w:r>
          </w:p>
        </w:tc>
      </w:tr>
      <w:tr>
        <w:trPr>
          <w:trHeight w:val="270"/>
        </w:trPr>
        <w:tc>
          <w:tcPr>
            <w:tcW w:w="400" w:type="dxa"/>
            <w:vAlign w:val="bottom"/>
          </w:tcPr>
          <w:p>
            <w:pPr>
              <w:spacing w:after="0"/>
              <w:rPr>
                <w:sz w:val="23"/>
                <w:szCs w:val="23"/>
                <w:color w:val="auto"/>
              </w:rPr>
            </w:pPr>
          </w:p>
        </w:tc>
        <w:tc>
          <w:tcPr>
            <w:tcW w:w="4340" w:type="dxa"/>
            <w:vAlign w:val="bottom"/>
          </w:tcPr>
          <w:p>
            <w:pPr>
              <w:jc w:val="center"/>
              <w:ind w:left="919"/>
              <w:spacing w:after="0"/>
              <w:rPr>
                <w:sz w:val="20"/>
                <w:szCs w:val="20"/>
                <w:color w:val="auto"/>
              </w:rPr>
            </w:pPr>
            <w:r>
              <w:rPr>
                <w:rFonts w:ascii="Arial" w:cs="Arial" w:eastAsia="Arial" w:hAnsi="Arial"/>
                <w:sz w:val="16"/>
                <w:szCs w:val="16"/>
                <w:b w:val="1"/>
                <w:bCs w:val="1"/>
                <w:color w:val="auto"/>
                <w:w w:val="96"/>
              </w:rPr>
              <w:t>Similar Party</w:t>
            </w:r>
          </w:p>
        </w:tc>
        <w:tc>
          <w:tcPr>
            <w:tcW w:w="2100" w:type="dxa"/>
            <w:vAlign w:val="bottom"/>
          </w:tcPr>
          <w:p>
            <w:pPr>
              <w:spacing w:after="0"/>
              <w:rPr>
                <w:sz w:val="23"/>
                <w:szCs w:val="23"/>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6"/>
              </w:rPr>
              <w:t>Par, or Maturity Value</w:t>
            </w:r>
          </w:p>
        </w:tc>
        <w:tc>
          <w:tcPr>
            <w:tcW w:w="1720" w:type="dxa"/>
            <w:vAlign w:val="bottom"/>
          </w:tcPr>
          <w:p>
            <w:pPr>
              <w:jc w:val="center"/>
              <w:ind w:left="379"/>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TECH DATA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32,147</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TECO ENERGY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13,982</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TELEPHONE &amp; DATA SYSTEMS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27,301</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TENET HEALTHCARE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93,338</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TENNECO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13,633</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TEREX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17,258</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TESORO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38,084</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TETRA TECHNOLOGIES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6,341</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TEXAS INSTRUMENTS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79,301</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TEXTRON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28,673</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THE MOSAIC CO COM</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19,381</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THERMO FISHER SCIENTIFIC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35,632</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THOMPSON CREEK METALS CO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6,368</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THOR INDUSTRIES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12,427</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TIFFANY &amp; CO</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14,752</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TIME WARNER CABLE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78,861</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TIME WARNER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207,487</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TIMKEN CO</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11,179</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TJX COS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19,374</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TORCHMARK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25,086</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TOTAL SYSTEM SERVICES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16,940</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TOWERS WATSON &amp; CO-CL A</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13,016</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TRAVEL CENTERS OF AMERICA</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10,821</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TRAVELERS COS INC/THE</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140,065</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TRUSTMARK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5,717</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TRW AUTOMOTIVE HOLDINGS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28,417</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TUPPERWARE BRANDS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11,060</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TUTOR PERINI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19,436</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TWENTY-FIRST CENTURY FOX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68,687</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TYCO INTERNATIONAL LTD</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85,815</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TYSON FOODS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19,206</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UGI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25,747</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UMPQUA HOLDINGS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8,996</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UNION PACIFIC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78,288</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UNISYS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34,678</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UNIT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11,769</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UNITED BANKSHARES INC/WV</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7,894</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UNITED CONTINENTAL HOLDINGS IN</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23,076</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UNITED ONLINE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5,077</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UNITED PARCEL SERVICE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80,386</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UNITED RENTALS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15,044</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UNITED STATES CELLULAR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11,626</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UNITED STATES STEEL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23,984</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UNITED STATIONERS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11,931</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UNITED TECHNOLOGIES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206,888</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UNITEDHEALTH GROUP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182,000</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UNIVERSAL CORP/VA</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21,622</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UNIVERSAL HEALTH SERVICES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40,793</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UNS ENERGY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14,244</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UNUM GROUP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50,726</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97"/>
        </w:trPr>
        <w:tc>
          <w:tcPr>
            <w:tcW w:w="4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c>
          <w:tcPr>
            <w:tcW w:w="2100" w:type="dxa"/>
            <w:vAlign w:val="bottom"/>
            <w:shd w:val="clear" w:color="auto" w:fill="CCEEFF"/>
          </w:tcPr>
          <w:p>
            <w:pPr>
              <w:spacing w:after="0"/>
              <w:rPr>
                <w:sz w:val="8"/>
                <w:szCs w:val="8"/>
                <w:color w:val="auto"/>
              </w:rPr>
            </w:pPr>
          </w:p>
        </w:tc>
        <w:tc>
          <w:tcPr>
            <w:tcW w:w="2800" w:type="dxa"/>
            <w:vAlign w:val="bottom"/>
            <w:shd w:val="clear" w:color="auto" w:fill="CCEEFF"/>
          </w:tcPr>
          <w:p>
            <w:pPr>
              <w:spacing w:after="0"/>
              <w:rPr>
                <w:sz w:val="8"/>
                <w:szCs w:val="8"/>
                <w:color w:val="auto"/>
              </w:rPr>
            </w:pPr>
          </w:p>
        </w:tc>
        <w:tc>
          <w:tcPr>
            <w:tcW w:w="1720" w:type="dxa"/>
            <w:vAlign w:val="bottom"/>
            <w:shd w:val="clear" w:color="auto" w:fill="CCEEFF"/>
          </w:tcPr>
          <w:p>
            <w:pPr>
              <w:spacing w:after="0"/>
              <w:rPr>
                <w:sz w:val="8"/>
                <w:szCs w:val="8"/>
                <w:color w:val="auto"/>
              </w:rPr>
            </w:pPr>
          </w:p>
        </w:tc>
      </w:tr>
    </w:tbl>
    <w:p>
      <w:pPr>
        <w:sectPr>
          <w:pgSz w:w="11900" w:h="16900" w:orient="portrait"/>
          <w:cols w:equalWidth="0" w:num="1">
            <w:col w:w="11360"/>
          </w:cols>
          <w:pgMar w:left="280" w:top="301" w:right="259" w:bottom="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URS CORP</w:t>
            </w:r>
          </w:p>
        </w:tc>
        <w:tc>
          <w:tcPr>
            <w:tcW w:w="4920" w:type="dxa"/>
            <w:vAlign w:val="bottom"/>
            <w:shd w:val="clear" w:color="auto" w:fill="CCEEFF"/>
          </w:tcPr>
          <w:p>
            <w:pPr>
              <w:ind w:left="1860"/>
              <w:spacing w:after="0"/>
              <w:rPr>
                <w:sz w:val="20"/>
                <w:szCs w:val="20"/>
                <w:color w:val="auto"/>
              </w:rPr>
            </w:pPr>
            <w:r>
              <w:rPr>
                <w:rFonts w:ascii="Arial" w:cs="Arial" w:eastAsia="Arial" w:hAnsi="Arial"/>
                <w:sz w:val="16"/>
                <w:szCs w:val="16"/>
                <w:color w:val="auto"/>
              </w:rPr>
              <w:t>Common Stock</w:t>
            </w:r>
          </w:p>
        </w:tc>
        <w:tc>
          <w:tcPr>
            <w:tcW w:w="2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20,984</w:t>
            </w:r>
          </w:p>
        </w:tc>
      </w:tr>
      <w:tr>
        <w:trPr>
          <w:trHeight w:val="237"/>
        </w:trPr>
        <w:tc>
          <w:tcPr>
            <w:tcW w:w="3840" w:type="dxa"/>
            <w:vAlign w:val="bottom"/>
          </w:tcPr>
          <w:p>
            <w:pPr>
              <w:ind w:left="480"/>
              <w:spacing w:after="0"/>
              <w:rPr>
                <w:sz w:val="20"/>
                <w:szCs w:val="20"/>
                <w:color w:val="auto"/>
              </w:rPr>
            </w:pPr>
            <w:r>
              <w:rPr>
                <w:rFonts w:ascii="Arial" w:cs="Arial" w:eastAsia="Arial" w:hAnsi="Arial"/>
                <w:sz w:val="16"/>
                <w:szCs w:val="16"/>
                <w:color w:val="auto"/>
              </w:rPr>
              <w:t>US BANCORP</w:t>
            </w:r>
          </w:p>
        </w:tc>
        <w:tc>
          <w:tcPr>
            <w:tcW w:w="4920" w:type="dxa"/>
            <w:vAlign w:val="bottom"/>
          </w:tcPr>
          <w:p>
            <w:pPr>
              <w:ind w:left="1860"/>
              <w:spacing w:after="0"/>
              <w:rPr>
                <w:sz w:val="20"/>
                <w:szCs w:val="20"/>
                <w:color w:val="auto"/>
              </w:rPr>
            </w:pPr>
            <w:r>
              <w:rPr>
                <w:rFonts w:ascii="Arial" w:cs="Arial" w:eastAsia="Arial" w:hAnsi="Arial"/>
                <w:sz w:val="16"/>
                <w:szCs w:val="16"/>
                <w:color w:val="auto"/>
              </w:rPr>
              <w:t>Common Stock</w:t>
            </w:r>
          </w:p>
        </w:tc>
        <w:tc>
          <w:tcPr>
            <w:tcW w:w="2600" w:type="dxa"/>
            <w:vAlign w:val="bottom"/>
          </w:tcPr>
          <w:p>
            <w:pPr>
              <w:jc w:val="right"/>
              <w:ind w:right="39"/>
              <w:spacing w:after="0"/>
              <w:rPr>
                <w:sz w:val="20"/>
                <w:szCs w:val="20"/>
                <w:color w:val="auto"/>
              </w:rPr>
            </w:pPr>
            <w:r>
              <w:rPr>
                <w:rFonts w:ascii="Arial" w:cs="Arial" w:eastAsia="Arial" w:hAnsi="Arial"/>
                <w:sz w:val="16"/>
                <w:szCs w:val="16"/>
                <w:color w:val="auto"/>
              </w:rPr>
              <w:t>68,518</w:t>
            </w:r>
          </w:p>
        </w:tc>
      </w:tr>
      <w:tr>
        <w:trPr>
          <w:trHeight w:val="33"/>
        </w:trPr>
        <w:tc>
          <w:tcPr>
            <w:tcW w:w="38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37"/>
        </w:trPr>
        <w:tc>
          <w:tcPr>
            <w:tcW w:w="3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USA MOBILITY INC</w:t>
            </w:r>
          </w:p>
        </w:tc>
        <w:tc>
          <w:tcPr>
            <w:tcW w:w="4920" w:type="dxa"/>
            <w:vAlign w:val="bottom"/>
            <w:shd w:val="clear" w:color="auto" w:fill="CCEEFF"/>
          </w:tcPr>
          <w:p>
            <w:pPr>
              <w:ind w:left="1860"/>
              <w:spacing w:after="0"/>
              <w:rPr>
                <w:sz w:val="20"/>
                <w:szCs w:val="20"/>
                <w:color w:val="auto"/>
              </w:rPr>
            </w:pPr>
            <w:r>
              <w:rPr>
                <w:rFonts w:ascii="Arial" w:cs="Arial" w:eastAsia="Arial" w:hAnsi="Arial"/>
                <w:sz w:val="16"/>
                <w:szCs w:val="16"/>
                <w:color w:val="auto"/>
              </w:rPr>
              <w:t>Common Stock</w:t>
            </w:r>
          </w:p>
        </w:tc>
        <w:tc>
          <w:tcPr>
            <w:tcW w:w="2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10,053</w:t>
            </w:r>
          </w:p>
        </w:tc>
      </w:tr>
      <w:tr>
        <w:trPr>
          <w:trHeight w:val="33"/>
        </w:trPr>
        <w:tc>
          <w:tcPr>
            <w:tcW w:w="3840" w:type="dxa"/>
            <w:vAlign w:val="bottom"/>
            <w:shd w:val="clear" w:color="auto" w:fill="CCEEFF"/>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80" w:top="140" w:right="259" w:bottom="1440" w:gutter="0" w:footer="0" w:header="0"/>
        </w:sectPr>
      </w:pPr>
    </w:p>
    <w:bookmarkStart w:id="74" w:name="page75"/>
    <w:bookmarkEnd w:id="74"/>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WESCO Distribution, Inc.</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Retirement Savings Plan</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Schedule H (Form 5500), line 4(i) - Schedule of Assets (Held at End of Year)</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EIN 25-1723345, Plan Number 001</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2013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Pr>
          <w:p>
            <w:pPr>
              <w:jc w:val="center"/>
              <w:spacing w:after="0"/>
              <w:rPr>
                <w:sz w:val="20"/>
                <w:szCs w:val="20"/>
                <w:color w:val="auto"/>
              </w:rPr>
            </w:pPr>
            <w:r>
              <w:rPr>
                <w:rFonts w:ascii="Arial" w:cs="Arial" w:eastAsia="Arial" w:hAnsi="Arial"/>
                <w:sz w:val="16"/>
                <w:szCs w:val="16"/>
                <w:b w:val="1"/>
                <w:bCs w:val="1"/>
                <w:color w:val="auto"/>
                <w:w w:val="91"/>
              </w:rPr>
              <w:t>(a)</w:t>
            </w:r>
          </w:p>
        </w:tc>
        <w:tc>
          <w:tcPr>
            <w:tcW w:w="4340" w:type="dxa"/>
            <w:vAlign w:val="bottom"/>
          </w:tcPr>
          <w:p>
            <w:pPr>
              <w:jc w:val="center"/>
              <w:ind w:left="899"/>
              <w:spacing w:after="0"/>
              <w:rPr>
                <w:sz w:val="20"/>
                <w:szCs w:val="20"/>
                <w:color w:val="auto"/>
              </w:rPr>
            </w:pPr>
            <w:r>
              <w:rPr>
                <w:rFonts w:ascii="Arial" w:cs="Arial" w:eastAsia="Arial" w:hAnsi="Arial"/>
                <w:sz w:val="16"/>
                <w:szCs w:val="16"/>
                <w:b w:val="1"/>
                <w:bCs w:val="1"/>
                <w:color w:val="auto"/>
                <w:w w:val="97"/>
              </w:rPr>
              <w:t>(b)</w:t>
            </w:r>
          </w:p>
        </w:tc>
        <w:tc>
          <w:tcPr>
            <w:tcW w:w="2100" w:type="dxa"/>
            <w:vAlign w:val="bottom"/>
          </w:tcPr>
          <w:p>
            <w:pPr>
              <w:spacing w:after="0"/>
              <w:rPr>
                <w:sz w:val="18"/>
                <w:szCs w:val="18"/>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1"/>
              </w:rPr>
              <w:t>(c)</w:t>
            </w:r>
          </w:p>
        </w:tc>
        <w:tc>
          <w:tcPr>
            <w:tcW w:w="1720" w:type="dxa"/>
            <w:vAlign w:val="bottom"/>
          </w:tcPr>
          <w:p>
            <w:pPr>
              <w:jc w:val="center"/>
              <w:ind w:left="399"/>
              <w:spacing w:after="0"/>
              <w:rPr>
                <w:sz w:val="20"/>
                <w:szCs w:val="20"/>
                <w:color w:val="auto"/>
              </w:rPr>
            </w:pPr>
            <w:r>
              <w:rPr>
                <w:rFonts w:ascii="Arial" w:cs="Arial" w:eastAsia="Arial" w:hAnsi="Arial"/>
                <w:sz w:val="16"/>
                <w:szCs w:val="16"/>
                <w:b w:val="1"/>
                <w:bCs w:val="1"/>
                <w:color w:val="auto"/>
                <w:w w:val="97"/>
              </w:rPr>
              <w:t>(d)</w:t>
            </w:r>
          </w:p>
        </w:tc>
      </w:tr>
      <w:tr>
        <w:trPr>
          <w:trHeight w:val="270"/>
        </w:trPr>
        <w:tc>
          <w:tcPr>
            <w:tcW w:w="40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800" w:type="dxa"/>
            <w:vAlign w:val="bottom"/>
          </w:tcPr>
          <w:p>
            <w:pPr>
              <w:jc w:val="center"/>
              <w:ind w:right="599"/>
              <w:spacing w:after="0"/>
              <w:rPr>
                <w:sz w:val="20"/>
                <w:szCs w:val="20"/>
                <w:color w:val="auto"/>
              </w:rPr>
            </w:pPr>
            <w:r>
              <w:rPr>
                <w:rFonts w:ascii="Arial" w:cs="Arial" w:eastAsia="Arial" w:hAnsi="Arial"/>
                <w:sz w:val="16"/>
                <w:szCs w:val="16"/>
                <w:b w:val="1"/>
                <w:bCs w:val="1"/>
                <w:color w:val="auto"/>
                <w:w w:val="91"/>
              </w:rPr>
              <w:t>Description of Investment</w:t>
            </w:r>
          </w:p>
        </w:tc>
        <w:tc>
          <w:tcPr>
            <w:tcW w:w="172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340" w:type="dxa"/>
            <w:vAlign w:val="bottom"/>
          </w:tcPr>
          <w:p>
            <w:pPr>
              <w:jc w:val="center"/>
              <w:ind w:left="899"/>
              <w:spacing w:after="0"/>
              <w:rPr>
                <w:sz w:val="20"/>
                <w:szCs w:val="20"/>
                <w:color w:val="auto"/>
              </w:rPr>
            </w:pPr>
            <w:r>
              <w:rPr>
                <w:rFonts w:ascii="Arial" w:cs="Arial" w:eastAsia="Arial" w:hAnsi="Arial"/>
                <w:sz w:val="16"/>
                <w:szCs w:val="16"/>
                <w:b w:val="1"/>
                <w:bCs w:val="1"/>
                <w:color w:val="auto"/>
                <w:w w:val="91"/>
              </w:rPr>
              <w:t>Identity of Issue,</w:t>
            </w:r>
          </w:p>
        </w:tc>
        <w:tc>
          <w:tcPr>
            <w:tcW w:w="2100" w:type="dxa"/>
            <w:vAlign w:val="bottom"/>
          </w:tcPr>
          <w:p>
            <w:pPr>
              <w:spacing w:after="0"/>
              <w:rPr>
                <w:sz w:val="23"/>
                <w:szCs w:val="23"/>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5"/>
              </w:rPr>
              <w:t>Including Maturity Date,</w:t>
            </w:r>
          </w:p>
        </w:tc>
        <w:tc>
          <w:tcPr>
            <w:tcW w:w="172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340" w:type="dxa"/>
            <w:vAlign w:val="bottom"/>
          </w:tcPr>
          <w:p>
            <w:pPr>
              <w:jc w:val="center"/>
              <w:ind w:left="919"/>
              <w:spacing w:after="0"/>
              <w:rPr>
                <w:sz w:val="20"/>
                <w:szCs w:val="20"/>
                <w:color w:val="auto"/>
              </w:rPr>
            </w:pPr>
            <w:r>
              <w:rPr>
                <w:rFonts w:ascii="Arial" w:cs="Arial" w:eastAsia="Arial" w:hAnsi="Arial"/>
                <w:sz w:val="16"/>
                <w:szCs w:val="16"/>
                <w:b w:val="1"/>
                <w:bCs w:val="1"/>
                <w:color w:val="auto"/>
                <w:w w:val="90"/>
              </w:rPr>
              <w:t>Borrower, Lessor or</w:t>
            </w:r>
          </w:p>
        </w:tc>
        <w:tc>
          <w:tcPr>
            <w:tcW w:w="2100" w:type="dxa"/>
            <w:vAlign w:val="bottom"/>
          </w:tcPr>
          <w:p>
            <w:pPr>
              <w:spacing w:after="0"/>
              <w:rPr>
                <w:sz w:val="23"/>
                <w:szCs w:val="23"/>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3"/>
              </w:rPr>
              <w:t>Rate of Interest, Collateral,</w:t>
            </w:r>
          </w:p>
        </w:tc>
        <w:tc>
          <w:tcPr>
            <w:tcW w:w="1720" w:type="dxa"/>
            <w:vAlign w:val="bottom"/>
          </w:tcPr>
          <w:p>
            <w:pPr>
              <w:jc w:val="center"/>
              <w:ind w:left="379"/>
              <w:spacing w:after="0"/>
              <w:rPr>
                <w:sz w:val="20"/>
                <w:szCs w:val="20"/>
                <w:color w:val="auto"/>
              </w:rPr>
            </w:pPr>
            <w:r>
              <w:rPr>
                <w:rFonts w:ascii="Arial" w:cs="Arial" w:eastAsia="Arial" w:hAnsi="Arial"/>
                <w:sz w:val="16"/>
                <w:szCs w:val="16"/>
                <w:b w:val="1"/>
                <w:bCs w:val="1"/>
                <w:color w:val="auto"/>
              </w:rPr>
              <w:t>Current</w:t>
            </w:r>
          </w:p>
        </w:tc>
      </w:tr>
      <w:tr>
        <w:trPr>
          <w:trHeight w:val="270"/>
        </w:trPr>
        <w:tc>
          <w:tcPr>
            <w:tcW w:w="400" w:type="dxa"/>
            <w:vAlign w:val="bottom"/>
          </w:tcPr>
          <w:p>
            <w:pPr>
              <w:spacing w:after="0"/>
              <w:rPr>
                <w:sz w:val="23"/>
                <w:szCs w:val="23"/>
                <w:color w:val="auto"/>
              </w:rPr>
            </w:pPr>
          </w:p>
        </w:tc>
        <w:tc>
          <w:tcPr>
            <w:tcW w:w="4340" w:type="dxa"/>
            <w:vAlign w:val="bottom"/>
          </w:tcPr>
          <w:p>
            <w:pPr>
              <w:jc w:val="center"/>
              <w:ind w:left="919"/>
              <w:spacing w:after="0"/>
              <w:rPr>
                <w:sz w:val="20"/>
                <w:szCs w:val="20"/>
                <w:color w:val="auto"/>
              </w:rPr>
            </w:pPr>
            <w:r>
              <w:rPr>
                <w:rFonts w:ascii="Arial" w:cs="Arial" w:eastAsia="Arial" w:hAnsi="Arial"/>
                <w:sz w:val="16"/>
                <w:szCs w:val="16"/>
                <w:b w:val="1"/>
                <w:bCs w:val="1"/>
                <w:color w:val="auto"/>
                <w:w w:val="96"/>
              </w:rPr>
              <w:t>Similar Party</w:t>
            </w:r>
          </w:p>
        </w:tc>
        <w:tc>
          <w:tcPr>
            <w:tcW w:w="2100" w:type="dxa"/>
            <w:vAlign w:val="bottom"/>
          </w:tcPr>
          <w:p>
            <w:pPr>
              <w:spacing w:after="0"/>
              <w:rPr>
                <w:sz w:val="23"/>
                <w:szCs w:val="23"/>
                <w:color w:val="auto"/>
              </w:rPr>
            </w:pPr>
          </w:p>
        </w:tc>
        <w:tc>
          <w:tcPr>
            <w:tcW w:w="2800" w:type="dxa"/>
            <w:vAlign w:val="bottom"/>
          </w:tcPr>
          <w:p>
            <w:pPr>
              <w:jc w:val="center"/>
              <w:ind w:right="619"/>
              <w:spacing w:after="0"/>
              <w:rPr>
                <w:sz w:val="20"/>
                <w:szCs w:val="20"/>
                <w:color w:val="auto"/>
              </w:rPr>
            </w:pPr>
            <w:r>
              <w:rPr>
                <w:rFonts w:ascii="Arial" w:cs="Arial" w:eastAsia="Arial" w:hAnsi="Arial"/>
                <w:sz w:val="16"/>
                <w:szCs w:val="16"/>
                <w:b w:val="1"/>
                <w:bCs w:val="1"/>
                <w:color w:val="auto"/>
                <w:w w:val="96"/>
              </w:rPr>
              <w:t>Par, or Maturity Value</w:t>
            </w:r>
          </w:p>
        </w:tc>
        <w:tc>
          <w:tcPr>
            <w:tcW w:w="1720" w:type="dxa"/>
            <w:vAlign w:val="bottom"/>
          </w:tcPr>
          <w:p>
            <w:pPr>
              <w:jc w:val="center"/>
              <w:ind w:left="379"/>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VALASSIS COMMUNICATIONS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10,515</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VALEANT PHARMACEUTICALS INTERN</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6,340</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VALERO ENERGY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147,823</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VECTREN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14,520</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VERIZON COMMUNICATIONS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462,014</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VF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20,946</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VIACOM INC NEW CL B</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30,220</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VISA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19,596</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VISHAY INTERTECHNOLOGY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26,135</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VISTEON CORP COM</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31,446</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VONAGE HOLDINGS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5,425</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WAL-MART STORES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279,192</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WALGREEN CO</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125,736</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WALT DISNEY CO/THE</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78,157</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WASHINGTON FEDERAL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10,015</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WASTE MANAGEMENT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64,119</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WEBMD HEALTH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25,004</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WEBSTER FINANCIAL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4,677</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WELLCARE HEALTH PLANS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20,703</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WELLPOINT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184,226</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WELLS FARGO &amp; CO</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362,474</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WENDY'S CO/THE</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17,021</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WERNER ENTERPRISES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4,427</w:t>
            </w:r>
          </w:p>
        </w:tc>
      </w:tr>
      <w:tr>
        <w:trPr>
          <w:trHeight w:val="243"/>
        </w:trPr>
        <w:tc>
          <w:tcPr>
            <w:tcW w:w="4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4340" w:type="dxa"/>
            <w:vAlign w:val="bottom"/>
          </w:tcPr>
          <w:p>
            <w:pPr>
              <w:ind w:left="80"/>
              <w:spacing w:after="0"/>
              <w:rPr>
                <w:sz w:val="20"/>
                <w:szCs w:val="20"/>
                <w:color w:val="auto"/>
              </w:rPr>
            </w:pPr>
            <w:r>
              <w:rPr>
                <w:rFonts w:ascii="Arial" w:cs="Arial" w:eastAsia="Arial" w:hAnsi="Arial"/>
                <w:sz w:val="16"/>
                <w:szCs w:val="16"/>
                <w:color w:val="auto"/>
              </w:rPr>
              <w:t>WESCO INTERNATIONAL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1"/>
                <w:szCs w:val="21"/>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7,832</w:t>
            </w:r>
          </w:p>
        </w:tc>
      </w:tr>
      <w:tr>
        <w:trPr>
          <w:trHeight w:val="27"/>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WESTAMERICA BANCORPORATION</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6,775</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WESTAR ENERGY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11,260</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WESTERN DIGITAL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73,161</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WESTERN UNION CO/THE</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8,332</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WEYERHAEUSER CO REIT</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101,434</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WGL HOLDINGS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11,698</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WHIRLPOOL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58,823</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WHITE MOUNTAINS INSURANCE GROU</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12,665</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WILLIAMS COS INC/THE</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34,482</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WILLIAMS-SONOMA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15,910</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WINDSTREAM HOLDINGS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31,968</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WINTRUST FINANCIAL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6,226</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WISCONSIN ENERGY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13,063</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WPX ENERGY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49,523</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WR BERKLEY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8,201</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WYNDHAM WORLDWIDE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17,538</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WYNN RESORTS LTD</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35,540</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XCEL ENERGY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31,740</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XEROX CORP</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44,481</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XILINX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14,097</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XL GROUP PLC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24,198</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YAHOO! INC</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28,591</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YUM! BRANDS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33,949</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ZALE CORP</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22,614</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ZIMMER HOLDINGS INC</w:t>
            </w:r>
          </w:p>
        </w:tc>
        <w:tc>
          <w:tcPr>
            <w:tcW w:w="2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18,731</w:t>
            </w:r>
          </w:p>
        </w:tc>
      </w:tr>
      <w:tr>
        <w:trPr>
          <w:trHeight w:val="237"/>
        </w:trPr>
        <w:tc>
          <w:tcPr>
            <w:tcW w:w="40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ZIONS BANCORPORATION</w:t>
            </w:r>
          </w:p>
        </w:tc>
        <w:tc>
          <w:tcPr>
            <w:tcW w:w="2100" w:type="dxa"/>
            <w:vAlign w:val="bottom"/>
          </w:tcPr>
          <w:p>
            <w:pPr>
              <w:ind w:left="960"/>
              <w:spacing w:after="0"/>
              <w:rPr>
                <w:sz w:val="20"/>
                <w:szCs w:val="20"/>
                <w:color w:val="auto"/>
              </w:rPr>
            </w:pPr>
            <w:r>
              <w:rPr>
                <w:rFonts w:ascii="Arial" w:cs="Arial" w:eastAsia="Arial" w:hAnsi="Arial"/>
                <w:sz w:val="16"/>
                <w:szCs w:val="16"/>
                <w:color w:val="auto"/>
              </w:rPr>
              <w:t>Common Stock</w:t>
            </w:r>
          </w:p>
        </w:tc>
        <w:tc>
          <w:tcPr>
            <w:tcW w:w="28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18,665</w:t>
            </w:r>
          </w:p>
        </w:tc>
      </w:tr>
      <w:tr>
        <w:trPr>
          <w:trHeight w:val="3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97"/>
        </w:trPr>
        <w:tc>
          <w:tcPr>
            <w:tcW w:w="4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c>
          <w:tcPr>
            <w:tcW w:w="2100" w:type="dxa"/>
            <w:vAlign w:val="bottom"/>
            <w:shd w:val="clear" w:color="auto" w:fill="CCEEFF"/>
          </w:tcPr>
          <w:p>
            <w:pPr>
              <w:spacing w:after="0"/>
              <w:rPr>
                <w:sz w:val="8"/>
                <w:szCs w:val="8"/>
                <w:color w:val="auto"/>
              </w:rPr>
            </w:pPr>
          </w:p>
        </w:tc>
        <w:tc>
          <w:tcPr>
            <w:tcW w:w="2800" w:type="dxa"/>
            <w:vAlign w:val="bottom"/>
            <w:shd w:val="clear" w:color="auto" w:fill="CCEEFF"/>
          </w:tcPr>
          <w:p>
            <w:pPr>
              <w:spacing w:after="0"/>
              <w:rPr>
                <w:sz w:val="8"/>
                <w:szCs w:val="8"/>
                <w:color w:val="auto"/>
              </w:rPr>
            </w:pPr>
          </w:p>
        </w:tc>
        <w:tc>
          <w:tcPr>
            <w:tcW w:w="1720" w:type="dxa"/>
            <w:vAlign w:val="bottom"/>
            <w:shd w:val="clear" w:color="auto" w:fill="CCEEFF"/>
          </w:tcPr>
          <w:p>
            <w:pPr>
              <w:spacing w:after="0"/>
              <w:rPr>
                <w:sz w:val="8"/>
                <w:szCs w:val="8"/>
                <w:color w:val="auto"/>
              </w:rPr>
            </w:pPr>
          </w:p>
        </w:tc>
      </w:tr>
    </w:tbl>
    <w:p>
      <w:pPr>
        <w:sectPr>
          <w:pgSz w:w="11900" w:h="16900" w:orient="portrait"/>
          <w:cols w:equalWidth="0" w:num="1">
            <w:col w:w="11360"/>
          </w:cols>
          <w:pgMar w:left="280" w:top="301" w:right="259" w:bottom="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ZYNGA INC CL A</w:t>
            </w:r>
          </w:p>
        </w:tc>
        <w:tc>
          <w:tcPr>
            <w:tcW w:w="5900" w:type="dxa"/>
            <w:vAlign w:val="bottom"/>
            <w:shd w:val="clear" w:color="auto" w:fill="CCEEFF"/>
          </w:tcPr>
          <w:p>
            <w:pPr>
              <w:ind w:left="1480"/>
              <w:spacing w:after="0"/>
              <w:rPr>
                <w:sz w:val="20"/>
                <w:szCs w:val="20"/>
                <w:color w:val="auto"/>
              </w:rPr>
            </w:pPr>
            <w:r>
              <w:rPr>
                <w:rFonts w:ascii="Arial" w:cs="Arial" w:eastAsia="Arial" w:hAnsi="Arial"/>
                <w:sz w:val="16"/>
                <w:szCs w:val="16"/>
                <w:color w:val="auto"/>
              </w:rPr>
              <w:t>Common Stock</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8,542</w:t>
            </w:r>
          </w:p>
        </w:tc>
      </w:tr>
      <w:tr>
        <w:trPr>
          <w:trHeight w:val="231"/>
        </w:trPr>
        <w:tc>
          <w:tcPr>
            <w:tcW w:w="4220" w:type="dxa"/>
            <w:vAlign w:val="bottom"/>
          </w:tcPr>
          <w:p>
            <w:pPr>
              <w:ind w:left="620"/>
              <w:spacing w:after="0"/>
              <w:rPr>
                <w:sz w:val="20"/>
                <w:szCs w:val="20"/>
                <w:color w:val="auto"/>
              </w:rPr>
            </w:pPr>
            <w:r>
              <w:rPr>
                <w:rFonts w:ascii="Arial" w:cs="Arial" w:eastAsia="Arial" w:hAnsi="Arial"/>
                <w:sz w:val="16"/>
                <w:szCs w:val="16"/>
                <w:color w:val="auto"/>
              </w:rPr>
              <w:t>RAFI Enhanced Large Company</w:t>
            </w:r>
          </w:p>
        </w:tc>
        <w:tc>
          <w:tcPr>
            <w:tcW w:w="59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42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Fund Total</w:t>
            </w:r>
          </w:p>
        </w:tc>
        <w:tc>
          <w:tcPr>
            <w:tcW w:w="59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33,761,966</w:t>
            </w:r>
          </w:p>
        </w:tc>
      </w:tr>
      <w:tr>
        <w:trPr>
          <w:trHeight w:val="20"/>
        </w:trPr>
        <w:tc>
          <w:tcPr>
            <w:tcW w:w="42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80" w:top="140" w:right="259" w:bottom="1440" w:gutter="0" w:footer="0" w:header="0"/>
        </w:sectPr>
      </w:pPr>
    </w:p>
    <w:bookmarkStart w:id="76" w:name="page77"/>
    <w:bookmarkEnd w:id="76"/>
    <w:p>
      <w:pPr>
        <w:ind w:left="20"/>
        <w:spacing w:after="0"/>
        <w:rPr>
          <w:sz w:val="20"/>
          <w:szCs w:val="20"/>
          <w:color w:val="auto"/>
        </w:rPr>
      </w:pPr>
      <w:r>
        <w:rPr>
          <w:rFonts w:ascii="Arial" w:cs="Arial" w:eastAsia="Arial" w:hAnsi="Arial"/>
          <w:sz w:val="16"/>
          <w:szCs w:val="16"/>
          <w:b w:val="1"/>
          <w:bCs w:val="1"/>
          <w:color w:val="auto"/>
        </w:rPr>
        <w:t>WESCO Distribution, Inc.</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Retirement Savings Plan</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Schedule H (Form 5500), line 4(i) - Schedule of Assets (Held at End of Year)</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EIN 25-1723345, Plan Number 001</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2013</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4300" w:type="dxa"/>
            <w:vAlign w:val="bottom"/>
          </w:tcPr>
          <w:p>
            <w:pPr>
              <w:jc w:val="center"/>
              <w:ind w:left="964"/>
              <w:spacing w:after="0"/>
              <w:rPr>
                <w:sz w:val="20"/>
                <w:szCs w:val="20"/>
                <w:color w:val="auto"/>
              </w:rPr>
            </w:pPr>
            <w:r>
              <w:rPr>
                <w:rFonts w:ascii="Arial" w:cs="Arial" w:eastAsia="Arial" w:hAnsi="Arial"/>
                <w:sz w:val="14"/>
                <w:szCs w:val="14"/>
                <w:b w:val="1"/>
                <w:bCs w:val="1"/>
                <w:color w:val="auto"/>
              </w:rPr>
              <w:t>(b)</w:t>
            </w:r>
          </w:p>
        </w:tc>
        <w:tc>
          <w:tcPr>
            <w:tcW w:w="5620" w:type="dxa"/>
            <w:vAlign w:val="bottom"/>
            <w:gridSpan w:val="2"/>
          </w:tcPr>
          <w:p>
            <w:pPr>
              <w:jc w:val="center"/>
              <w:ind w:left="705"/>
              <w:spacing w:after="0"/>
              <w:rPr>
                <w:sz w:val="20"/>
                <w:szCs w:val="20"/>
                <w:color w:val="auto"/>
              </w:rPr>
            </w:pPr>
            <w:r>
              <w:rPr>
                <w:rFonts w:ascii="Arial" w:cs="Arial" w:eastAsia="Arial" w:hAnsi="Arial"/>
                <w:sz w:val="14"/>
                <w:szCs w:val="14"/>
                <w:b w:val="1"/>
                <w:bCs w:val="1"/>
                <w:color w:val="auto"/>
                <w:w w:val="93"/>
              </w:rPr>
              <w:t>(c)</w:t>
            </w:r>
          </w:p>
        </w:tc>
        <w:tc>
          <w:tcPr>
            <w:tcW w:w="1040" w:type="dxa"/>
            <w:vAlign w:val="bottom"/>
          </w:tcPr>
          <w:p>
            <w:pPr>
              <w:jc w:val="center"/>
              <w:ind w:right="143"/>
              <w:spacing w:after="0"/>
              <w:rPr>
                <w:sz w:val="20"/>
                <w:szCs w:val="20"/>
                <w:color w:val="auto"/>
              </w:rPr>
            </w:pPr>
            <w:r>
              <w:rPr>
                <w:rFonts w:ascii="Arial" w:cs="Arial" w:eastAsia="Arial" w:hAnsi="Arial"/>
                <w:sz w:val="14"/>
                <w:szCs w:val="14"/>
                <w:b w:val="1"/>
                <w:bCs w:val="1"/>
                <w:color w:val="auto"/>
              </w:rPr>
              <w:t>(d)</w:t>
            </w:r>
          </w:p>
        </w:tc>
      </w:tr>
      <w:tr>
        <w:trPr>
          <w:trHeight w:val="270"/>
        </w:trPr>
        <w:tc>
          <w:tcPr>
            <w:tcW w:w="400" w:type="dxa"/>
            <w:vAlign w:val="bottom"/>
          </w:tcPr>
          <w:p>
            <w:pPr>
              <w:spacing w:after="0"/>
              <w:rPr>
                <w:sz w:val="23"/>
                <w:szCs w:val="23"/>
                <w:color w:val="auto"/>
              </w:rPr>
            </w:pPr>
          </w:p>
        </w:tc>
        <w:tc>
          <w:tcPr>
            <w:tcW w:w="4300" w:type="dxa"/>
            <w:vAlign w:val="bottom"/>
          </w:tcPr>
          <w:p>
            <w:pPr>
              <w:spacing w:after="0"/>
              <w:rPr>
                <w:sz w:val="23"/>
                <w:szCs w:val="23"/>
                <w:color w:val="auto"/>
              </w:rPr>
            </w:pPr>
          </w:p>
        </w:tc>
        <w:tc>
          <w:tcPr>
            <w:tcW w:w="5620" w:type="dxa"/>
            <w:vAlign w:val="bottom"/>
            <w:gridSpan w:val="2"/>
          </w:tcPr>
          <w:p>
            <w:pPr>
              <w:jc w:val="center"/>
              <w:ind w:left="705"/>
              <w:spacing w:after="0"/>
              <w:rPr>
                <w:sz w:val="20"/>
                <w:szCs w:val="20"/>
                <w:color w:val="auto"/>
              </w:rPr>
            </w:pPr>
            <w:r>
              <w:rPr>
                <w:rFonts w:ascii="Arial" w:cs="Arial" w:eastAsia="Arial" w:hAnsi="Arial"/>
                <w:sz w:val="14"/>
                <w:szCs w:val="14"/>
                <w:b w:val="1"/>
                <w:bCs w:val="1"/>
                <w:color w:val="auto"/>
                <w:w w:val="93"/>
              </w:rPr>
              <w:t>Description of Investment</w:t>
            </w:r>
          </w:p>
        </w:tc>
        <w:tc>
          <w:tcPr>
            <w:tcW w:w="104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300" w:type="dxa"/>
            <w:vAlign w:val="bottom"/>
          </w:tcPr>
          <w:p>
            <w:pPr>
              <w:jc w:val="center"/>
              <w:ind w:left="964"/>
              <w:spacing w:after="0"/>
              <w:rPr>
                <w:sz w:val="20"/>
                <w:szCs w:val="20"/>
                <w:color w:val="auto"/>
              </w:rPr>
            </w:pPr>
            <w:r>
              <w:rPr>
                <w:rFonts w:ascii="Arial" w:cs="Arial" w:eastAsia="Arial" w:hAnsi="Arial"/>
                <w:sz w:val="14"/>
                <w:szCs w:val="14"/>
                <w:b w:val="1"/>
                <w:bCs w:val="1"/>
                <w:color w:val="auto"/>
                <w:w w:val="92"/>
              </w:rPr>
              <w:t>Identity of Issue,</w:t>
            </w:r>
          </w:p>
        </w:tc>
        <w:tc>
          <w:tcPr>
            <w:tcW w:w="5620" w:type="dxa"/>
            <w:vAlign w:val="bottom"/>
            <w:gridSpan w:val="2"/>
          </w:tcPr>
          <w:p>
            <w:pPr>
              <w:jc w:val="center"/>
              <w:ind w:left="685"/>
              <w:spacing w:after="0"/>
              <w:rPr>
                <w:sz w:val="20"/>
                <w:szCs w:val="20"/>
                <w:color w:val="auto"/>
              </w:rPr>
            </w:pPr>
            <w:r>
              <w:rPr>
                <w:rFonts w:ascii="Arial" w:cs="Arial" w:eastAsia="Arial" w:hAnsi="Arial"/>
                <w:sz w:val="14"/>
                <w:szCs w:val="14"/>
                <w:b w:val="1"/>
                <w:bCs w:val="1"/>
                <w:color w:val="auto"/>
                <w:w w:val="97"/>
              </w:rPr>
              <w:t>Including Maturity Date,</w:t>
            </w:r>
          </w:p>
        </w:tc>
        <w:tc>
          <w:tcPr>
            <w:tcW w:w="104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4300" w:type="dxa"/>
            <w:vAlign w:val="bottom"/>
          </w:tcPr>
          <w:p>
            <w:pPr>
              <w:jc w:val="center"/>
              <w:ind w:left="964"/>
              <w:spacing w:after="0"/>
              <w:rPr>
                <w:sz w:val="20"/>
                <w:szCs w:val="20"/>
                <w:color w:val="auto"/>
              </w:rPr>
            </w:pPr>
            <w:r>
              <w:rPr>
                <w:rFonts w:ascii="Arial" w:cs="Arial" w:eastAsia="Arial" w:hAnsi="Arial"/>
                <w:sz w:val="14"/>
                <w:szCs w:val="14"/>
                <w:b w:val="1"/>
                <w:bCs w:val="1"/>
                <w:color w:val="auto"/>
                <w:w w:val="91"/>
              </w:rPr>
              <w:t>Borrower, Lessor or</w:t>
            </w:r>
          </w:p>
        </w:tc>
        <w:tc>
          <w:tcPr>
            <w:tcW w:w="5620" w:type="dxa"/>
            <w:vAlign w:val="bottom"/>
            <w:gridSpan w:val="2"/>
          </w:tcPr>
          <w:p>
            <w:pPr>
              <w:jc w:val="center"/>
              <w:ind w:left="705"/>
              <w:spacing w:after="0"/>
              <w:rPr>
                <w:sz w:val="20"/>
                <w:szCs w:val="20"/>
                <w:color w:val="auto"/>
              </w:rPr>
            </w:pPr>
            <w:r>
              <w:rPr>
                <w:rFonts w:ascii="Arial" w:cs="Arial" w:eastAsia="Arial" w:hAnsi="Arial"/>
                <w:sz w:val="14"/>
                <w:szCs w:val="14"/>
                <w:b w:val="1"/>
                <w:bCs w:val="1"/>
                <w:color w:val="auto"/>
                <w:w w:val="94"/>
              </w:rPr>
              <w:t>Rate of Interest, Collateral,</w:t>
            </w:r>
          </w:p>
        </w:tc>
        <w:tc>
          <w:tcPr>
            <w:tcW w:w="1040" w:type="dxa"/>
            <w:vAlign w:val="bottom"/>
          </w:tcPr>
          <w:p>
            <w:pPr>
              <w:jc w:val="center"/>
              <w:ind w:right="143"/>
              <w:spacing w:after="0"/>
              <w:rPr>
                <w:sz w:val="20"/>
                <w:szCs w:val="20"/>
                <w:color w:val="auto"/>
              </w:rPr>
            </w:pPr>
            <w:r>
              <w:rPr>
                <w:rFonts w:ascii="Arial" w:cs="Arial" w:eastAsia="Arial" w:hAnsi="Arial"/>
                <w:sz w:val="14"/>
                <w:szCs w:val="14"/>
                <w:b w:val="1"/>
                <w:bCs w:val="1"/>
                <w:color w:val="auto"/>
                <w:w w:val="98"/>
              </w:rPr>
              <w:t>Current</w:t>
            </w:r>
          </w:p>
        </w:tc>
      </w:tr>
      <w:tr>
        <w:trPr>
          <w:trHeight w:val="276"/>
        </w:trPr>
        <w:tc>
          <w:tcPr>
            <w:tcW w:w="400" w:type="dxa"/>
            <w:vAlign w:val="bottom"/>
          </w:tcPr>
          <w:p>
            <w:pPr>
              <w:spacing w:after="0"/>
              <w:rPr>
                <w:sz w:val="24"/>
                <w:szCs w:val="24"/>
                <w:color w:val="auto"/>
              </w:rPr>
            </w:pPr>
          </w:p>
        </w:tc>
        <w:tc>
          <w:tcPr>
            <w:tcW w:w="4300" w:type="dxa"/>
            <w:vAlign w:val="bottom"/>
          </w:tcPr>
          <w:p>
            <w:pPr>
              <w:jc w:val="center"/>
              <w:ind w:left="944"/>
              <w:spacing w:after="0"/>
              <w:rPr>
                <w:sz w:val="20"/>
                <w:szCs w:val="20"/>
                <w:color w:val="auto"/>
              </w:rPr>
            </w:pPr>
            <w:r>
              <w:rPr>
                <w:rFonts w:ascii="Arial" w:cs="Arial" w:eastAsia="Arial" w:hAnsi="Arial"/>
                <w:sz w:val="14"/>
                <w:szCs w:val="14"/>
                <w:b w:val="1"/>
                <w:bCs w:val="1"/>
                <w:color w:val="auto"/>
                <w:w w:val="98"/>
              </w:rPr>
              <w:t>Similar Party</w:t>
            </w:r>
          </w:p>
        </w:tc>
        <w:tc>
          <w:tcPr>
            <w:tcW w:w="5620" w:type="dxa"/>
            <w:vAlign w:val="bottom"/>
            <w:gridSpan w:val="2"/>
          </w:tcPr>
          <w:p>
            <w:pPr>
              <w:jc w:val="center"/>
              <w:ind w:left="705"/>
              <w:spacing w:after="0"/>
              <w:rPr>
                <w:sz w:val="20"/>
                <w:szCs w:val="20"/>
                <w:color w:val="auto"/>
              </w:rPr>
            </w:pPr>
            <w:r>
              <w:rPr>
                <w:rFonts w:ascii="Arial" w:cs="Arial" w:eastAsia="Arial" w:hAnsi="Arial"/>
                <w:sz w:val="14"/>
                <w:szCs w:val="14"/>
                <w:b w:val="1"/>
                <w:bCs w:val="1"/>
                <w:color w:val="auto"/>
                <w:w w:val="97"/>
              </w:rPr>
              <w:t>Par, or Maturity Value</w:t>
            </w:r>
          </w:p>
        </w:tc>
        <w:tc>
          <w:tcPr>
            <w:tcW w:w="1040" w:type="dxa"/>
            <w:vAlign w:val="bottom"/>
          </w:tcPr>
          <w:p>
            <w:pPr>
              <w:jc w:val="center"/>
              <w:ind w:right="143"/>
              <w:spacing w:after="0"/>
              <w:rPr>
                <w:sz w:val="20"/>
                <w:szCs w:val="20"/>
                <w:color w:val="auto"/>
              </w:rPr>
            </w:pPr>
            <w:r>
              <w:rPr>
                <w:rFonts w:ascii="Arial" w:cs="Arial" w:eastAsia="Arial" w:hAnsi="Arial"/>
                <w:sz w:val="14"/>
                <w:szCs w:val="14"/>
                <w:b w:val="1"/>
                <w:bCs w:val="1"/>
                <w:color w:val="auto"/>
                <w:w w:val="90"/>
              </w:rPr>
              <w:t>Value</w:t>
            </w:r>
          </w:p>
        </w:tc>
      </w:tr>
      <w:tr>
        <w:trPr>
          <w:trHeight w:val="263"/>
        </w:trPr>
        <w:tc>
          <w:tcPr>
            <w:tcW w:w="4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4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Participant Loans</w:t>
            </w:r>
          </w:p>
        </w:tc>
        <w:tc>
          <w:tcPr>
            <w:tcW w:w="5620" w:type="dxa"/>
            <w:vAlign w:val="bottom"/>
            <w:tcBorders>
              <w:bottom w:val="single" w:sz="8" w:color="CCEEFF"/>
            </w:tcBorders>
            <w:gridSpan w:val="2"/>
            <w:shd w:val="clear" w:color="auto" w:fill="CCEEFF"/>
          </w:tcPr>
          <w:p>
            <w:pPr>
              <w:jc w:val="right"/>
              <w:ind w:right="1440"/>
              <w:spacing w:after="0"/>
              <w:rPr>
                <w:sz w:val="20"/>
                <w:szCs w:val="20"/>
                <w:color w:val="auto"/>
              </w:rPr>
            </w:pPr>
            <w:r>
              <w:rPr>
                <w:rFonts w:ascii="Arial" w:cs="Arial" w:eastAsia="Arial" w:hAnsi="Arial"/>
                <w:sz w:val="16"/>
                <w:szCs w:val="16"/>
                <w:color w:val="auto"/>
              </w:rPr>
              <w:t>4.25% - 9.25% with maturity dates through 2027</w:t>
            </w: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13,158,334</w:t>
            </w:r>
          </w:p>
        </w:tc>
      </w:tr>
      <w:tr>
        <w:trPr>
          <w:trHeight w:val="244"/>
        </w:trPr>
        <w:tc>
          <w:tcPr>
            <w:tcW w:w="400" w:type="dxa"/>
            <w:vAlign w:val="bottom"/>
          </w:tcPr>
          <w:p>
            <w:pPr>
              <w:spacing w:after="0"/>
              <w:rPr>
                <w:sz w:val="21"/>
                <w:szCs w:val="21"/>
                <w:color w:val="auto"/>
              </w:rPr>
            </w:pPr>
          </w:p>
        </w:tc>
        <w:tc>
          <w:tcPr>
            <w:tcW w:w="4300" w:type="dxa"/>
            <w:vAlign w:val="bottom"/>
          </w:tcPr>
          <w:p>
            <w:pPr>
              <w:ind w:left="220"/>
              <w:spacing w:after="0"/>
              <w:rPr>
                <w:sz w:val="20"/>
                <w:szCs w:val="20"/>
                <w:color w:val="auto"/>
              </w:rPr>
            </w:pPr>
            <w:r>
              <w:rPr>
                <w:rFonts w:ascii="Arial" w:cs="Arial" w:eastAsia="Arial" w:hAnsi="Arial"/>
                <w:sz w:val="16"/>
                <w:szCs w:val="16"/>
                <w:color w:val="auto"/>
              </w:rPr>
              <w:t>Participant Loans Total</w:t>
            </w:r>
          </w:p>
        </w:tc>
        <w:tc>
          <w:tcPr>
            <w:tcW w:w="542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13,158,334</w:t>
            </w:r>
          </w:p>
        </w:tc>
      </w:tr>
      <w:tr>
        <w:trPr>
          <w:trHeight w:val="20"/>
        </w:trPr>
        <w:tc>
          <w:tcPr>
            <w:tcW w:w="4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0"/>
        </w:trPr>
        <w:tc>
          <w:tcPr>
            <w:tcW w:w="400" w:type="dxa"/>
            <w:vAlign w:val="bottom"/>
            <w:tcBorders>
              <w:bottom w:val="single" w:sz="8" w:color="CCEEFF"/>
            </w:tcBorders>
          </w:tcPr>
          <w:p>
            <w:pPr>
              <w:spacing w:after="0"/>
              <w:rPr>
                <w:sz w:val="20"/>
                <w:szCs w:val="20"/>
                <w:color w:val="auto"/>
              </w:rPr>
            </w:pPr>
          </w:p>
        </w:tc>
        <w:tc>
          <w:tcPr>
            <w:tcW w:w="4300" w:type="dxa"/>
            <w:vAlign w:val="bottom"/>
            <w:tcBorders>
              <w:bottom w:val="single" w:sz="8" w:color="CCEEFF"/>
            </w:tcBorders>
          </w:tcPr>
          <w:p>
            <w:pPr>
              <w:spacing w:after="0"/>
              <w:rPr>
                <w:sz w:val="20"/>
                <w:szCs w:val="20"/>
                <w:color w:val="auto"/>
              </w:rPr>
            </w:pPr>
          </w:p>
        </w:tc>
        <w:tc>
          <w:tcPr>
            <w:tcW w:w="54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44"/>
        </w:trPr>
        <w:tc>
          <w:tcPr>
            <w:tcW w:w="400" w:type="dxa"/>
            <w:vAlign w:val="bottom"/>
            <w:shd w:val="clear" w:color="auto" w:fill="CCEEFF"/>
          </w:tcPr>
          <w:p>
            <w:pPr>
              <w:spacing w:after="0"/>
              <w:rPr>
                <w:sz w:val="21"/>
                <w:szCs w:val="21"/>
                <w:color w:val="auto"/>
              </w:rPr>
            </w:pPr>
          </w:p>
        </w:tc>
        <w:tc>
          <w:tcPr>
            <w:tcW w:w="4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Total Investments at Fair Value</w:t>
            </w:r>
          </w:p>
        </w:tc>
        <w:tc>
          <w:tcPr>
            <w:tcW w:w="5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591,386,638</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ind w:left="480" w:hanging="296"/>
        <w:spacing w:after="0"/>
        <w:tabs>
          <w:tab w:leader="none" w:pos="4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Denotes a party-in-interest to the Plan.</w:t>
      </w: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80" w:top="301" w:right="259" w:bottom="1440" w:gutter="0" w:footer="0" w:header="0"/>
        </w:sectPr>
      </w:pPr>
    </w:p>
    <w:bookmarkStart w:id="77" w:name="page78"/>
    <w:bookmarkEnd w:id="77"/>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employees benefit plan) have duly caused this annual report to be signed on its behalf by the undersigned hereunto duly authorized.</w:t>
      </w:r>
    </w:p>
    <w:p>
      <w:pPr>
        <w:spacing w:after="0" w:line="333" w:lineRule="exact"/>
        <w:rPr>
          <w:sz w:val="20"/>
          <w:szCs w:val="20"/>
          <w:color w:val="auto"/>
        </w:rPr>
      </w:pPr>
    </w:p>
    <w:tbl>
      <w:tblPr>
        <w:tblLayout w:type="fixed"/>
        <w:tblInd w:w="166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20" w:type="dxa"/>
            <w:vAlign w:val="bottom"/>
          </w:tcPr>
          <w:p>
            <w:pPr>
              <w:jc w:val="center"/>
              <w:spacing w:after="0"/>
              <w:rPr>
                <w:sz w:val="20"/>
                <w:szCs w:val="20"/>
                <w:color w:val="auto"/>
              </w:rPr>
            </w:pPr>
            <w:r>
              <w:rPr>
                <w:rFonts w:ascii="Arial" w:cs="Arial" w:eastAsia="Arial" w:hAnsi="Arial"/>
                <w:sz w:val="18"/>
                <w:szCs w:val="18"/>
                <w:color w:val="auto"/>
                <w:w w:val="95"/>
              </w:rPr>
              <w:t>WESCO Distribution, Inc.</w:t>
            </w:r>
          </w:p>
        </w:tc>
      </w:tr>
      <w:tr>
        <w:trPr>
          <w:trHeight w:val="270"/>
        </w:trPr>
        <w:tc>
          <w:tcPr>
            <w:tcW w:w="3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620" w:type="dxa"/>
            <w:vAlign w:val="bottom"/>
          </w:tcPr>
          <w:p>
            <w:pPr>
              <w:jc w:val="center"/>
              <w:spacing w:after="0"/>
              <w:rPr>
                <w:sz w:val="20"/>
                <w:szCs w:val="20"/>
                <w:color w:val="auto"/>
              </w:rPr>
            </w:pPr>
            <w:r>
              <w:rPr>
                <w:rFonts w:ascii="Arial" w:cs="Arial" w:eastAsia="Arial" w:hAnsi="Arial"/>
                <w:sz w:val="18"/>
                <w:szCs w:val="18"/>
                <w:color w:val="auto"/>
                <w:w w:val="90"/>
              </w:rPr>
              <w:t>Retirement Saving Plan</w:t>
            </w:r>
          </w:p>
        </w:tc>
      </w:tr>
      <w:tr>
        <w:trPr>
          <w:trHeight w:val="27"/>
        </w:trPr>
        <w:tc>
          <w:tcPr>
            <w:tcW w:w="3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37"/>
        </w:trPr>
        <w:tc>
          <w:tcPr>
            <w:tcW w:w="3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(Name of Plan)</w:t>
            </w:r>
          </w:p>
        </w:tc>
      </w:tr>
      <w:tr>
        <w:trPr>
          <w:trHeight w:val="405"/>
        </w:trPr>
        <w:tc>
          <w:tcPr>
            <w:tcW w:w="3000" w:type="dxa"/>
            <w:vAlign w:val="bottom"/>
          </w:tcPr>
          <w:p>
            <w:pPr>
              <w:jc w:val="center"/>
              <w:spacing w:after="0"/>
              <w:rPr>
                <w:sz w:val="20"/>
                <w:szCs w:val="20"/>
                <w:color w:val="auto"/>
              </w:rPr>
            </w:pPr>
            <w:r>
              <w:rPr>
                <w:rFonts w:ascii="Arial" w:cs="Arial" w:eastAsia="Arial" w:hAnsi="Arial"/>
                <w:sz w:val="18"/>
                <w:szCs w:val="18"/>
                <w:color w:val="auto"/>
                <w:w w:val="87"/>
              </w:rPr>
              <w:t>June 29, 2015</w:t>
            </w:r>
          </w:p>
        </w:tc>
        <w:tc>
          <w:tcPr>
            <w:tcW w:w="500" w:type="dxa"/>
            <w:vAlign w:val="bottom"/>
          </w:tcPr>
          <w:p>
            <w:pPr>
              <w:ind w:left="20"/>
              <w:spacing w:after="0"/>
              <w:rPr>
                <w:sz w:val="20"/>
                <w:szCs w:val="20"/>
                <w:color w:val="auto"/>
              </w:rPr>
            </w:pPr>
            <w:r>
              <w:rPr>
                <w:rFonts w:ascii="Arial" w:cs="Arial" w:eastAsia="Arial" w:hAnsi="Arial"/>
                <w:sz w:val="18"/>
                <w:szCs w:val="18"/>
                <w:color w:val="auto"/>
              </w:rPr>
              <w:t>By:</w:t>
            </w:r>
          </w:p>
        </w:tc>
        <w:tc>
          <w:tcPr>
            <w:tcW w:w="4620" w:type="dxa"/>
            <w:vAlign w:val="bottom"/>
          </w:tcPr>
          <w:p>
            <w:pPr>
              <w:jc w:val="center"/>
              <w:spacing w:after="0"/>
              <w:rPr>
                <w:sz w:val="20"/>
                <w:szCs w:val="20"/>
                <w:color w:val="auto"/>
              </w:rPr>
            </w:pPr>
            <w:r>
              <w:rPr>
                <w:rFonts w:ascii="Arial" w:cs="Arial" w:eastAsia="Arial" w:hAnsi="Arial"/>
                <w:sz w:val="18"/>
                <w:szCs w:val="18"/>
                <w:color w:val="auto"/>
                <w:w w:val="88"/>
              </w:rPr>
              <w:t>/s/ Stephen A. Van Oss</w:t>
            </w:r>
          </w:p>
        </w:tc>
      </w:tr>
      <w:tr>
        <w:trPr>
          <w:trHeight w:val="27"/>
        </w:trPr>
        <w:tc>
          <w:tcPr>
            <w:tcW w:w="30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37"/>
        </w:trPr>
        <w:tc>
          <w:tcPr>
            <w:tcW w:w="3000" w:type="dxa"/>
            <w:vAlign w:val="bottom"/>
          </w:tcPr>
          <w:p>
            <w:pPr>
              <w:jc w:val="center"/>
              <w:spacing w:after="0"/>
              <w:rPr>
                <w:sz w:val="20"/>
                <w:szCs w:val="20"/>
                <w:color w:val="auto"/>
              </w:rPr>
            </w:pPr>
            <w:r>
              <w:rPr>
                <w:rFonts w:ascii="Arial" w:cs="Arial" w:eastAsia="Arial" w:hAnsi="Arial"/>
                <w:sz w:val="18"/>
                <w:szCs w:val="18"/>
                <w:color w:val="auto"/>
                <w:w w:val="91"/>
              </w:rPr>
              <w:t>(Date)</w:t>
            </w:r>
          </w:p>
        </w:tc>
        <w:tc>
          <w:tcPr>
            <w:tcW w:w="500" w:type="dxa"/>
            <w:vAlign w:val="bottom"/>
          </w:tcPr>
          <w:p>
            <w:pPr>
              <w:spacing w:after="0"/>
              <w:rPr>
                <w:sz w:val="20"/>
                <w:szCs w:val="20"/>
                <w:color w:val="auto"/>
              </w:rPr>
            </w:pPr>
          </w:p>
        </w:tc>
        <w:tc>
          <w:tcPr>
            <w:tcW w:w="4620" w:type="dxa"/>
            <w:vAlign w:val="bottom"/>
          </w:tcPr>
          <w:p>
            <w:pPr>
              <w:jc w:val="center"/>
              <w:spacing w:after="0"/>
              <w:rPr>
                <w:sz w:val="20"/>
                <w:szCs w:val="20"/>
                <w:color w:val="auto"/>
              </w:rPr>
            </w:pPr>
            <w:r>
              <w:rPr>
                <w:rFonts w:ascii="Arial" w:cs="Arial" w:eastAsia="Arial" w:hAnsi="Arial"/>
                <w:sz w:val="18"/>
                <w:szCs w:val="18"/>
                <w:color w:val="auto"/>
                <w:w w:val="88"/>
              </w:rPr>
              <w:t>Stephen A. Van Oss</w:t>
            </w:r>
          </w:p>
        </w:tc>
      </w:tr>
      <w:tr>
        <w:trPr>
          <w:trHeight w:val="270"/>
        </w:trPr>
        <w:tc>
          <w:tcPr>
            <w:tcW w:w="3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620" w:type="dxa"/>
            <w:vAlign w:val="bottom"/>
          </w:tcPr>
          <w:p>
            <w:pPr>
              <w:jc w:val="center"/>
              <w:spacing w:after="0"/>
              <w:rPr>
                <w:sz w:val="20"/>
                <w:szCs w:val="20"/>
                <w:color w:val="auto"/>
              </w:rPr>
            </w:pPr>
            <w:r>
              <w:rPr>
                <w:rFonts w:ascii="Arial" w:cs="Arial" w:eastAsia="Arial" w:hAnsi="Arial"/>
                <w:sz w:val="18"/>
                <w:szCs w:val="18"/>
                <w:color w:val="auto"/>
                <w:w w:val="90"/>
              </w:rPr>
              <w:t>Chairman, 401K Retirement Savings Plan</w:t>
            </w:r>
          </w:p>
        </w:tc>
      </w:tr>
      <w:tr>
        <w:trPr>
          <w:trHeight w:val="270"/>
        </w:trPr>
        <w:tc>
          <w:tcPr>
            <w:tcW w:w="3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Administrative and Investment Committee</w:t>
            </w:r>
          </w:p>
        </w:tc>
      </w:tr>
      <w:tr>
        <w:trPr>
          <w:trHeight w:val="918"/>
        </w:trPr>
        <w:tc>
          <w:tcPr>
            <w:tcW w:w="3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20" w:type="dxa"/>
            <w:vAlign w:val="bottom"/>
          </w:tcPr>
          <w:p>
            <w:pPr>
              <w:jc w:val="right"/>
              <w:ind w:right="3890"/>
              <w:spacing w:after="0"/>
              <w:rPr>
                <w:sz w:val="20"/>
                <w:szCs w:val="20"/>
                <w:color w:val="auto"/>
              </w:rPr>
            </w:pPr>
            <w:r>
              <w:rPr>
                <w:rFonts w:ascii="Arial" w:cs="Arial" w:eastAsia="Arial" w:hAnsi="Arial"/>
                <w:sz w:val="18"/>
                <w:szCs w:val="18"/>
                <w:color w:val="auto"/>
              </w:rPr>
              <w:t>48</w:t>
            </w:r>
          </w:p>
        </w:tc>
      </w:tr>
    </w:tbl>
    <w:p>
      <w:pPr>
        <w:sectPr>
          <w:pgSz w:w="11900" w:h="16838" w:orient="portrait"/>
          <w:cols w:equalWidth="0" w:num="1">
            <w:col w:w="11060"/>
          </w:cols>
          <w:pgMar w:left="240" w:top="121" w:right="599" w:bottom="1440" w:gutter="0" w:footer="0" w:header="0"/>
        </w:sectPr>
      </w:pPr>
    </w:p>
    <w:bookmarkStart w:id="78" w:name="page79"/>
    <w:bookmarkEnd w:id="78"/>
    <w:p>
      <w:pPr>
        <w:jc w:val="right"/>
        <w:ind w:right="4079"/>
        <w:spacing w:after="0"/>
        <w:rPr>
          <w:sz w:val="20"/>
          <w:szCs w:val="20"/>
          <w:color w:val="auto"/>
        </w:rPr>
      </w:pPr>
      <w:r>
        <w:rPr>
          <w:rFonts w:ascii="Arial" w:cs="Arial" w:eastAsia="Arial" w:hAnsi="Arial"/>
          <w:sz w:val="18"/>
          <w:szCs w:val="18"/>
          <w:b w:val="1"/>
          <w:bCs w:val="1"/>
          <w:color w:val="auto"/>
        </w:rPr>
        <w:t>EXHIBITS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or incorporated as part of this report:</w:t>
      </w:r>
    </w:p>
    <w:p>
      <w:pPr>
        <w:spacing w:after="0" w:line="200" w:lineRule="exact"/>
        <w:rPr>
          <w:sz w:val="20"/>
          <w:szCs w:val="20"/>
          <w:color w:val="auto"/>
        </w:rPr>
      </w:pPr>
    </w:p>
    <w:p>
      <w:pPr>
        <w:spacing w:after="0" w:line="35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Exhibit</w:t>
      </w:r>
    </w:p>
    <w:p>
      <w:pPr>
        <w:spacing w:after="0" w:line="109" w:lineRule="exact"/>
        <w:rPr>
          <w:sz w:val="20"/>
          <w:szCs w:val="20"/>
          <w:color w:val="auto"/>
        </w:rPr>
      </w:pPr>
    </w:p>
    <w:p>
      <w:pPr>
        <w:ind w:left="120"/>
        <w:spacing w:after="0"/>
        <w:tabs>
          <w:tab w:leader="none" w:pos="940" w:val="left"/>
        </w:tabs>
        <w:rPr>
          <w:sz w:val="20"/>
          <w:szCs w:val="20"/>
          <w:color w:val="auto"/>
        </w:rPr>
      </w:pPr>
      <w:r>
        <w:rPr>
          <w:rFonts w:ascii="Arial" w:cs="Arial" w:eastAsia="Arial" w:hAnsi="Arial"/>
          <w:sz w:val="14"/>
          <w:szCs w:val="14"/>
          <w:color w:val="auto"/>
        </w:rPr>
        <w:t>Number</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03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39"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Consent of BDO USA, LLP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219"/>
          </w:cols>
          <w:pgMar w:left="240" w:top="688" w:right="1440"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hereby consent to the incorporation by reference in the Registration Statement on Form S-8 (No. 333-188979) of WESCO International, Inc. of our report dated June 29, 2015, relating to the financial statements and supplemental schedules of the WESCO Distribution, Inc. Retirement Savings Plan, which appear in this Form 11-K for the year ended December 31, 2014 and the period from December 30, 2013 to December 31,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29, 2015</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1."/>
      <w:numFmt w:val="upperLetter"/>
      <w:start w:val="2"/>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2"/>
    </w:lvl>
    <w:lvl w:ilvl="1">
      <w:lvlJc w:val="left"/>
      <w:lvlText w:val="•"/>
      <w:numFmt w:val="bullet"/>
      <w:start w:val="1"/>
    </w:lvl>
    <w:lvl w:ilvl="2">
      <w:lvlJc w:val="left"/>
      <w:lvlText w:val="%3."/>
      <w:numFmt w:val="decimal"/>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3"/>
    </w:lvl>
  </w:abstractNum>
  <w:abstractNum w:abstractNumId="9">
    <w:nsid w:val="66EF438D"/>
    <w:multiLevelType w:val="hybridMultilevel"/>
    <w:lvl w:ilvl="0">
      <w:lvlJc w:val="left"/>
      <w:lvlText w:val="%1."/>
      <w:numFmt w:val="decimal"/>
      <w:start w:val="4"/>
    </w:lvl>
  </w:abstractNum>
  <w:abstractNum w:abstractNumId="10">
    <w:nsid w:val="140E0F76"/>
    <w:multiLevelType w:val="hybridMultilevel"/>
    <w:lvl w:ilvl="0">
      <w:lvlJc w:val="left"/>
      <w:lvlText w:val="%1."/>
      <w:numFmt w:val="decimal"/>
      <w:start w:val="5"/>
    </w:lvl>
  </w:abstractNum>
  <w:abstractNum w:abstractNumId="11">
    <w:nsid w:val="3352255A"/>
    <w:multiLevelType w:val="hybridMultilevel"/>
    <w:lvl w:ilvl="0">
      <w:lvlJc w:val="left"/>
      <w:lvlText w:val="%1."/>
      <w:numFmt w:val="decimal"/>
      <w:start w:val="6"/>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2020-01-23T20:52:48Z</dcterms:created>
  <dcterms:modified xsi:type="dcterms:W3CDTF">2020-01-23T20:52:48Z</dcterms:modified>
</cp:coreProperties>
</file>