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WESCO International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#95082P105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#95082P105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1,177,138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6,631,620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6,631,620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#95082P105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6,631,620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6,631,620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15.005%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WESCO International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Commerce Court 4 Station Square</w:t>
      </w:r>
    </w:p>
    <w:p>
      <w:pPr>
        <w:ind w:left="1700"/>
        <w:spacing w:after="0" w:line="238" w:lineRule="auto"/>
        <w:rPr>
          <w:sz w:val="20"/>
          <w:szCs w:val="20"/>
          <w:color w:val="auto"/>
        </w:rPr>
      </w:pPr>
      <w:r>
        <w:rPr>
          <w:rFonts w:ascii="Courier New" w:cs="Courier New" w:eastAsia="Courier New" w:hAnsi="Courier New"/>
          <w:sz w:val="18"/>
          <w:szCs w:val="18"/>
          <w:color w:val="auto"/>
        </w:rPr>
        <w:t>Suite 700</w:t>
      </w: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Pittsburgh, PA</w:t>
      </w:r>
      <w:r>
        <w:rPr>
          <w:sz w:val="20"/>
          <w:szCs w:val="20"/>
          <w:color w:val="auto"/>
        </w:rPr>
        <w:tab/>
      </w:r>
      <w:r>
        <w:rPr>
          <w:rFonts w:ascii="Courier New" w:cs="Courier New" w:eastAsia="Courier New" w:hAnsi="Courier New"/>
          <w:sz w:val="16"/>
          <w:szCs w:val="16"/>
          <w:color w:val="auto"/>
        </w:rPr>
        <w:t>15219</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95082P105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6,631,620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15.005%</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1,177,138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6,631,620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WESCO International Incorporated. No one person's interest in the Common Stock</w:t>
      </w:r>
    </w:p>
    <w:p>
      <w:pPr>
        <w:spacing w:after="0" w:line="5"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of WESCO International Incorporated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4,852,368 shares or 10.979% of the Common Stock outstanding of WESCO International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4,852,368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503,113 shares or 1.138% of the Common Stock outstanding of WESCO International Incorporated ("the Company") as a result of acting as investment adviser to various investment companies registered under Section 8 of the Investment Company Act of 1940 (the "SelectCo Funds").</w:t>
      </w:r>
    </w:p>
    <w:p>
      <w:pPr>
        <w:spacing w:after="0" w:line="215" w:lineRule="exact"/>
        <w:rPr>
          <w:sz w:val="20"/>
          <w:szCs w:val="20"/>
          <w:color w:val="auto"/>
        </w:rPr>
      </w:pPr>
    </w:p>
    <w:p>
      <w:pPr>
        <w:ind w:right="41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SelectCo, and the SelectCo Funds each has sole power to dispose of the 503,113 owned by the SelectCo Funds.</w:t>
      </w:r>
    </w:p>
    <w:p>
      <w:pPr>
        <w:spacing w:after="0" w:line="207"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26,078 shares or 0.059% of the outstanding Common Stock of WESCO International Incorporated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26,078 shares and sole power to vote or to direct the voting of 19,578 shares of Common Stock owned by the institutional accounts or funds advised by PGALLC as reported above.</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1,165,039 shares or 2.636% of the outstanding Common Stock of the WESCO International Incorporated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1,165,039 shares and sole power to vote or to direct the voting of 1,072,449 shares of Common Stock owned by the institutional accounts managed by PGATC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Crosby Advisors LLC, 11 Keewaydin Drive, Suite 200,</w:t>
      </w:r>
    </w:p>
    <w:p>
      <w:pPr>
        <w:spacing w:after="0" w:line="238" w:lineRule="auto"/>
        <w:rPr>
          <w:sz w:val="20"/>
          <w:szCs w:val="20"/>
          <w:color w:val="auto"/>
        </w:rPr>
      </w:pPr>
      <w:r>
        <w:rPr>
          <w:rFonts w:ascii="Courier New" w:cs="Courier New" w:eastAsia="Courier New" w:hAnsi="Courier New"/>
          <w:sz w:val="18"/>
          <w:szCs w:val="18"/>
          <w:color w:val="auto"/>
        </w:rPr>
        <w:t>Salem, New Hampshire, 03079, a wholly-owned subsidiary of</w:t>
      </w:r>
    </w:p>
    <w:p>
      <w:pPr>
        <w:spacing w:after="0"/>
        <w:rPr>
          <w:sz w:val="20"/>
          <w:szCs w:val="20"/>
          <w:color w:val="auto"/>
        </w:rPr>
      </w:pPr>
      <w:r>
        <w:rPr>
          <w:rFonts w:ascii="Courier New" w:cs="Courier New" w:eastAsia="Courier New" w:hAnsi="Courier New"/>
          <w:sz w:val="18"/>
          <w:szCs w:val="18"/>
          <w:color w:val="auto"/>
        </w:rPr>
        <w:t>Crosby Company of New Hampshire LLC ("CCNH"), is the</w:t>
      </w:r>
    </w:p>
    <w:p>
      <w:pPr>
        <w:spacing w:after="0" w:line="237" w:lineRule="auto"/>
        <w:rPr>
          <w:sz w:val="20"/>
          <w:szCs w:val="20"/>
          <w:color w:val="auto"/>
        </w:rPr>
      </w:pPr>
      <w:r>
        <w:rPr>
          <w:rFonts w:ascii="Courier New" w:cs="Courier New" w:eastAsia="Courier New" w:hAnsi="Courier New"/>
          <w:sz w:val="18"/>
          <w:szCs w:val="18"/>
          <w:color w:val="auto"/>
        </w:rPr>
        <w:t>beneficial owner of 8,136 shares or 0.018% of the Common</w:t>
      </w:r>
    </w:p>
    <w:p>
      <w:pPr>
        <w:spacing w:after="0" w:line="238" w:lineRule="auto"/>
        <w:rPr>
          <w:sz w:val="20"/>
          <w:szCs w:val="20"/>
          <w:color w:val="auto"/>
        </w:rPr>
      </w:pPr>
      <w:r>
        <w:rPr>
          <w:rFonts w:ascii="Courier New" w:cs="Courier New" w:eastAsia="Courier New" w:hAnsi="Courier New"/>
          <w:sz w:val="18"/>
          <w:szCs w:val="18"/>
          <w:color w:val="auto"/>
        </w:rPr>
        <w:t>Stock outstanding of WESCO International Incorporated ("the</w:t>
      </w:r>
    </w:p>
    <w:p>
      <w:pPr>
        <w:spacing w:after="0"/>
        <w:rPr>
          <w:sz w:val="20"/>
          <w:szCs w:val="20"/>
          <w:color w:val="auto"/>
        </w:rPr>
      </w:pPr>
      <w:r>
        <w:rPr>
          <w:rFonts w:ascii="Courier New" w:cs="Courier New" w:eastAsia="Courier New" w:hAnsi="Courier New"/>
          <w:sz w:val="18"/>
          <w:szCs w:val="18"/>
          <w:color w:val="auto"/>
        </w:rPr>
        <w:t>Company") as a result of providing investment advisory</w:t>
      </w:r>
    </w:p>
    <w:p>
      <w:pPr>
        <w:spacing w:after="0" w:line="237" w:lineRule="auto"/>
        <w:rPr>
          <w:sz w:val="20"/>
          <w:szCs w:val="20"/>
          <w:color w:val="auto"/>
        </w:rPr>
      </w:pPr>
      <w:r>
        <w:rPr>
          <w:rFonts w:ascii="Courier New" w:cs="Courier New" w:eastAsia="Courier New" w:hAnsi="Courier New"/>
          <w:sz w:val="18"/>
          <w:szCs w:val="18"/>
          <w:color w:val="auto"/>
        </w:rPr>
        <w:t>services to individuals, trusts and limited liability entities.</w:t>
      </w:r>
    </w:p>
    <w:p>
      <w:pPr>
        <w:spacing w:after="0"/>
        <w:rPr>
          <w:sz w:val="20"/>
          <w:szCs w:val="20"/>
          <w:color w:val="auto"/>
        </w:rPr>
      </w:pPr>
      <w:r>
        <w:rPr>
          <w:rFonts w:ascii="Courier New" w:cs="Courier New" w:eastAsia="Courier New" w:hAnsi="Courier New"/>
          <w:sz w:val="18"/>
          <w:szCs w:val="18"/>
          <w:color w:val="auto"/>
        </w:rPr>
        <w:t>Members of the family of Edward C. Johnson 3d, Chairman of</w:t>
      </w:r>
    </w:p>
    <w:p>
      <w:pPr>
        <w:spacing w:after="0" w:line="237" w:lineRule="auto"/>
        <w:rPr>
          <w:sz w:val="20"/>
          <w:szCs w:val="20"/>
          <w:color w:val="auto"/>
        </w:rPr>
      </w:pPr>
      <w:r>
        <w:rPr>
          <w:rFonts w:ascii="Courier New" w:cs="Courier New" w:eastAsia="Courier New" w:hAnsi="Courier New"/>
          <w:sz w:val="18"/>
          <w:szCs w:val="18"/>
          <w:color w:val="auto"/>
        </w:rPr>
        <w:t>FMR LLC, directly or indirectly, own CCNH.</w:t>
      </w:r>
    </w:p>
    <w:p>
      <w:pPr>
        <w:spacing w:after="0" w:line="207"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76,886 shares or 0.174%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WESCO International Incorporated at December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8" w:orient="portrait"/>
          <w:cols w:equalWidth="0" w:num="1">
            <w:col w:w="10219"/>
          </w:cols>
          <w:pgMar w:left="240" w:top="339"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2020-01-26T01:08:39Z</dcterms:created>
  <dcterms:modified xsi:type="dcterms:W3CDTF">2020-01-26T01:08:39Z</dcterms:modified>
</cp:coreProperties>
</file>