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Sundaram Easwaran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00" w:type="dxa"/>
            <w:vAlign w:val="bottom"/>
            <w:tcBorders>
              <w:top w:val="single" w:sz="8" w:color="0000EE"/>
            </w:tcBorders>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12/31/2024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26.7945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11,781.9627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12/31/2024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172.69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180.96</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11,954.6527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held by the Reporting Person. Each DER is the economic equivalent of one share of Issuer's common stock and vests on the same schedule as the underlying award.</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0504"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2025-01-03T16:48:24Z</dcterms:created>
  <dcterms:modified xsi:type="dcterms:W3CDTF">2025-01-03T16:48:24Z</dcterms:modified>
</cp:coreProperties>
</file>