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Schulz David 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right="800"/>
        <w:spacing w:after="0" w:line="365" w:lineRule="auto"/>
        <w:rPr>
          <w:sz w:val="20"/>
          <w:szCs w:val="20"/>
          <w:color w:val="auto"/>
        </w:rPr>
      </w:pPr>
      <w:r>
        <w:rPr>
          <w:rFonts w:ascii="Times New Roman" w:cs="Times New Roman" w:eastAsia="Times New Roman" w:hAnsi="Times New Roman"/>
          <w:sz w:val="17"/>
          <w:szCs w:val="17"/>
          <w:color w:val="0000FF"/>
        </w:rPr>
        <w:t>225 WEST STATION SQUARE DRIVE SUITE 700</w:t>
      </w: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PITTSBURGH</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15219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8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WESCO INTERNATIONAL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WCC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4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0" w:type="dxa"/>
            <w:vAlign w:val="bottom"/>
            <w:tcBorders>
              <w:bottom w:val="single" w:sz="8" w:color="808080"/>
            </w:tcBorders>
          </w:tcPr>
          <w:p>
            <w:pPr>
              <w:spacing w:after="0"/>
              <w:rPr>
                <w:sz w:val="15"/>
                <w:szCs w:val="15"/>
                <w:color w:val="auto"/>
              </w:rPr>
            </w:pPr>
          </w:p>
        </w:tc>
        <w:tc>
          <w:tcPr>
            <w:tcW w:w="362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64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vMerge w:val="restart"/>
          </w:tcPr>
          <w:p>
            <w:pPr>
              <w:ind w:left="720"/>
              <w:spacing w:after="0"/>
              <w:rPr>
                <w:sz w:val="20"/>
                <w:szCs w:val="20"/>
                <w:color w:val="auto"/>
              </w:rPr>
            </w:pPr>
            <w:r>
              <w:rPr>
                <w:rFonts w:ascii="Times New Roman" w:cs="Times New Roman" w:eastAsia="Times New Roman" w:hAnsi="Times New Roman"/>
                <w:sz w:val="17"/>
                <w:szCs w:val="17"/>
                <w:color w:val="0000FF"/>
              </w:rPr>
              <w:t>EVP &amp; CFO</w:t>
            </w: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3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09/17/2020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403"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vMerge w:val="continue"/>
          </w:tcPr>
          <w:p>
            <w:pPr>
              <w:spacing w:after="0"/>
              <w:rPr>
                <w:sz w:val="11"/>
                <w:szCs w:val="11"/>
                <w:color w:val="auto"/>
              </w:rPr>
            </w:pP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Series A Preferred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09/17/2020</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tcBorders>
              <w:bottom w:val="single" w:sz="8" w:color="2C2C2C"/>
            </w:tcBorders>
          </w:tcPr>
          <w:p>
            <w:pPr>
              <w:jc w:val="center"/>
              <w:ind w:right="13"/>
              <w:spacing w:after="0"/>
              <w:rPr>
                <w:sz w:val="20"/>
                <w:szCs w:val="20"/>
                <w:color w:val="auto"/>
              </w:rPr>
            </w:pPr>
            <w:r>
              <w:rPr>
                <w:rFonts w:ascii="Times New Roman" w:cs="Times New Roman" w:eastAsia="Times New Roman" w:hAnsi="Times New Roman"/>
                <w:sz w:val="17"/>
                <w:szCs w:val="17"/>
                <w:color w:val="0000FF"/>
              </w:rPr>
              <w:t>1,771</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28.23</w:t>
            </w:r>
          </w:p>
        </w:tc>
        <w:tc>
          <w:tcPr>
            <w:tcW w:w="120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rPr>
              <w:t>1,771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09/17/2020</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1,136.363</w:t>
            </w:r>
          </w:p>
        </w:tc>
        <w:tc>
          <w:tcPr>
            <w:tcW w:w="400" w:type="dxa"/>
            <w:vAlign w:val="bottom"/>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23"/>
                <w:szCs w:val="23"/>
                <w:color w:val="auto"/>
              </w:rPr>
            </w:pPr>
          </w:p>
        </w:tc>
        <w:tc>
          <w:tcPr>
            <w:tcW w:w="600" w:type="dxa"/>
            <w:vAlign w:val="bottom"/>
            <w:gridSpan w:val="3"/>
          </w:tcPr>
          <w:p>
            <w:pPr>
              <w:jc w:val="center"/>
              <w:ind w:righ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0000FF"/>
              </w:rPr>
              <w:t>26,674.363</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4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stock represents a 1/1,000th interest in a share of newly issued fixed-rate reset cumulative perpetual WESCO preferred stock, Series A, $25,000.</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generally not convertible into or exchangeable for any other property or securities of WESCO. However, upon the occurrence of a WESCO change of control involving the issuance of additional shares of WESCO common stock or other WESCO change of control transaction, in each case, approved by holders of WESCO common stock, a holder of these shares will have the right, subject to certain limited exceptions, to convert some or all of these shares on the change of control conversion date into a number of shares of WESCO common stock pursuant to a conversion formula.</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Samantha L. O'Donoghue,</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09/18/2020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6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92539" TargetMode="External"/><Relationship Id="rId14" Type="http://schemas.openxmlformats.org/officeDocument/2006/relationships/hyperlink" Target="http://www.sec.gov/cgi-bin/browse-edgar?action=getcompany&amp;CIK=00009290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2020-09-18T16:26:28Z</dcterms:created>
  <dcterms:modified xsi:type="dcterms:W3CDTF">2020-09-18T16:26:28Z</dcterms:modified>
</cp:coreProperties>
</file>