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88"/>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425450</wp:posOffset>
            </wp:positionH>
            <wp:positionV relativeFrom="page">
              <wp:posOffset>460375</wp:posOffset>
            </wp:positionV>
            <wp:extent cx="66979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7980" cy="5715"/>
                    </a:xfrm>
                    <a:prstGeom prst="rect">
                      <a:avLst/>
                    </a:prstGeom>
                    <a:noFill/>
                  </pic:spPr>
                </pic:pic>
              </a:graphicData>
            </a:graphic>
          </wp:anchor>
        </w:drawing>
        <w:drawing>
          <wp:anchor simplePos="0" relativeHeight="251657728" behindDoc="1" locked="0" layoutInCell="0" allowOverlap="1">
            <wp:simplePos x="0" y="0"/>
            <wp:positionH relativeFrom="page">
              <wp:posOffset>425450</wp:posOffset>
            </wp:positionH>
            <wp:positionV relativeFrom="page">
              <wp:posOffset>477520</wp:posOffset>
            </wp:positionV>
            <wp:extent cx="66979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7980" cy="5715"/>
                    </a:xfrm>
                    <a:prstGeom prst="rect">
                      <a:avLst/>
                    </a:prstGeom>
                    <a:noFill/>
                  </pic:spPr>
                </pic:pic>
              </a:graphicData>
            </a:graphic>
          </wp:anchor>
        </w:drawing>
        <w:t>UNITED STATES</w:t>
      </w:r>
    </w:p>
    <w:p>
      <w:pPr>
        <w:spacing w:after="0" w:line="29" w:lineRule="exact"/>
        <w:rPr>
          <w:sz w:val="24"/>
          <w:szCs w:val="24"/>
          <w:color w:val="auto"/>
        </w:rPr>
      </w:pPr>
    </w:p>
    <w:p>
      <w:pPr>
        <w:ind w:left="4108"/>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8"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3"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8"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68"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72"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2"/>
          <w:szCs w:val="12"/>
          <w:color w:val="auto"/>
        </w:rPr>
        <w:t>Date of Report (Date of earliest event reported): July 31, 2025</w:t>
      </w:r>
    </w:p>
    <w:p>
      <w:pPr>
        <w:spacing w:after="0" w:line="156"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22"/>
          <w:szCs w:val="22"/>
          <w:b w:val="1"/>
          <w:bCs w:val="1"/>
          <w:color w:val="auto"/>
        </w:rPr>
        <w:t>WESCO International, Inc.</w:t>
      </w:r>
    </w:p>
    <w:p>
      <w:pPr>
        <w:spacing w:after="0" w:line="15"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p>
    <w:tbl>
      <w:tblPr>
        <w:tblLayout w:type="fixed"/>
        <w:tblInd w:w="1528" w:type="dxa"/>
        <w:tblCellMar>
          <w:top w:w="0" w:type="dxa"/>
          <w:left w:w="0" w:type="dxa"/>
          <w:bottom w:w="0" w:type="dxa"/>
          <w:right w:w="0" w:type="dxa"/>
        </w:tblCellMar>
      </w:tblPr>
      <w:tr>
        <w:trPr>
          <w:trHeight w:val="159"/>
        </w:trPr>
        <w:tc>
          <w:tcPr>
            <w:tcW w:w="2260" w:type="dxa"/>
            <w:vAlign w:val="bottom"/>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3960" w:type="dxa"/>
            <w:vAlign w:val="bottom"/>
          </w:tcPr>
          <w:p>
            <w:pPr>
              <w:jc w:val="right"/>
              <w:ind w:right="1784"/>
              <w:spacing w:after="0"/>
              <w:rPr>
                <w:sz w:val="20"/>
                <w:szCs w:val="20"/>
                <w:color w:val="auto"/>
              </w:rPr>
            </w:pPr>
            <w:r>
              <w:rPr>
                <w:rFonts w:ascii="Times New Roman" w:cs="Times New Roman" w:eastAsia="Times New Roman" w:hAnsi="Times New Roman"/>
                <w:sz w:val="12"/>
                <w:szCs w:val="12"/>
                <w:b w:val="1"/>
                <w:bCs w:val="1"/>
                <w:color w:val="auto"/>
              </w:rPr>
              <w:t>001-14989</w:t>
            </w:r>
          </w:p>
        </w:tc>
        <w:tc>
          <w:tcPr>
            <w:tcW w:w="1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25-1723342</w:t>
            </w:r>
          </w:p>
        </w:tc>
        <w:tc>
          <w:tcPr>
            <w:tcW w:w="0" w:type="dxa"/>
            <w:vAlign w:val="bottom"/>
          </w:tcPr>
          <w:p>
            <w:pPr>
              <w:spacing w:after="0"/>
              <w:rPr>
                <w:sz w:val="1"/>
                <w:szCs w:val="1"/>
                <w:color w:val="auto"/>
              </w:rPr>
            </w:pPr>
          </w:p>
        </w:tc>
      </w:tr>
      <w:tr>
        <w:trPr>
          <w:trHeight w:val="108"/>
        </w:trPr>
        <w:tc>
          <w:tcPr>
            <w:tcW w:w="2260" w:type="dxa"/>
            <w:vAlign w:val="bottom"/>
          </w:tcPr>
          <w:p>
            <w:pPr>
              <w:jc w:val="center"/>
              <w:ind w:right="506"/>
              <w:spacing w:after="0" w:line="109" w:lineRule="exact"/>
              <w:rPr>
                <w:sz w:val="20"/>
                <w:szCs w:val="20"/>
                <w:color w:val="auto"/>
              </w:rPr>
            </w:pPr>
            <w:r>
              <w:rPr>
                <w:rFonts w:ascii="Times New Roman" w:cs="Times New Roman" w:eastAsia="Times New Roman" w:hAnsi="Times New Roman"/>
                <w:sz w:val="11"/>
                <w:szCs w:val="11"/>
                <w:color w:val="auto"/>
                <w:w w:val="98"/>
              </w:rPr>
              <w:t>(State or other jurisdiction of</w:t>
            </w:r>
          </w:p>
        </w:tc>
        <w:tc>
          <w:tcPr>
            <w:tcW w:w="3960" w:type="dxa"/>
            <w:vAlign w:val="bottom"/>
          </w:tcPr>
          <w:p>
            <w:pPr>
              <w:jc w:val="center"/>
              <w:ind w:right="184"/>
              <w:spacing w:after="0" w:line="109" w:lineRule="exact"/>
              <w:rPr>
                <w:sz w:val="20"/>
                <w:szCs w:val="20"/>
                <w:color w:val="auto"/>
              </w:rPr>
            </w:pPr>
            <w:r>
              <w:rPr>
                <w:rFonts w:ascii="Times New Roman" w:cs="Times New Roman" w:eastAsia="Times New Roman" w:hAnsi="Times New Roman"/>
                <w:sz w:val="11"/>
                <w:szCs w:val="11"/>
                <w:color w:val="auto"/>
                <w:w w:val="98"/>
              </w:rPr>
              <w:t>(Commission File Number)</w:t>
            </w:r>
          </w:p>
        </w:tc>
        <w:tc>
          <w:tcPr>
            <w:tcW w:w="1580" w:type="dxa"/>
            <w:vAlign w:val="bottom"/>
          </w:tcPr>
          <w:p>
            <w:pPr>
              <w:jc w:val="center"/>
              <w:ind w:left="706"/>
              <w:spacing w:after="0" w:line="109" w:lineRule="exact"/>
              <w:rPr>
                <w:sz w:val="20"/>
                <w:szCs w:val="20"/>
                <w:color w:val="auto"/>
              </w:rPr>
            </w:pPr>
            <w:r>
              <w:rPr>
                <w:rFonts w:ascii="Times New Roman" w:cs="Times New Roman" w:eastAsia="Times New Roman" w:hAnsi="Times New Roman"/>
                <w:sz w:val="11"/>
                <w:szCs w:val="11"/>
                <w:color w:val="auto"/>
                <w:w w:val="98"/>
              </w:rPr>
              <w:t>(IRS Employer</w:t>
            </w:r>
          </w:p>
        </w:tc>
        <w:tc>
          <w:tcPr>
            <w:tcW w:w="0" w:type="dxa"/>
            <w:vAlign w:val="bottom"/>
          </w:tcPr>
          <w:p>
            <w:pPr>
              <w:spacing w:after="0"/>
              <w:rPr>
                <w:sz w:val="1"/>
                <w:szCs w:val="1"/>
                <w:color w:val="auto"/>
              </w:rPr>
            </w:pPr>
          </w:p>
        </w:tc>
      </w:tr>
      <w:tr>
        <w:trPr>
          <w:trHeight w:val="140"/>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color w:val="auto"/>
                <w:w w:val="98"/>
              </w:rPr>
              <w:t>incorporation)</w:t>
            </w:r>
          </w:p>
        </w:tc>
        <w:tc>
          <w:tcPr>
            <w:tcW w:w="3960" w:type="dxa"/>
            <w:vAlign w:val="bottom"/>
          </w:tcPr>
          <w:p>
            <w:pPr>
              <w:spacing w:after="0"/>
              <w:rPr>
                <w:sz w:val="12"/>
                <w:szCs w:val="12"/>
                <w:color w:val="auto"/>
              </w:rPr>
            </w:pPr>
          </w:p>
        </w:tc>
        <w:tc>
          <w:tcPr>
            <w:tcW w:w="1580" w:type="dxa"/>
            <w:vAlign w:val="bottom"/>
          </w:tcPr>
          <w:p>
            <w:pPr>
              <w:jc w:val="center"/>
              <w:ind w:left="726"/>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148"/>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b w:val="1"/>
                <w:bCs w:val="1"/>
                <w:color w:val="auto"/>
                <w:w w:val="98"/>
              </w:rPr>
              <w:t>225 West Station Square Drive</w:t>
            </w:r>
          </w:p>
        </w:tc>
        <w:tc>
          <w:tcPr>
            <w:tcW w:w="3960" w:type="dxa"/>
            <w:vAlign w:val="bottom"/>
          </w:tcPr>
          <w:p>
            <w:pPr>
              <w:spacing w:after="0"/>
              <w:rPr>
                <w:sz w:val="12"/>
                <w:szCs w:val="12"/>
                <w:color w:val="auto"/>
              </w:rPr>
            </w:pPr>
          </w:p>
        </w:tc>
        <w:tc>
          <w:tcPr>
            <w:tcW w:w="158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15219</w:t>
            </w:r>
          </w:p>
        </w:tc>
        <w:tc>
          <w:tcPr>
            <w:tcW w:w="0" w:type="dxa"/>
            <w:vAlign w:val="bottom"/>
          </w:tcPr>
          <w:p>
            <w:pPr>
              <w:spacing w:after="0"/>
              <w:rPr>
                <w:sz w:val="1"/>
                <w:szCs w:val="1"/>
                <w:color w:val="auto"/>
              </w:rPr>
            </w:pPr>
          </w:p>
        </w:tc>
      </w:tr>
      <w:tr>
        <w:trPr>
          <w:trHeight w:val="142"/>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b w:val="1"/>
                <w:bCs w:val="1"/>
                <w:color w:val="auto"/>
                <w:w w:val="97"/>
              </w:rPr>
              <w:t>Suite 700</w:t>
            </w:r>
          </w:p>
        </w:tc>
        <w:tc>
          <w:tcPr>
            <w:tcW w:w="39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Pittsburgh, Pennsylvania</w:t>
            </w:r>
          </w:p>
        </w:tc>
        <w:tc>
          <w:tcPr>
            <w:tcW w:w="3960" w:type="dxa"/>
            <w:vAlign w:val="bottom"/>
          </w:tcPr>
          <w:p>
            <w:pPr>
              <w:spacing w:after="0"/>
              <w:rPr>
                <w:sz w:val="12"/>
                <w:szCs w:val="12"/>
                <w:color w:val="auto"/>
              </w:rPr>
            </w:pPr>
          </w:p>
        </w:tc>
        <w:tc>
          <w:tcPr>
            <w:tcW w:w="1580" w:type="dxa"/>
            <w:vAlign w:val="bottom"/>
          </w:tcPr>
          <w:p>
            <w:pPr>
              <w:jc w:val="center"/>
              <w:ind w:left="726"/>
              <w:spacing w:after="0"/>
              <w:rPr>
                <w:sz w:val="20"/>
                <w:szCs w:val="20"/>
                <w:color w:val="auto"/>
              </w:rPr>
            </w:pPr>
            <w:r>
              <w:rPr>
                <w:rFonts w:ascii="Times New Roman" w:cs="Times New Roman" w:eastAsia="Times New Roman" w:hAnsi="Times New Roman"/>
                <w:sz w:val="11"/>
                <w:szCs w:val="11"/>
                <w:color w:val="auto"/>
                <w:w w:val="98"/>
              </w:rPr>
              <w:t>(Zip Code)</w:t>
            </w:r>
          </w:p>
        </w:tc>
        <w:tc>
          <w:tcPr>
            <w:tcW w:w="0" w:type="dxa"/>
            <w:vAlign w:val="bottom"/>
          </w:tcPr>
          <w:p>
            <w:pPr>
              <w:spacing w:after="0"/>
              <w:rPr>
                <w:sz w:val="1"/>
                <w:szCs w:val="1"/>
                <w:color w:val="auto"/>
              </w:rPr>
            </w:pPr>
          </w:p>
        </w:tc>
      </w:tr>
      <w:tr>
        <w:trPr>
          <w:trHeight w:val="144"/>
        </w:trPr>
        <w:tc>
          <w:tcPr>
            <w:tcW w:w="2260" w:type="dxa"/>
            <w:vAlign w:val="bottom"/>
          </w:tcPr>
          <w:p>
            <w:pPr>
              <w:jc w:val="center"/>
              <w:ind w:right="506"/>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3960" w:type="dxa"/>
            <w:vAlign w:val="bottom"/>
          </w:tcPr>
          <w:p>
            <w:pPr>
              <w:jc w:val="right"/>
              <w:ind w:right="1704"/>
              <w:spacing w:after="0"/>
              <w:rPr>
                <w:sz w:val="20"/>
                <w:szCs w:val="20"/>
                <w:color w:val="auto"/>
              </w:rPr>
            </w:pPr>
            <w:r>
              <w:rPr>
                <w:rFonts w:ascii="Times New Roman" w:cs="Times New Roman" w:eastAsia="Times New Roman" w:hAnsi="Times New Roman"/>
                <w:sz w:val="11"/>
                <w:szCs w:val="11"/>
                <w:b w:val="1"/>
                <w:bCs w:val="1"/>
                <w:color w:val="auto"/>
              </w:rPr>
              <w:t>(412) 454-2200</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396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260" w:type="dxa"/>
            <w:vAlign w:val="bottom"/>
          </w:tcPr>
          <w:p>
            <w:pPr>
              <w:spacing w:after="0"/>
              <w:rPr>
                <w:sz w:val="19"/>
                <w:szCs w:val="19"/>
                <w:color w:val="auto"/>
              </w:rPr>
            </w:pPr>
          </w:p>
        </w:tc>
        <w:tc>
          <w:tcPr>
            <w:tcW w:w="3960" w:type="dxa"/>
            <w:vAlign w:val="bottom"/>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396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3"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88" w:type="dxa"/>
        <w:tblCellMar>
          <w:top w:w="0" w:type="dxa"/>
          <w:left w:w="0" w:type="dxa"/>
          <w:bottom w:w="0" w:type="dxa"/>
          <w:right w:w="0" w:type="dxa"/>
        </w:tblCellMar>
      </w:tblPr>
      <w:tr>
        <w:trPr>
          <w:trHeight w:val="144"/>
        </w:trPr>
        <w:tc>
          <w:tcPr>
            <w:tcW w:w="4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Title of Class</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Name of Exchange on which registered</w:t>
            </w:r>
          </w:p>
        </w:tc>
      </w:tr>
      <w:tr>
        <w:trPr>
          <w:trHeight w:val="131"/>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Common Stock, par value $.01 per share</w:t>
            </w:r>
          </w:p>
        </w:tc>
        <w:tc>
          <w:tcPr>
            <w:tcW w:w="120" w:type="dxa"/>
            <w:vAlign w:val="bottom"/>
          </w:tcPr>
          <w:p>
            <w:pPr>
              <w:spacing w:after="0"/>
              <w:rPr>
                <w:sz w:val="11"/>
                <w:szCs w:val="11"/>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WCC</w:t>
            </w:r>
          </w:p>
        </w:tc>
        <w:tc>
          <w:tcPr>
            <w:tcW w:w="120" w:type="dxa"/>
            <w:vAlign w:val="bottom"/>
          </w:tcPr>
          <w:p>
            <w:pPr>
              <w:spacing w:after="0"/>
              <w:rPr>
                <w:sz w:val="11"/>
                <w:szCs w:val="11"/>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New York Stock Exchange</w:t>
            </w:r>
          </w:p>
        </w:tc>
      </w:tr>
    </w:tbl>
    <w:p>
      <w:pPr>
        <w:spacing w:after="0" w:line="200" w:lineRule="exact"/>
        <w:rPr>
          <w:sz w:val="24"/>
          <w:szCs w:val="24"/>
          <w:color w:val="auto"/>
        </w:rPr>
      </w:pPr>
    </w:p>
    <w:p>
      <w:pPr>
        <w:ind w:left="8" w:right="920"/>
        <w:spacing w:after="0" w:line="248"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8"/>
        <w:spacing w:after="0" w:line="138" w:lineRule="exact"/>
        <w:tabs>
          <w:tab w:leader="none" w:pos="250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06" w:lineRule="exact"/>
        <w:rPr>
          <w:sz w:val="24"/>
          <w:szCs w:val="24"/>
          <w:color w:val="auto"/>
        </w:rPr>
      </w:pPr>
    </w:p>
    <w:p>
      <w:pPr>
        <w:ind w:left="8" w:right="700"/>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570865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86360</wp:posOffset>
            </wp:positionV>
            <wp:extent cx="6697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7980" cy="5715"/>
                    </a:xfrm>
                    <a:prstGeom prst="rect">
                      <a:avLst/>
                    </a:prstGeom>
                    <a:noFill/>
                  </pic:spPr>
                </pic:pic>
              </a:graphicData>
            </a:graphic>
          </wp:anchor>
        </w:drawing>
        <w:drawing>
          <wp:anchor simplePos="0" relativeHeight="251657728" behindDoc="1" locked="0" layoutInCell="0" allowOverlap="1">
            <wp:simplePos x="0" y="0"/>
            <wp:positionH relativeFrom="column">
              <wp:posOffset>240030</wp:posOffset>
            </wp:positionH>
            <wp:positionV relativeFrom="paragraph">
              <wp:posOffset>103505</wp:posOffset>
            </wp:positionV>
            <wp:extent cx="6697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7980" cy="5715"/>
                    </a:xfrm>
                    <a:prstGeom prst="rect">
                      <a:avLst/>
                    </a:prstGeom>
                    <a:noFill/>
                  </pic:spPr>
                </pic:pic>
              </a:graphicData>
            </a:graphic>
          </wp:anchor>
        </w:drawing>
      </w:r>
    </w:p>
    <w:p>
      <w:pPr>
        <w:sectPr>
          <w:pgSz w:w="11900" w:h="16838" w:orient="portrait"/>
          <w:cols w:equalWidth="0" w:num="1">
            <w:col w:w="11108"/>
          </w:cols>
          <w:pgMar w:left="292" w:top="983" w:right="4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information in this Item 2.02 is being furnished and shall not be deemed “filed” for the purpose of Section 18 of the Securities Exchange Act of 1934, as amended, or otherwise subject to the liabilities of that section. The information in this Item 2.02 shall not be incorporated by reference into any registration statement or other document pursuant to the Securities Act of 1933, as amended.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July 31, 2025, WESCO International, Inc. (the “Company”) issued a press release announcing its financial results for the second quarter of 2025. A copy of the press release is attached hereto as Exhibit 99.1.</w:t>
      </w:r>
    </w:p>
    <w:p>
      <w:pPr>
        <w:spacing w:after="0" w:line="1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is being furnished and shall not be deemed “filed” for the purpose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 slide presentation to be used by executive management of the Company in connection with its discussions with investors regarding the Company's financial results for the second quarter of 2025 is included in Exhibit 99.2 to this report and is being furnished in accordance with Regulation FD of the Securities and Exchange Commission.</w:t>
      </w:r>
    </w:p>
    <w:p>
      <w:pPr>
        <w:spacing w:after="0" w:line="10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9"/>
        </w:trPr>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No.</w:t>
            </w:r>
          </w:p>
        </w:tc>
        <w:tc>
          <w:tcPr>
            <w:tcW w:w="2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3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33"/>
        </w:trPr>
        <w:tc>
          <w:tcPr>
            <w:tcW w:w="320" w:type="dxa"/>
            <w:vAlign w:val="bottom"/>
            <w:gridSpan w:val="2"/>
          </w:tcPr>
          <w:p>
            <w:pPr>
              <w:spacing w:after="0"/>
              <w:rPr>
                <w:sz w:val="11"/>
                <w:szCs w:val="11"/>
                <w:color w:val="auto"/>
              </w:rPr>
            </w:pPr>
          </w:p>
        </w:tc>
        <w:tc>
          <w:tcPr>
            <w:tcW w:w="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6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Press Release, dated July 31, 2025</w:t>
            </w:r>
          </w:p>
        </w:tc>
        <w:tc>
          <w:tcPr>
            <w:tcW w:w="840" w:type="dxa"/>
            <w:vAlign w:val="bottom"/>
          </w:tcPr>
          <w:p>
            <w:pPr>
              <w:spacing w:after="0"/>
              <w:rPr>
                <w:sz w:val="11"/>
                <w:szCs w:val="11"/>
                <w:color w:val="auto"/>
              </w:rPr>
            </w:pPr>
          </w:p>
        </w:tc>
      </w:tr>
      <w:tr>
        <w:trPr>
          <w:trHeight w:val="133"/>
        </w:trPr>
        <w:tc>
          <w:tcPr>
            <w:tcW w:w="560" w:type="dxa"/>
            <w:vAlign w:val="bottom"/>
            <w:gridSpan w:val="3"/>
          </w:tcPr>
          <w:p>
            <w:pPr>
              <w:ind w:left="320"/>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50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Slide presentation for investors, dated July 31, 2025</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60" w:type="dxa"/>
            <w:vAlign w:val="bottom"/>
            <w:vMerge w:val="restart"/>
          </w:tcPr>
          <w:p>
            <w:pPr>
              <w:jc w:val="right"/>
              <w:ind w:right="900"/>
              <w:spacing w:after="0"/>
              <w:rPr>
                <w:sz w:val="20"/>
                <w:szCs w:val="20"/>
                <w:color w:val="auto"/>
              </w:rPr>
            </w:pPr>
            <w:r>
              <w:rPr>
                <w:rFonts w:ascii="Times New Roman" w:cs="Times New Roman" w:eastAsia="Times New Roman" w:hAnsi="Times New Roman"/>
                <w:sz w:val="12"/>
                <w:szCs w:val="12"/>
                <w:color w:val="auto"/>
              </w:rPr>
              <w:t>104</w:t>
            </w:r>
          </w:p>
        </w:tc>
        <w:tc>
          <w:tcPr>
            <w:tcW w:w="984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72"/>
        </w:trPr>
        <w:tc>
          <w:tcPr>
            <w:tcW w:w="1460" w:type="dxa"/>
            <w:vAlign w:val="bottom"/>
            <w:vMerge w:val="continue"/>
          </w:tcPr>
          <w:p>
            <w:pPr>
              <w:spacing w:after="0"/>
              <w:rPr>
                <w:sz w:val="6"/>
                <w:szCs w:val="6"/>
                <w:color w:val="auto"/>
              </w:rPr>
            </w:pPr>
          </w:p>
        </w:tc>
        <w:tc>
          <w:tcPr>
            <w:tcW w:w="9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9"/>
        </w:trPr>
        <w:tc>
          <w:tcPr>
            <w:tcW w:w="146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WESCO International, Inc.</w:t>
            </w:r>
          </w:p>
        </w:tc>
        <w:tc>
          <w:tcPr>
            <w:tcW w:w="420" w:type="dxa"/>
            <w:vAlign w:val="bottom"/>
          </w:tcPr>
          <w:p>
            <w:pPr>
              <w:spacing w:after="0"/>
              <w:rPr>
                <w:sz w:val="13"/>
                <w:szCs w:val="13"/>
                <w:color w:val="auto"/>
              </w:rPr>
            </w:pPr>
          </w:p>
        </w:tc>
      </w:tr>
      <w:tr>
        <w:trPr>
          <w:trHeight w:val="144"/>
        </w:trPr>
        <w:tc>
          <w:tcPr>
            <w:tcW w:w="2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(Registrant)</w:t>
            </w:r>
          </w:p>
        </w:tc>
        <w:tc>
          <w:tcPr>
            <w:tcW w:w="420" w:type="dxa"/>
            <w:vAlign w:val="bottom"/>
          </w:tcPr>
          <w:p>
            <w:pPr>
              <w:spacing w:after="0"/>
              <w:rPr>
                <w:sz w:val="12"/>
                <w:szCs w:val="12"/>
                <w:color w:val="auto"/>
              </w:rPr>
            </w:pPr>
          </w:p>
        </w:tc>
      </w:tr>
      <w:tr>
        <w:trPr>
          <w:trHeight w:val="232"/>
        </w:trPr>
        <w:tc>
          <w:tcPr>
            <w:tcW w:w="2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July 31, 2025</w:t>
            </w:r>
          </w:p>
        </w:tc>
        <w:tc>
          <w:tcPr>
            <w:tcW w:w="5460" w:type="dxa"/>
            <w:vAlign w:val="bottom"/>
            <w:gridSpan w:val="3"/>
          </w:tcPr>
          <w:p>
            <w:pPr>
              <w:ind w:left="400"/>
              <w:spacing w:after="0"/>
              <w:rPr>
                <w:sz w:val="20"/>
                <w:szCs w:val="20"/>
                <w:color w:val="auto"/>
              </w:rPr>
            </w:pPr>
            <w:r>
              <w:rPr>
                <w:rFonts w:ascii="Times New Roman" w:cs="Times New Roman" w:eastAsia="Times New Roman" w:hAnsi="Times New Roman"/>
                <w:sz w:val="12"/>
                <w:szCs w:val="12"/>
                <w:color w:val="auto"/>
              </w:rPr>
              <w:t>By: /s/ David S. Schulz</w:t>
            </w:r>
          </w:p>
        </w:tc>
        <w:tc>
          <w:tcPr>
            <w:tcW w:w="420" w:type="dxa"/>
            <w:vAlign w:val="bottom"/>
          </w:tcPr>
          <w:p>
            <w:pPr>
              <w:spacing w:after="0"/>
              <w:rPr>
                <w:sz w:val="20"/>
                <w:szCs w:val="20"/>
                <w:color w:val="auto"/>
              </w:rPr>
            </w:pPr>
          </w:p>
        </w:tc>
      </w:tr>
      <w:tr>
        <w:trPr>
          <w:trHeight w:val="140"/>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(Date)</w:t>
            </w:r>
          </w:p>
        </w:tc>
        <w:tc>
          <w:tcPr>
            <w:tcW w:w="580" w:type="dxa"/>
            <w:vAlign w:val="bottom"/>
          </w:tcPr>
          <w:p>
            <w:pPr>
              <w:spacing w:after="0"/>
              <w:rPr>
                <w:sz w:val="12"/>
                <w:szCs w:val="12"/>
                <w:color w:val="auto"/>
              </w:rPr>
            </w:pPr>
          </w:p>
        </w:tc>
        <w:tc>
          <w:tcPr>
            <w:tcW w:w="4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David S. Schulz</w:t>
            </w:r>
          </w:p>
        </w:tc>
        <w:tc>
          <w:tcPr>
            <w:tcW w:w="420" w:type="dxa"/>
            <w:vAlign w:val="bottom"/>
            <w:tcBorders>
              <w:top w:val="single" w:sz="8" w:color="auto"/>
            </w:tcBorders>
          </w:tcPr>
          <w:p>
            <w:pPr>
              <w:spacing w:after="0"/>
              <w:rPr>
                <w:sz w:val="12"/>
                <w:szCs w:val="12"/>
                <w:color w:val="auto"/>
              </w:rPr>
            </w:pPr>
          </w:p>
        </w:tc>
      </w:tr>
      <w:tr>
        <w:trPr>
          <w:trHeight w:val="155"/>
        </w:trPr>
        <w:tc>
          <w:tcPr>
            <w:tcW w:w="2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420" w:type="dxa"/>
            <w:vAlign w:val="bottom"/>
          </w:tcPr>
          <w:p>
            <w:pPr>
              <w:spacing w:after="0"/>
              <w:rPr>
                <w:sz w:val="13"/>
                <w:szCs w:val="13"/>
                <w:color w:val="auto"/>
              </w:rPr>
            </w:pPr>
          </w:p>
        </w:tc>
      </w:tr>
    </w:tbl>
    <w:p>
      <w:pPr>
        <w:sectPr>
          <w:pgSz w:w="11900" w:h="16838" w:orient="portrait"/>
          <w:cols w:equalWidth="0" w:num="1">
            <w:col w:w="9839"/>
          </w:cols>
          <w:pgMar w:left="620" w:top="773" w:right="1440" w:bottom="1440" w:gutter="0" w:footer="0" w:header="0"/>
        </w:sectPr>
      </w:pPr>
    </w:p>
    <w:bookmarkStart w:id="3" w:name="page4"/>
    <w:bookmarkEnd w:id="3"/>
    <w:p>
      <w:pPr>
        <w:ind w:left="2760"/>
        <w:spacing w:after="0"/>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676910</wp:posOffset>
            </wp:positionH>
            <wp:positionV relativeFrom="page">
              <wp:posOffset>374650</wp:posOffset>
            </wp:positionV>
            <wp:extent cx="777240" cy="657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77240" cy="657225"/>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19050</wp:posOffset>
            </wp:positionV>
            <wp:extent cx="53035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3520" cy="5715"/>
                    </a:xfrm>
                    <a:prstGeom prst="rect">
                      <a:avLst/>
                    </a:prstGeom>
                    <a:noFill/>
                  </pic:spPr>
                </pic:pic>
              </a:graphicData>
            </a:graphic>
          </wp:anchor>
        </w:drawing>
      </w:r>
    </w:p>
    <w:p>
      <w:pPr>
        <w:spacing w:after="0" w:line="3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2"/>
          <w:szCs w:val="12"/>
          <w:i w:val="1"/>
          <w:iCs w:val="1"/>
          <w:color w:val="auto"/>
        </w:rPr>
        <w:t>WESCO International, Inc. / 225 West Station Square Drive, Suite 700 / Pittsburgh, PA 15219</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Wesco International Reports Second Quarter 2025 Results</w:t>
      </w:r>
    </w:p>
    <w:p>
      <w:pPr>
        <w:spacing w:after="0" w:line="208" w:lineRule="exact"/>
        <w:rPr>
          <w:sz w:val="20"/>
          <w:szCs w:val="20"/>
          <w:color w:val="auto"/>
        </w:rPr>
      </w:pPr>
    </w:p>
    <w:p>
      <w:pPr>
        <w:ind w:left="260" w:hanging="214"/>
        <w:spacing w:after="0"/>
        <w:tabs>
          <w:tab w:leader="none" w:pos="2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Second quarter reported net sales up 7.7% YOY</w:t>
      </w:r>
    </w:p>
    <w:p>
      <w:pPr>
        <w:spacing w:after="0" w:line="28" w:lineRule="exact"/>
        <w:rPr>
          <w:rFonts w:ascii="Times New Roman" w:cs="Times New Roman" w:eastAsia="Times New Roman" w:hAnsi="Times New Roman"/>
          <w:sz w:val="14"/>
          <w:szCs w:val="14"/>
          <w:i w:val="1"/>
          <w:iCs w:val="1"/>
          <w:color w:val="auto"/>
        </w:rPr>
      </w:pPr>
    </w:p>
    <w:p>
      <w:pPr>
        <w:ind w:left="26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Organic sales up 7.2% YOY and up 6.2% sequentially</w:t>
      </w:r>
    </w:p>
    <w:p>
      <w:pPr>
        <w:spacing w:after="0" w:line="10" w:lineRule="exact"/>
        <w:rPr>
          <w:rFonts w:ascii="Times New Roman" w:cs="Times New Roman" w:eastAsia="Times New Roman" w:hAnsi="Times New Roman"/>
          <w:sz w:val="14"/>
          <w:szCs w:val="14"/>
          <w:i w:val="1"/>
          <w:iCs w:val="1"/>
          <w:color w:val="auto"/>
        </w:rPr>
      </w:pPr>
    </w:p>
    <w:p>
      <w:pPr>
        <w:ind w:left="26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Data center sales eclipsed $1 billion, up ~65% YOY</w:t>
      </w:r>
    </w:p>
    <w:p>
      <w:pPr>
        <w:spacing w:after="0" w:line="10" w:lineRule="exact"/>
        <w:rPr>
          <w:rFonts w:ascii="Times New Roman" w:cs="Times New Roman" w:eastAsia="Times New Roman" w:hAnsi="Times New Roman"/>
          <w:sz w:val="14"/>
          <w:szCs w:val="14"/>
          <w:i w:val="1"/>
          <w:iCs w:val="1"/>
          <w:color w:val="auto"/>
        </w:rPr>
      </w:pPr>
    </w:p>
    <w:p>
      <w:pPr>
        <w:ind w:left="260" w:hanging="214"/>
        <w:spacing w:after="0"/>
        <w:tabs>
          <w:tab w:leader="none" w:pos="2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Second quarter EBITDA margin of 6.7%, up 90 basis points sequentially</w:t>
      </w:r>
    </w:p>
    <w:p>
      <w:pPr>
        <w:spacing w:after="0" w:line="11" w:lineRule="exact"/>
        <w:rPr>
          <w:rFonts w:ascii="Times New Roman" w:cs="Times New Roman" w:eastAsia="Times New Roman" w:hAnsi="Times New Roman"/>
          <w:sz w:val="14"/>
          <w:szCs w:val="14"/>
          <w:i w:val="1"/>
          <w:iCs w:val="1"/>
          <w:color w:val="auto"/>
        </w:rPr>
      </w:pPr>
    </w:p>
    <w:p>
      <w:pPr>
        <w:ind w:left="260" w:hanging="214"/>
        <w:spacing w:after="0"/>
        <w:tabs>
          <w:tab w:leader="none" w:pos="2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Second quarter diluted EPS of $3.83; adjusted diluted EPS of $3.39, up 6% YOY</w:t>
      </w:r>
    </w:p>
    <w:p>
      <w:pPr>
        <w:spacing w:after="0" w:line="17" w:lineRule="exact"/>
        <w:rPr>
          <w:rFonts w:ascii="Times New Roman" w:cs="Times New Roman" w:eastAsia="Times New Roman" w:hAnsi="Times New Roman"/>
          <w:sz w:val="14"/>
          <w:szCs w:val="14"/>
          <w:i w:val="1"/>
          <w:iCs w:val="1"/>
          <w:color w:val="auto"/>
        </w:rPr>
      </w:pPr>
    </w:p>
    <w:p>
      <w:pPr>
        <w:ind w:left="260" w:hanging="214"/>
        <w:spacing w:after="0"/>
        <w:tabs>
          <w:tab w:leader="none" w:pos="2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Backlog up YOY and sequentially across all three business units</w:t>
      </w:r>
    </w:p>
    <w:p>
      <w:pPr>
        <w:spacing w:after="0" w:line="10" w:lineRule="exact"/>
        <w:rPr>
          <w:rFonts w:ascii="Times New Roman" w:cs="Times New Roman" w:eastAsia="Times New Roman" w:hAnsi="Times New Roman"/>
          <w:sz w:val="14"/>
          <w:szCs w:val="14"/>
          <w:i w:val="1"/>
          <w:iCs w:val="1"/>
          <w:color w:val="auto"/>
        </w:rPr>
      </w:pPr>
    </w:p>
    <w:p>
      <w:pPr>
        <w:ind w:left="260" w:hanging="214"/>
        <w:spacing w:after="0"/>
        <w:tabs>
          <w:tab w:leader="none" w:pos="2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Preferred stock redeemed in June, creating substantial net income, EPS and cash flow benefits</w:t>
      </w:r>
    </w:p>
    <w:p>
      <w:pPr>
        <w:spacing w:after="0" w:line="10" w:lineRule="exact"/>
        <w:rPr>
          <w:rFonts w:ascii="Times New Roman" w:cs="Times New Roman" w:eastAsia="Times New Roman" w:hAnsi="Times New Roman"/>
          <w:sz w:val="14"/>
          <w:szCs w:val="14"/>
          <w:i w:val="1"/>
          <w:iCs w:val="1"/>
          <w:color w:val="auto"/>
        </w:rPr>
      </w:pPr>
    </w:p>
    <w:p>
      <w:pPr>
        <w:ind w:left="260" w:hanging="214"/>
        <w:spacing w:after="0"/>
        <w:tabs>
          <w:tab w:leader="none" w:pos="2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Full year 2025 organic sales growth outlook raised; reflects positive sales momentum from the first seven months of the year</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PITTSBURGH, July 31, 2025 /PR Newswire/ </w:t>
      </w:r>
      <w:r>
        <w:rPr>
          <w:rFonts w:ascii="Times New Roman" w:cs="Times New Roman" w:eastAsia="Times New Roman" w:hAnsi="Times New Roman"/>
          <w:sz w:val="12"/>
          <w:szCs w:val="12"/>
          <w:color w:val="auto"/>
        </w:rPr>
        <w:t>-- Wesco International (NYSE: WCC), a leading provider of business-to-business distribution, logistics services and supply chain solutions, announces its results for the second quarter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2025.</w:t>
      </w:r>
    </w:p>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“We continued to build on our positive sales momentum in the first half of 2025 and outperformed the market with our leading portfolio of products, services, and solutions. Sales growth is accelerating, with organic sales up 6% in the first quarter, 7% in the second quarter, and preliminary July sales per workday up approximately 10% year-over-year. The second quarter performance was led by 17% organic growth in CSS and 6% organic growth in EES. Total data center sales eclipsed $1B in the quarter, setting a new mark, and were up 65% versus the prior year. And, on an encouraging note, our Utility business has begun to show signs of improvement as sales to investor-owned utilities returned to growth in the second quarter. Our Wesco opportunity pipeline continues to grow, bid activity levels remain very strong, and backlog is at record levels, increasing both year-over-year and sequentially across all three business segments. Adjusted EBITDA margin was up 90 basis points sequentially as we generated strong operating leverage on higher topline sales and stable gross margin. All in all, we’re off to a good start in the first half of 2025 and we are building on that momentum for the remainder of the year,” said John Engel, Chairman, President, and CEO.</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Mr. Engel added, “As planned, we completed the redemption of our preferred stock in June improving both our cash flow and earnings per share run rates. Following this redemption, we have no significant debt maturities until 2028 and have strong liquidity to execute our capital allocation priorities. As we outlined in our last Investor Day, over 75% of our free cash flow generation is targeted to debt reduction, stock buybacks and acquisitions.”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Mr. Engel concluded, “We are raising our full-year organic sales growth outlook based on our positive momentum through the first seven months of 2025 while maintaining our EPS mid-point. We remain firmly focused on executing our cross-selling initiatives and enterprise-wide margin improvement program while delivering operational improvements enabled by our technology-driven business transformation. As the market leader, the enduring secular trends of AI-driven data centers, increased power generation, electrification, automation, and reshoring underpin my confidence that Wesco will continue to outperform our markets this year.”</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956" w:right="299" w:bottom="1440" w:gutter="0" w:footer="0" w:header="0"/>
        </w:sectPr>
      </w:pPr>
    </w:p>
    <w:bookmarkStart w:id="4" w:name="page5"/>
    <w:bookmarkEnd w:id="4"/>
    <w:tbl>
      <w:tblPr>
        <w:tblLayout w:type="fixed"/>
        <w:tblInd w:w="8"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Financial Highlights</w:t>
            </w:r>
          </w:p>
        </w:tc>
        <w:tc>
          <w:tcPr>
            <w:tcW w:w="1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37"/>
        </w:trPr>
        <w:tc>
          <w:tcPr>
            <w:tcW w:w="3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980" w:type="dxa"/>
            <w:vAlign w:val="bottom"/>
          </w:tcPr>
          <w:p>
            <w:pPr>
              <w:spacing w:after="0"/>
              <w:rPr>
                <w:sz w:val="20"/>
                <w:szCs w:val="20"/>
                <w:color w:val="auto"/>
              </w:rPr>
            </w:pPr>
          </w:p>
        </w:tc>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millions except per share data)</w:t>
            </w:r>
          </w:p>
        </w:tc>
        <w:tc>
          <w:tcPr>
            <w:tcW w:w="164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2025 Reported</w:t>
            </w:r>
          </w:p>
        </w:tc>
        <w:tc>
          <w:tcPr>
            <w:tcW w:w="10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2024 Reported</w:t>
            </w: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vs prior year quarter</w:t>
            </w:r>
          </w:p>
        </w:tc>
        <w:tc>
          <w:tcPr>
            <w:tcW w:w="9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2025 Reported</w:t>
            </w:r>
          </w:p>
        </w:tc>
        <w:tc>
          <w:tcPr>
            <w:tcW w:w="11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2024 Reported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vs prior year</w:t>
            </w:r>
          </w:p>
        </w:tc>
      </w:tr>
      <w:tr>
        <w:trPr>
          <w:trHeight w:val="153"/>
        </w:trPr>
        <w:tc>
          <w:tcPr>
            <w:tcW w:w="3320" w:type="dxa"/>
            <w:vAlign w:val="bottom"/>
            <w:shd w:val="clear" w:color="auto" w:fill="00AA13"/>
          </w:tcPr>
          <w:p>
            <w:pPr>
              <w:spacing w:after="0"/>
              <w:rPr>
                <w:sz w:val="20"/>
                <w:szCs w:val="20"/>
                <w:color w:val="auto"/>
              </w:rPr>
            </w:pPr>
            <w:r>
              <w:rPr>
                <w:rFonts w:ascii="Times New Roman" w:cs="Times New Roman" w:eastAsia="Times New Roman" w:hAnsi="Times New Roman"/>
                <w:sz w:val="12"/>
                <w:szCs w:val="12"/>
                <w:b w:val="1"/>
                <w:bCs w:val="1"/>
                <w:color w:val="FFFFFF"/>
              </w:rPr>
              <w:t>GAAP Results</w:t>
            </w:r>
          </w:p>
        </w:tc>
        <w:tc>
          <w:tcPr>
            <w:tcW w:w="1640" w:type="dxa"/>
            <w:vAlign w:val="bottom"/>
            <w:shd w:val="clear" w:color="auto" w:fill="00AA13"/>
          </w:tcPr>
          <w:p>
            <w:pPr>
              <w:spacing w:after="0"/>
              <w:rPr>
                <w:sz w:val="13"/>
                <w:szCs w:val="13"/>
                <w:color w:val="auto"/>
              </w:rPr>
            </w:pPr>
          </w:p>
        </w:tc>
        <w:tc>
          <w:tcPr>
            <w:tcW w:w="1000" w:type="dxa"/>
            <w:vAlign w:val="bottom"/>
            <w:shd w:val="clear" w:color="auto" w:fill="00AA13"/>
          </w:tcPr>
          <w:p>
            <w:pPr>
              <w:spacing w:after="0"/>
              <w:rPr>
                <w:sz w:val="13"/>
                <w:szCs w:val="13"/>
                <w:color w:val="auto"/>
              </w:rPr>
            </w:pPr>
          </w:p>
        </w:tc>
        <w:tc>
          <w:tcPr>
            <w:tcW w:w="1700" w:type="dxa"/>
            <w:vAlign w:val="bottom"/>
            <w:shd w:val="clear" w:color="auto" w:fill="00AA13"/>
          </w:tcPr>
          <w:p>
            <w:pPr>
              <w:spacing w:after="0"/>
              <w:rPr>
                <w:sz w:val="13"/>
                <w:szCs w:val="13"/>
                <w:color w:val="auto"/>
              </w:rPr>
            </w:pPr>
          </w:p>
        </w:tc>
        <w:tc>
          <w:tcPr>
            <w:tcW w:w="980" w:type="dxa"/>
            <w:vAlign w:val="bottom"/>
            <w:shd w:val="clear" w:color="auto" w:fill="00AA13"/>
          </w:tcPr>
          <w:p>
            <w:pPr>
              <w:spacing w:after="0"/>
              <w:rPr>
                <w:sz w:val="13"/>
                <w:szCs w:val="13"/>
                <w:color w:val="auto"/>
              </w:rPr>
            </w:pPr>
          </w:p>
        </w:tc>
        <w:tc>
          <w:tcPr>
            <w:tcW w:w="1160" w:type="dxa"/>
            <w:vAlign w:val="bottom"/>
            <w:shd w:val="clear" w:color="auto" w:fill="00AA13"/>
          </w:tcPr>
          <w:p>
            <w:pPr>
              <w:spacing w:after="0"/>
              <w:rPr>
                <w:sz w:val="13"/>
                <w:szCs w:val="13"/>
                <w:color w:val="auto"/>
              </w:rPr>
            </w:pPr>
          </w:p>
        </w:tc>
        <w:tc>
          <w:tcPr>
            <w:tcW w:w="1500" w:type="dxa"/>
            <w:vAlign w:val="bottom"/>
            <w:shd w:val="clear" w:color="auto" w:fill="00AA13"/>
          </w:tcPr>
          <w:p>
            <w:pPr>
              <w:spacing w:after="0"/>
              <w:rPr>
                <w:sz w:val="13"/>
                <w:szCs w:val="13"/>
                <w:color w:val="auto"/>
              </w:rPr>
            </w:pPr>
          </w:p>
        </w:tc>
      </w:tr>
      <w:tr>
        <w:trPr>
          <w:trHeight w:val="153"/>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1640" w:type="dxa"/>
            <w:vAlign w:val="bottom"/>
          </w:tcPr>
          <w:p>
            <w:pPr>
              <w:jc w:val="center"/>
              <w:ind w:left="680"/>
              <w:spacing w:after="0"/>
              <w:rPr>
                <w:sz w:val="20"/>
                <w:szCs w:val="20"/>
                <w:color w:val="auto"/>
              </w:rPr>
            </w:pPr>
            <w:r>
              <w:rPr>
                <w:rFonts w:ascii="Times New Roman" w:cs="Times New Roman" w:eastAsia="Times New Roman" w:hAnsi="Times New Roman"/>
                <w:sz w:val="12"/>
                <w:szCs w:val="12"/>
                <w:color w:val="auto"/>
                <w:w w:val="99"/>
              </w:rPr>
              <w:t>$5,899.6</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$5,479.7</w:t>
            </w: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7.7%</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$11,243.3</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$10,829.7</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3.8%</w:t>
            </w:r>
          </w:p>
        </w:tc>
      </w:tr>
      <w:tr>
        <w:trPr>
          <w:trHeight w:val="15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Selling general, and administrative expenses</w:t>
            </w:r>
          </w:p>
        </w:tc>
        <w:tc>
          <w:tcPr>
            <w:tcW w:w="164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2"/>
                <w:szCs w:val="12"/>
                <w:color w:val="auto"/>
              </w:rPr>
              <w:t>$872.2</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$828.4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$1,708.5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$1,657.8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stockholders</w:t>
            </w:r>
          </w:p>
        </w:tc>
        <w:tc>
          <w:tcPr>
            <w:tcW w:w="1640" w:type="dxa"/>
            <w:vAlign w:val="bottom"/>
          </w:tcPr>
          <w:p>
            <w:pPr>
              <w:jc w:val="center"/>
              <w:ind w:left="680"/>
              <w:spacing w:after="0"/>
              <w:rPr>
                <w:sz w:val="20"/>
                <w:szCs w:val="20"/>
                <w:color w:val="auto"/>
              </w:rPr>
            </w:pPr>
            <w:r>
              <w:rPr>
                <w:rFonts w:ascii="Times New Roman" w:cs="Times New Roman" w:eastAsia="Times New Roman" w:hAnsi="Times New Roman"/>
                <w:sz w:val="12"/>
                <w:szCs w:val="12"/>
                <w:color w:val="auto"/>
              </w:rPr>
              <w:t>$189.2</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$217.7</w:t>
            </w: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(13.1)%</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$293.2</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$319.2</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(8.1)%</w:t>
            </w:r>
          </w:p>
        </w:tc>
      </w:tr>
      <w:tr>
        <w:trPr>
          <w:trHeight w:val="15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per diluted share</w:t>
            </w:r>
          </w:p>
        </w:tc>
        <w:tc>
          <w:tcPr>
            <w:tcW w:w="164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2"/>
                <w:szCs w:val="12"/>
                <w:color w:val="auto"/>
                <w:w w:val="96"/>
              </w:rPr>
              <w:t>$3.83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$4.28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(10.5)%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$5.92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$6.22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(4.8)%</w:t>
            </w:r>
          </w:p>
        </w:tc>
      </w:tr>
      <w:tr>
        <w:trPr>
          <w:trHeight w:val="153"/>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cash flow</w:t>
            </w:r>
          </w:p>
        </w:tc>
        <w:tc>
          <w:tcPr>
            <w:tcW w:w="1640" w:type="dxa"/>
            <w:vAlign w:val="bottom"/>
          </w:tcPr>
          <w:p>
            <w:pPr>
              <w:jc w:val="center"/>
              <w:ind w:left="680"/>
              <w:spacing w:after="0"/>
              <w:rPr>
                <w:sz w:val="20"/>
                <w:szCs w:val="20"/>
                <w:color w:val="auto"/>
              </w:rPr>
            </w:pPr>
            <w:r>
              <w:rPr>
                <w:rFonts w:ascii="Times New Roman" w:cs="Times New Roman" w:eastAsia="Times New Roman" w:hAnsi="Times New Roman"/>
                <w:sz w:val="12"/>
                <w:szCs w:val="12"/>
                <w:color w:val="auto"/>
              </w:rPr>
              <w:t>$107.8</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$(223.8)</w:t>
            </w: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148.2%</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$135.8</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$522.5</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(74.0)%</w:t>
            </w:r>
          </w:p>
        </w:tc>
      </w:tr>
      <w:tr>
        <w:trPr>
          <w:trHeight w:val="15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Effective tax rate</w:t>
            </w:r>
          </w:p>
        </w:tc>
        <w:tc>
          <w:tcPr>
            <w:tcW w:w="1640" w:type="dxa"/>
            <w:vAlign w:val="bottom"/>
            <w:shd w:val="clear" w:color="auto" w:fill="CCEEFF"/>
          </w:tcPr>
          <w:p>
            <w:pPr>
              <w:jc w:val="center"/>
              <w:ind w:left="680"/>
              <w:spacing w:after="0"/>
              <w:rPr>
                <w:sz w:val="20"/>
                <w:szCs w:val="20"/>
                <w:color w:val="auto"/>
              </w:rPr>
            </w:pPr>
            <w:r>
              <w:rPr>
                <w:rFonts w:ascii="Times New Roman" w:cs="Times New Roman" w:eastAsia="Times New Roman" w:hAnsi="Times New Roman"/>
                <w:sz w:val="12"/>
                <w:szCs w:val="12"/>
                <w:color w:val="auto"/>
                <w:w w:val="96"/>
              </w:rPr>
              <w:t>26.1%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27.4%</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(130) basis points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25.0%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25.4%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(40) basis points</w:t>
            </w:r>
          </w:p>
        </w:tc>
      </w:tr>
    </w:tbl>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millions except per share data)</w:t>
            </w:r>
          </w:p>
        </w:tc>
        <w:tc>
          <w:tcPr>
            <w:tcW w:w="1440" w:type="dxa"/>
            <w:vAlign w:val="bottom"/>
          </w:tcPr>
          <w:p>
            <w:pPr>
              <w:ind w:left="580"/>
              <w:spacing w:after="0"/>
              <w:rPr>
                <w:sz w:val="20"/>
                <w:szCs w:val="20"/>
                <w:color w:val="auto"/>
              </w:rPr>
            </w:pPr>
            <w:r>
              <w:rPr>
                <w:rFonts w:ascii="Times New Roman" w:cs="Times New Roman" w:eastAsia="Times New Roman" w:hAnsi="Times New Roman"/>
                <w:sz w:val="12"/>
                <w:szCs w:val="12"/>
                <w:b w:val="1"/>
                <w:bCs w:val="1"/>
                <w:color w:val="auto"/>
              </w:rPr>
              <w:t>2025 Adjusted</w:t>
            </w:r>
          </w:p>
        </w:tc>
        <w:tc>
          <w:tcPr>
            <w:tcW w:w="94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2024 Adjusted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vs prior year quarter</w:t>
            </w:r>
          </w:p>
        </w:tc>
        <w:tc>
          <w:tcPr>
            <w:tcW w:w="10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2025 Adjusted</w:t>
            </w:r>
          </w:p>
        </w:tc>
        <w:tc>
          <w:tcPr>
            <w:tcW w:w="112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2024 Adjusted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vs prior year</w:t>
            </w:r>
          </w:p>
        </w:tc>
      </w:tr>
      <w:tr>
        <w:trPr>
          <w:trHeight w:val="153"/>
        </w:trPr>
        <w:tc>
          <w:tcPr>
            <w:tcW w:w="3560" w:type="dxa"/>
            <w:vAlign w:val="bottom"/>
            <w:shd w:val="clear" w:color="auto" w:fill="00AA13"/>
          </w:tcPr>
          <w:p>
            <w:pPr>
              <w:spacing w:after="0"/>
              <w:rPr>
                <w:sz w:val="20"/>
                <w:szCs w:val="20"/>
                <w:color w:val="auto"/>
              </w:rPr>
            </w:pPr>
            <w:r>
              <w:rPr>
                <w:rFonts w:ascii="Times New Roman" w:cs="Times New Roman" w:eastAsia="Times New Roman" w:hAnsi="Times New Roman"/>
                <w:sz w:val="12"/>
                <w:szCs w:val="12"/>
                <w:b w:val="1"/>
                <w:bCs w:val="1"/>
                <w:color w:val="FFFFFF"/>
              </w:rPr>
              <w:t>Non-GAAP Results</w:t>
            </w:r>
          </w:p>
        </w:tc>
        <w:tc>
          <w:tcPr>
            <w:tcW w:w="1440" w:type="dxa"/>
            <w:vAlign w:val="bottom"/>
            <w:shd w:val="clear" w:color="auto" w:fill="00AA13"/>
          </w:tcPr>
          <w:p>
            <w:pPr>
              <w:spacing w:after="0"/>
              <w:rPr>
                <w:sz w:val="13"/>
                <w:szCs w:val="13"/>
                <w:color w:val="auto"/>
              </w:rPr>
            </w:pPr>
          </w:p>
        </w:tc>
        <w:tc>
          <w:tcPr>
            <w:tcW w:w="940" w:type="dxa"/>
            <w:vAlign w:val="bottom"/>
            <w:shd w:val="clear" w:color="auto" w:fill="00AA13"/>
          </w:tcPr>
          <w:p>
            <w:pPr>
              <w:spacing w:after="0"/>
              <w:rPr>
                <w:sz w:val="13"/>
                <w:szCs w:val="13"/>
                <w:color w:val="auto"/>
              </w:rPr>
            </w:pPr>
          </w:p>
        </w:tc>
        <w:tc>
          <w:tcPr>
            <w:tcW w:w="1720" w:type="dxa"/>
            <w:vAlign w:val="bottom"/>
            <w:shd w:val="clear" w:color="auto" w:fill="00AA13"/>
          </w:tcPr>
          <w:p>
            <w:pPr>
              <w:spacing w:after="0"/>
              <w:rPr>
                <w:sz w:val="13"/>
                <w:szCs w:val="13"/>
                <w:color w:val="auto"/>
              </w:rPr>
            </w:pPr>
          </w:p>
        </w:tc>
        <w:tc>
          <w:tcPr>
            <w:tcW w:w="1020" w:type="dxa"/>
            <w:vAlign w:val="bottom"/>
            <w:shd w:val="clear" w:color="auto" w:fill="00AA13"/>
          </w:tcPr>
          <w:p>
            <w:pPr>
              <w:spacing w:after="0"/>
              <w:rPr>
                <w:sz w:val="13"/>
                <w:szCs w:val="13"/>
                <w:color w:val="auto"/>
              </w:rPr>
            </w:pPr>
          </w:p>
        </w:tc>
        <w:tc>
          <w:tcPr>
            <w:tcW w:w="1120" w:type="dxa"/>
            <w:vAlign w:val="bottom"/>
            <w:shd w:val="clear" w:color="auto" w:fill="00AA13"/>
          </w:tcPr>
          <w:p>
            <w:pPr>
              <w:spacing w:after="0"/>
              <w:rPr>
                <w:sz w:val="13"/>
                <w:szCs w:val="13"/>
                <w:color w:val="auto"/>
              </w:rPr>
            </w:pPr>
          </w:p>
        </w:tc>
        <w:tc>
          <w:tcPr>
            <w:tcW w:w="1500" w:type="dxa"/>
            <w:vAlign w:val="bottom"/>
            <w:shd w:val="clear" w:color="auto" w:fill="00AA13"/>
          </w:tcPr>
          <w:p>
            <w:pPr>
              <w:spacing w:after="0"/>
              <w:rPr>
                <w:sz w:val="13"/>
                <w:szCs w:val="13"/>
                <w:color w:val="auto"/>
              </w:rPr>
            </w:pP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Organic sales growth (decline)</w:t>
            </w:r>
          </w:p>
        </w:tc>
        <w:tc>
          <w:tcPr>
            <w:tcW w:w="14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7.2%</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(0.8)%</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6.4%</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w:t>
            </w:r>
          </w:p>
        </w:tc>
      </w:tr>
      <w:tr>
        <w:trPr>
          <w:trHeight w:val="15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144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2"/>
                <w:szCs w:val="12"/>
                <w:color w:val="auto"/>
                <w:w w:val="99"/>
              </w:rPr>
              <w:t>$1,242.7</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$1,198.0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$2,368.3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$2,335.9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margin</w:t>
            </w:r>
          </w:p>
        </w:tc>
        <w:tc>
          <w:tcPr>
            <w:tcW w:w="14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w w:val="96"/>
              </w:rPr>
              <w:t>21.1%</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21.9%</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(80) basis points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21.1%</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21.6%</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(50) basis points</w:t>
            </w:r>
          </w:p>
        </w:tc>
      </w:tr>
      <w:tr>
        <w:trPr>
          <w:trHeight w:val="15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selling, general, and administrative expenses</w:t>
            </w:r>
          </w:p>
        </w:tc>
        <w:tc>
          <w:tcPr>
            <w:tcW w:w="144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2"/>
                <w:szCs w:val="12"/>
                <w:color w:val="auto"/>
              </w:rPr>
              <w:t>$864.1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$803.6</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$1,693.1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$1,614.1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4.9%</w:t>
            </w: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4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$394.2</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$400.1</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$704.9</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$740.5</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(4.8)%</w:t>
            </w:r>
          </w:p>
        </w:tc>
      </w:tr>
      <w:tr>
        <w:trPr>
          <w:trHeight w:val="15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p>
        </w:tc>
        <w:tc>
          <w:tcPr>
            <w:tcW w:w="144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2"/>
                <w:szCs w:val="12"/>
                <w:color w:val="auto"/>
              </w:rPr>
              <w:t>6.7%</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(60) basis points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(50) basis points</w:t>
            </w: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income attributable to common stockholders</w:t>
            </w:r>
          </w:p>
        </w:tc>
        <w:tc>
          <w:tcPr>
            <w:tcW w:w="14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$167.5</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$163.5</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$277.2</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$282.9</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earnings per diluted share</w:t>
            </w:r>
          </w:p>
        </w:tc>
        <w:tc>
          <w:tcPr>
            <w:tcW w:w="144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2"/>
                <w:szCs w:val="12"/>
                <w:color w:val="auto"/>
                <w:w w:val="96"/>
              </w:rPr>
              <w:t>$3.39</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$3.21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$5.60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$5.51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1.6%</w:t>
            </w:r>
          </w:p>
        </w:tc>
      </w:tr>
      <w:tr>
        <w:trPr>
          <w:trHeight w:val="159"/>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14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w w:val="96"/>
              </w:rPr>
              <w:t>$86.5</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$(234.1)</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137.0%</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$95.9</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$497.3</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(80.7)%</w:t>
            </w:r>
          </w:p>
        </w:tc>
      </w:tr>
    </w:tbl>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Net Sales</w:t>
      </w:r>
    </w:p>
    <w:p>
      <w:pPr>
        <w:spacing w:after="0" w:line="73" w:lineRule="exact"/>
        <w:rPr>
          <w:sz w:val="20"/>
          <w:szCs w:val="20"/>
          <w:color w:val="auto"/>
        </w:rPr>
      </w:pPr>
    </w:p>
    <w:p>
      <w:pPr>
        <w:jc w:val="both"/>
        <w:ind w:left="208" w:hanging="208"/>
        <w:spacing w:after="0" w:line="265" w:lineRule="auto"/>
        <w:tabs>
          <w:tab w:leader="none" w:pos="201" w:val="left"/>
        </w:tabs>
        <w:numPr>
          <w:ilvl w:val="0"/>
          <w:numId w:val="3"/>
        </w:numPr>
        <w:rPr>
          <w:rFonts w:ascii="Times New Roman" w:cs="Times New Roman" w:eastAsia="Times New Roman" w:hAnsi="Times New Roman"/>
          <w:sz w:val="11"/>
          <w:szCs w:val="11"/>
          <w:b w:val="1"/>
          <w:bCs w:val="1"/>
          <w:i w:val="1"/>
          <w:iCs w:val="1"/>
          <w:color w:val="auto"/>
        </w:rPr>
      </w:pPr>
      <w:r>
        <w:rPr>
          <w:rFonts w:ascii="Times New Roman" w:cs="Times New Roman" w:eastAsia="Times New Roman" w:hAnsi="Times New Roman"/>
          <w:sz w:val="12"/>
          <w:szCs w:val="12"/>
          <w:color w:val="auto"/>
        </w:rPr>
        <w:t>On an organic basis, which removes the impact of the Ascent, LLC (“Ascent”) acquisition, sales for the second quarter of 2025 grew by 7.2%. The increase in organic sales reflects volume and price growth in the CSS and EES segments, partially offset by a volume decline in the UBS segment. Sequentially, net sales increased 10.4% and organic sales grew by 6.2%. Backlog at the end of the second quarter of 2025 increased by 11% compared to the end of the second quarter of 2024. Sequentially, backlog increased by approximately 5%.</w:t>
      </w:r>
    </w:p>
    <w:p>
      <w:pPr>
        <w:spacing w:after="0" w:line="46" w:lineRule="exact"/>
        <w:rPr>
          <w:rFonts w:ascii="Times New Roman" w:cs="Times New Roman" w:eastAsia="Times New Roman" w:hAnsi="Times New Roman"/>
          <w:sz w:val="11"/>
          <w:szCs w:val="11"/>
          <w:b w:val="1"/>
          <w:bCs w:val="1"/>
          <w:i w:val="1"/>
          <w:iCs w:val="1"/>
          <w:color w:val="auto"/>
        </w:rPr>
      </w:pPr>
    </w:p>
    <w:p>
      <w:pPr>
        <w:ind w:left="208" w:right="20" w:hanging="208"/>
        <w:spacing w:after="0" w:line="279" w:lineRule="auto"/>
        <w:tabs>
          <w:tab w:leader="none" w:pos="20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organic basis, which removes the impact of the Wesco Integrated Supply (“WIS”) divestiture and Ascent acquisition, differences in foreign exchange rates, and the impact from the number of workdays, sales for the first six months of 2025 grew by 6.4%. The increase in organic sales reflects volume and price growth in the CSS and EES segments, partially offset by a volume decline in the UBS segment.</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Gross Profit and Gross Margin</w:t>
      </w:r>
    </w:p>
    <w:p>
      <w:pPr>
        <w:spacing w:after="0" w:line="82" w:lineRule="exact"/>
        <w:rPr>
          <w:sz w:val="20"/>
          <w:szCs w:val="20"/>
          <w:color w:val="auto"/>
        </w:rPr>
      </w:pPr>
    </w:p>
    <w:p>
      <w:pPr>
        <w:ind w:left="208" w:hanging="208"/>
        <w:spacing w:after="0" w:line="279" w:lineRule="auto"/>
        <w:tabs>
          <w:tab w:leader="none" w:pos="201"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The decrease in gross margin for the three and six months ended June 30, 2025 reflects a decrease in all three segments. Lower gross margin was driven by increased project activity and product mix in the EES segment and growth with hyperscale data center customers in the CSS segment, which is inclusive of higher inventory adjustments, partially offset by higher supplier volume rebates. Sequentially, gross margin remained flat.</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Selling, General, and Administrative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rPr>
        <w:t>SG&amp;A</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rPr>
        <w:t>) Expenses</w:t>
      </w:r>
    </w:p>
    <w:p>
      <w:pPr>
        <w:spacing w:after="0" w:line="82" w:lineRule="exact"/>
        <w:rPr>
          <w:sz w:val="20"/>
          <w:szCs w:val="20"/>
          <w:color w:val="auto"/>
        </w:rPr>
      </w:pPr>
    </w:p>
    <w:p>
      <w:pPr>
        <w:jc w:val="both"/>
        <w:ind w:left="208" w:hanging="208"/>
        <w:spacing w:after="0" w:line="260" w:lineRule="auto"/>
        <w:tabs>
          <w:tab w:leader="none" w:pos="201" w:val="left"/>
        </w:tabs>
        <w:numPr>
          <w:ilvl w:val="0"/>
          <w:numId w:val="5"/>
        </w:numPr>
        <w:rPr>
          <w:rFonts w:ascii="Times New Roman" w:cs="Times New Roman" w:eastAsia="Times New Roman" w:hAnsi="Times New Roman"/>
          <w:sz w:val="11"/>
          <w:szCs w:val="11"/>
          <w:b w:val="1"/>
          <w:bCs w:val="1"/>
          <w:i w:val="1"/>
          <w:iCs w:val="1"/>
          <w:color w:val="auto"/>
        </w:rPr>
      </w:pPr>
      <w:r>
        <w:rPr>
          <w:rFonts w:ascii="Times New Roman" w:cs="Times New Roman" w:eastAsia="Times New Roman" w:hAnsi="Times New Roman"/>
          <w:sz w:val="12"/>
          <w:szCs w:val="12"/>
          <w:color w:val="auto"/>
        </w:rPr>
        <w:t>The increase in SG&amp;A expenses for the second quarter of 2025 is driven by higher salaries and benefits, increased costs to operate our facilities, an increase in transportation costs, and higher IT costs, partially offset by a decrease in other income and deductions. SG&amp;A expenses for the second quarter of 2025 include $8.1 million of digital transformation and restructuring costs. SG&amp;A expenses for the second quarter of 2024 include a $17.8 million loss on abandonment of assets and $7.0 million of digital transformation and restructuring costs. Adjusted for these costs, SG&amp;A expenses were 14.6% and 14.7% of net sales for the second quarter of 2025 and 2024, respectively, reflecting operating cost leverage on sales growth.</w:t>
      </w:r>
    </w:p>
    <w:p>
      <w:pPr>
        <w:spacing w:after="0" w:line="3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674" w:right="299" w:bottom="1440" w:gutter="0" w:footer="0" w:header="0"/>
        </w:sectPr>
      </w:pPr>
    </w:p>
    <w:bookmarkStart w:id="5" w:name="page6"/>
    <w:bookmarkEnd w:id="5"/>
    <w:p>
      <w:pPr>
        <w:jc w:val="both"/>
        <w:ind w:left="208" w:hanging="208"/>
        <w:spacing w:after="0" w:line="260" w:lineRule="auto"/>
        <w:tabs>
          <w:tab w:leader="none" w:pos="201" w:val="left"/>
        </w:tabs>
        <w:numPr>
          <w:ilvl w:val="0"/>
          <w:numId w:val="6"/>
        </w:numPr>
        <w:rPr>
          <w:rFonts w:ascii="Times New Roman" w:cs="Times New Roman" w:eastAsia="Times New Roman" w:hAnsi="Times New Roman"/>
          <w:sz w:val="11"/>
          <w:szCs w:val="11"/>
          <w:b w:val="1"/>
          <w:bCs w:val="1"/>
          <w:i w:val="1"/>
          <w:iCs w:val="1"/>
          <w:color w:val="auto"/>
        </w:rPr>
      </w:pPr>
      <w:r>
        <w:rPr>
          <w:rFonts w:ascii="Times New Roman" w:cs="Times New Roman" w:eastAsia="Times New Roman" w:hAnsi="Times New Roman"/>
          <w:sz w:val="12"/>
          <w:szCs w:val="12"/>
          <w:color w:val="auto"/>
        </w:rPr>
        <w:t>The increase in SG&amp;A expenses for the first six months of 2025 is driven by higher salaries and benefits, increased costs to operate our facilities, an increase in transportation costs, and higher IT costs, partially offset by a decrease in other income and deductions. SG&amp;A expenses for the first six months of 2025 include $15.4 million of digital transformation and restructuring costs. SG&amp;A expenses for the first six months of 2024 include $21.1 million of digital transformation and restructuring costs, a $17.8 million loss on abandonment of assets, and $4.8 million of excise taxes on excess pension plan assets. Adjusted for these costs, SG&amp;A expenses were 15.1% and 14.9% of net sales for the first six months of 2025 and 2024, respectively.</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Adjusted EBITDA and Adjusted EBITDA Margin</w:t>
      </w:r>
    </w:p>
    <w:p>
      <w:pPr>
        <w:spacing w:after="0" w:line="82" w:lineRule="exact"/>
        <w:rPr>
          <w:sz w:val="20"/>
          <w:szCs w:val="20"/>
          <w:color w:val="auto"/>
        </w:rPr>
      </w:pPr>
    </w:p>
    <w:p>
      <w:pPr>
        <w:ind w:left="208" w:hanging="208"/>
        <w:spacing w:after="0" w:line="279" w:lineRule="auto"/>
        <w:tabs>
          <w:tab w:leader="none" w:pos="205" w:val="left"/>
        </w:tabs>
        <w:numPr>
          <w:ilvl w:val="0"/>
          <w:numId w:val="7"/>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The decrease in Adjusted EBITDA for the second quarter of 2025 primarily reflects lower gross margin due to large project wins, and a $43.8 million increase in SG&amp;A expenses as described above. Sequentially, Adjusted EBITDA margin increased 90 basis points.</w:t>
      </w:r>
    </w:p>
    <w:p>
      <w:pPr>
        <w:spacing w:after="0" w:line="39" w:lineRule="exact"/>
        <w:rPr>
          <w:rFonts w:ascii="Times New Roman" w:cs="Times New Roman" w:eastAsia="Times New Roman" w:hAnsi="Times New Roman"/>
          <w:sz w:val="12"/>
          <w:szCs w:val="12"/>
          <w:b w:val="1"/>
          <w:bCs w:val="1"/>
          <w:i w:val="1"/>
          <w:iCs w:val="1"/>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decrease in Adjusted EBITDA for the first six months of 2025 primarily reflects lower gross margin due to large project wins, and a $50.7 million increase in SG&amp;A expenses as described above.</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Effective Tax Rate</w:t>
      </w:r>
    </w:p>
    <w:p>
      <w:pPr>
        <w:spacing w:after="0" w:line="82" w:lineRule="exact"/>
        <w:rPr>
          <w:sz w:val="20"/>
          <w:szCs w:val="20"/>
          <w:color w:val="auto"/>
        </w:rPr>
      </w:pPr>
    </w:p>
    <w:p>
      <w:pPr>
        <w:ind w:left="208" w:hanging="208"/>
        <w:spacing w:after="0" w:line="279" w:lineRule="auto"/>
        <w:tabs>
          <w:tab w:leader="none" w:pos="20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lower effective tax rate for the second quarter of 2025 is due to a higher provision for income taxes related to uncertain tax positions in the prior year period. The effective tax rate for the first six months of 2025 remained relatively consistent with the first six months of 2024.</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Adjusted Earnings Per Diluted Share</w:t>
      </w:r>
    </w:p>
    <w:p>
      <w:pPr>
        <w:spacing w:after="0" w:line="82" w:lineRule="exact"/>
        <w:rPr>
          <w:sz w:val="20"/>
          <w:szCs w:val="20"/>
          <w:color w:val="auto"/>
        </w:rPr>
      </w:pPr>
    </w:p>
    <w:p>
      <w:pPr>
        <w:jc w:val="both"/>
        <w:ind w:left="208" w:hanging="208"/>
        <w:spacing w:after="0" w:line="260" w:lineRule="auto"/>
        <w:tabs>
          <w:tab w:leader="none" w:pos="20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increase in adjusted earnings per diluted share in the second quarter of 2025 primarily reflects lower adjusted EBITDA and a $10.5 million decrease in adjusted other income primarily due to fluctuations in the U.S. dollar against certain foreign currencies, in which we recognized a net foreign currency exchange gain of $3.0 million for the second quarter of 2025 compared to a net loss of $3.4 million for the second quarter of 2024. Further, there was a $6.0 million decrease in interest expense primarily due to debt refinancing activities and lower interest rates. There was a positive impact from the reduction in outstanding shares during the second quarter of 2025 as compared to the second quarter of 2024.</w:t>
      </w:r>
    </w:p>
    <w:p>
      <w:pPr>
        <w:spacing w:after="0" w:line="50" w:lineRule="exact"/>
        <w:rPr>
          <w:rFonts w:ascii="Times New Roman" w:cs="Times New Roman" w:eastAsia="Times New Roman" w:hAnsi="Times New Roman"/>
          <w:sz w:val="12"/>
          <w:szCs w:val="12"/>
          <w:color w:val="auto"/>
        </w:rPr>
      </w:pPr>
    </w:p>
    <w:p>
      <w:pPr>
        <w:jc w:val="both"/>
        <w:ind w:left="208" w:hanging="208"/>
        <w:spacing w:after="0" w:line="260" w:lineRule="auto"/>
        <w:tabs>
          <w:tab w:leader="none" w:pos="20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increase in adjusted earnings per diluted share in the first six months of 2025 primarily reflects lower adjusted EBITDA, offset by a $14.0 million decrease in interest expense due to debt refinancing activities and lower interest rates. Further, there was a $26.7 million decrease in adjusted other income primarily due to fluctuations in the U.S. dollar against certain foreign currencies, in which we recognized an immaterial net foreign currency exchange gain for the first six months of 2025 compared to a net loss of $20.7 million for the first six months of 2024. There was a positive impact from the reduction in outstanding shares during the first six months of 2025 as compared to the first six months of 2024.</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Operating Cash Flow</w:t>
      </w:r>
    </w:p>
    <w:p>
      <w:pPr>
        <w:spacing w:after="0" w:line="82" w:lineRule="exact"/>
        <w:rPr>
          <w:sz w:val="20"/>
          <w:szCs w:val="20"/>
          <w:color w:val="auto"/>
        </w:rPr>
      </w:pPr>
    </w:p>
    <w:p>
      <w:pPr>
        <w:jc w:val="both"/>
        <w:ind w:left="208" w:hanging="208"/>
        <w:spacing w:after="0" w:line="257" w:lineRule="auto"/>
        <w:tabs>
          <w:tab w:leader="none" w:pos="205" w:val="left"/>
        </w:tabs>
        <w:numPr>
          <w:ilvl w:val="0"/>
          <w:numId w:val="10"/>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net operating cash inflow in the second quarter of 2025 was primarily driven by net income of $174.8 million and non-cash adjustments to net income totaling $63.6 million, which primarily comprised depreciation and amortization, stock-based compensation expense, and amortization of debt issuance costs and debt discount. The inflow was partially offset by a net outflow of $187.2 million from changes in net working capital consisting of an increase in trade accounts receivable of $242.5 million primarily due to the timing of receipts from customers and an increase in inventories resulting in a use of cash of $175.7 million, partially offset by an increase in accounts payable resulting in a cash inflow of $230.9 million primarily due to the timing of payments to suppliers as well as inventory purchases. Other sources of cash include $39.1 million from an increase in accrued payroll and benefit costs, primarily comprised of an increase in accrued variable compensation, accrued salaries and wages, and accrued sales incentives.</w:t>
      </w:r>
    </w:p>
    <w:p>
      <w:pPr>
        <w:spacing w:after="0" w:line="53" w:lineRule="exact"/>
        <w:rPr>
          <w:rFonts w:ascii="Times New Roman" w:cs="Times New Roman" w:eastAsia="Times New Roman" w:hAnsi="Times New Roman"/>
          <w:sz w:val="12"/>
          <w:szCs w:val="12"/>
          <w:i w:val="1"/>
          <w:iCs w:val="1"/>
          <w:color w:val="auto"/>
        </w:rPr>
      </w:pPr>
    </w:p>
    <w:p>
      <w:pPr>
        <w:jc w:val="both"/>
        <w:ind w:left="208" w:hanging="208"/>
        <w:spacing w:after="0" w:line="257" w:lineRule="auto"/>
        <w:tabs>
          <w:tab w:leader="none" w:pos="205"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operating cash inflow for the first six months of 2025 was primarily driven by net income of $293.1 million and non-cash adjustments to net income totaling $130.0 million, which primarily comprised depreciation and amortization, stock-based compensation expense, and amortization of debt issuance costs and debt discount. The inflow was partially offset by a net outflow of $259.6 million from changes in working capital consisting of an increase in trade accounts receivable of $431.2 million primarily due to the timing of receipts from customers and an increase in inventories resulting in a use of cash of $403.1 million, partially offset by an increase in accounts payable resulting in a cash inflow of $574.7 million. Uses of cash in the first six months of 2025 also included a decrease in accrued payroll and benefit costs of $38.0 million primarily due to the payment of management incentive compensation earned in 2024 and a decrease in accrued sales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633"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u w:val="single" w:color="auto"/>
          <w:color w:val="auto"/>
        </w:rPr>
        <w:t>Webcast and Teleconference Access</w:t>
      </w:r>
    </w:p>
    <w:p>
      <w:pPr>
        <w:spacing w:after="0" w:line="13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Wesco will conduct a webcast and teleconference to discuss the second quarter of 2025 earnings as described in this News Release on Thursday, July 31, 2025, at 10:00 a.m. E.T. The call will be broadcast live over the internet and can be accessed from the Investor Relations page of the Company's website at </w:t>
      </w:r>
      <w:r>
        <w:rPr>
          <w:rFonts w:ascii="Times New Roman" w:cs="Times New Roman" w:eastAsia="Times New Roman" w:hAnsi="Times New Roman"/>
          <w:sz w:val="12"/>
          <w:szCs w:val="12"/>
          <w:u w:val="single" w:color="auto"/>
          <w:color w:val="0000FF"/>
        </w:rPr>
        <w:t>https://investors.wesco.com</w:t>
      </w:r>
      <w:r>
        <w:rPr>
          <w:rFonts w:ascii="Times New Roman" w:cs="Times New Roman" w:eastAsia="Times New Roman" w:hAnsi="Times New Roman"/>
          <w:sz w:val="12"/>
          <w:szCs w:val="12"/>
          <w:color w:val="auto"/>
        </w:rPr>
        <w:t>. The call will be archived on this internet site for seven days.</w:t>
      </w:r>
    </w:p>
    <w:p>
      <w:pPr>
        <w:spacing w:after="0" w:line="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i w:val="1"/>
          <w:iCs w:val="1"/>
          <w:color w:val="auto"/>
        </w:rPr>
        <w:t>Wesco International (NYSE: WCC) builds, connects, powers and protects the world. Headquartered in Pittsburgh, Pennsylvania, Wesco is a FORTUNE 500® company with approximately $22 billion in annual sales in 2024 and a leading provider of business-to-business distribution, logistics services and supply chain solutions. Wesco offers a best-in-class product and services portfolio of Electrical and Electronic Solutions, Communications and Security Solutions, and Utility and Broadband Solutions. The Company employs approximately 20,000 people, partners with the industry’s premier suppliers, and serves thousands of customers around the world. With millions of products, end-to-end supply chain services, and leading digital capabilities, Wesco provides innovative solutions to meet customer needs across commercial and industrial businesses, contractors, educational institutions, government agencies, technology companies, telecommunications providers, and utilities. Wesco operates more than 700 sites, including distribution centers, fulfillment centers, and sales offices in approximately 50 countries, providing a local presence for customers and a global network to serve multi-location businesses and global corporations.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Forward-Looking Statements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i w:val="1"/>
          <w:iCs w:val="1"/>
          <w:color w:val="auto"/>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sustainability and environmental protection; the inability to successfully develop, manage or implement new technology initiatives or business strategies, including with respect to the expansion of e-commerce capabilities and other digital solutions and digitalization initiatives; disruption of information technology systems or operations; natural disasters (including as a result of climate change), health epidemics, pandemics and other outbreaks; supply chain disruptions; geopolitical issues, including the impact of the evolving conflicts in the Middle East and Russia/Ukraine; the impact of sanctions imposed on, or other actions taken by the U.S. or other countries against, Russia or China;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pacing w:after="0" w:line="362" w:lineRule="exact"/>
        <w:rPr>
          <w:sz w:val="20"/>
          <w:szCs w:val="20"/>
          <w:color w:val="auto"/>
        </w:rPr>
      </w:pPr>
    </w:p>
    <w:tbl>
      <w:tblPr>
        <w:tblLayout w:type="fixed"/>
        <w:tblInd w:w="1530" w:type="dxa"/>
        <w:tblCellMar>
          <w:top w:w="0" w:type="dxa"/>
          <w:left w:w="0" w:type="dxa"/>
          <w:bottom w:w="0" w:type="dxa"/>
          <w:right w:w="0" w:type="dxa"/>
        </w:tblCellMar>
      </w:tblPr>
      <w:tr>
        <w:trPr>
          <w:trHeight w:val="162"/>
        </w:trPr>
        <w:tc>
          <w:tcPr>
            <w:tcW w:w="3320" w:type="dxa"/>
            <w:vAlign w:val="bottom"/>
            <w:tcBorders>
              <w:top w:val="single" w:sz="8" w:color="auto"/>
              <w:left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680" w:type="dxa"/>
            <w:vAlign w:val="bottom"/>
            <w:tcBorders>
              <w:top w:val="single" w:sz="8" w:color="auto"/>
              <w:bottom w:val="single" w:sz="8" w:color="auto"/>
              <w:right w:val="single" w:sz="8" w:color="auto"/>
            </w:tcBorders>
            <w:gridSpan w:val="3"/>
          </w:tcPr>
          <w:p>
            <w:pPr>
              <w:jc w:val="center"/>
              <w:ind w:right="3520"/>
              <w:spacing w:after="0"/>
              <w:rPr>
                <w:sz w:val="20"/>
                <w:szCs w:val="20"/>
                <w:color w:val="auto"/>
              </w:rPr>
            </w:pPr>
            <w:r>
              <w:rPr>
                <w:rFonts w:ascii="Times New Roman" w:cs="Times New Roman" w:eastAsia="Times New Roman" w:hAnsi="Times New Roman"/>
                <w:sz w:val="12"/>
                <w:szCs w:val="12"/>
                <w:color w:val="auto"/>
              </w:rPr>
              <w:t>Contact Information</w:t>
            </w:r>
          </w:p>
        </w:tc>
      </w:tr>
      <w:tr>
        <w:trPr>
          <w:trHeight w:val="142"/>
        </w:trPr>
        <w:tc>
          <w:tcPr>
            <w:tcW w:w="3320" w:type="dxa"/>
            <w:vAlign w:val="bottom"/>
            <w:tcBorders>
              <w:left w:val="single" w:sz="8" w:color="auto"/>
              <w:bottom w:val="single" w:sz="8" w:color="auto"/>
            </w:tcBorders>
          </w:tcPr>
          <w:p>
            <w:pPr>
              <w:jc w:val="center"/>
              <w:ind w:left="740"/>
              <w:spacing w:after="0"/>
              <w:rPr>
                <w:sz w:val="20"/>
                <w:szCs w:val="20"/>
                <w:color w:val="auto"/>
              </w:rPr>
            </w:pPr>
            <w:r>
              <w:rPr>
                <w:rFonts w:ascii="Times New Roman" w:cs="Times New Roman" w:eastAsia="Times New Roman" w:hAnsi="Times New Roman"/>
                <w:sz w:val="12"/>
                <w:szCs w:val="12"/>
                <w:color w:val="auto"/>
              </w:rPr>
              <w:t>Investor Relations</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580" w:type="dxa"/>
            <w:vAlign w:val="bottom"/>
            <w:tcBorders>
              <w:bottom w:val="single" w:sz="8" w:color="auto"/>
              <w:right w:val="single" w:sz="8" w:color="auto"/>
            </w:tcBorders>
          </w:tcPr>
          <w:p>
            <w:pPr>
              <w:jc w:val="center"/>
              <w:ind w:right="500"/>
              <w:spacing w:after="0"/>
              <w:rPr>
                <w:sz w:val="20"/>
                <w:szCs w:val="20"/>
                <w:color w:val="auto"/>
              </w:rPr>
            </w:pPr>
            <w:r>
              <w:rPr>
                <w:rFonts w:ascii="Times New Roman" w:cs="Times New Roman" w:eastAsia="Times New Roman" w:hAnsi="Times New Roman"/>
                <w:sz w:val="12"/>
                <w:szCs w:val="12"/>
                <w:color w:val="auto"/>
              </w:rPr>
              <w:t>Corporate Communications</w:t>
            </w:r>
          </w:p>
        </w:tc>
      </w:tr>
      <w:tr>
        <w:trPr>
          <w:trHeight w:val="106"/>
        </w:trPr>
        <w:tc>
          <w:tcPr>
            <w:tcW w:w="3320" w:type="dxa"/>
            <w:vAlign w:val="bottom"/>
            <w:tcBorders>
              <w:left w:val="single" w:sz="8" w:color="auto"/>
            </w:tcBorders>
          </w:tcPr>
          <w:p>
            <w:pPr>
              <w:jc w:val="center"/>
              <w:ind w:left="760"/>
              <w:spacing w:after="0" w:line="106" w:lineRule="exact"/>
              <w:rPr>
                <w:sz w:val="20"/>
                <w:szCs w:val="20"/>
                <w:color w:val="auto"/>
              </w:rPr>
            </w:pPr>
            <w:r>
              <w:rPr>
                <w:rFonts w:ascii="Times New Roman" w:cs="Times New Roman" w:eastAsia="Times New Roman" w:hAnsi="Times New Roman"/>
                <w:sz w:val="12"/>
                <w:szCs w:val="12"/>
                <w:color w:val="auto"/>
              </w:rPr>
              <w:t>Scott Gaffner</w:t>
            </w:r>
          </w:p>
        </w:tc>
        <w:tc>
          <w:tcPr>
            <w:tcW w:w="2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580" w:type="dxa"/>
            <w:vAlign w:val="bottom"/>
            <w:tcBorders>
              <w:right w:val="single" w:sz="8" w:color="auto"/>
            </w:tcBorders>
          </w:tcPr>
          <w:p>
            <w:pPr>
              <w:jc w:val="center"/>
              <w:ind w:right="500"/>
              <w:spacing w:after="0" w:line="106" w:lineRule="exact"/>
              <w:rPr>
                <w:sz w:val="20"/>
                <w:szCs w:val="20"/>
                <w:color w:val="auto"/>
              </w:rPr>
            </w:pPr>
            <w:r>
              <w:rPr>
                <w:rFonts w:ascii="Times New Roman" w:cs="Times New Roman" w:eastAsia="Times New Roman" w:hAnsi="Times New Roman"/>
                <w:sz w:val="12"/>
                <w:szCs w:val="12"/>
                <w:color w:val="auto"/>
              </w:rPr>
              <w:t>Jennifer Sniderman</w:t>
            </w:r>
          </w:p>
        </w:tc>
      </w:tr>
      <w:tr>
        <w:trPr>
          <w:trHeight w:val="117"/>
        </w:trPr>
        <w:tc>
          <w:tcPr>
            <w:tcW w:w="3320" w:type="dxa"/>
            <w:vAlign w:val="bottom"/>
            <w:tcBorders>
              <w:left w:val="single" w:sz="8" w:color="auto"/>
            </w:tcBorders>
          </w:tcPr>
          <w:p>
            <w:pPr>
              <w:jc w:val="center"/>
              <w:ind w:left="760"/>
              <w:spacing w:after="0" w:line="117" w:lineRule="exact"/>
              <w:rPr>
                <w:sz w:val="20"/>
                <w:szCs w:val="20"/>
                <w:color w:val="auto"/>
              </w:rPr>
            </w:pPr>
            <w:r>
              <w:rPr>
                <w:rFonts w:ascii="Times New Roman" w:cs="Times New Roman" w:eastAsia="Times New Roman" w:hAnsi="Times New Roman"/>
                <w:sz w:val="12"/>
                <w:szCs w:val="12"/>
                <w:color w:val="auto"/>
                <w:w w:val="99"/>
              </w:rPr>
              <w:t>Senior Vice President, Investor Relations</w:t>
            </w: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3580" w:type="dxa"/>
            <w:vAlign w:val="bottom"/>
            <w:tcBorders>
              <w:right w:val="single" w:sz="8" w:color="auto"/>
            </w:tcBorders>
          </w:tcPr>
          <w:p>
            <w:pPr>
              <w:jc w:val="center"/>
              <w:ind w:right="500"/>
              <w:spacing w:after="0" w:line="117" w:lineRule="exact"/>
              <w:rPr>
                <w:sz w:val="20"/>
                <w:szCs w:val="20"/>
                <w:color w:val="auto"/>
              </w:rPr>
            </w:pPr>
            <w:r>
              <w:rPr>
                <w:rFonts w:ascii="Times New Roman" w:cs="Times New Roman" w:eastAsia="Times New Roman" w:hAnsi="Times New Roman"/>
                <w:sz w:val="12"/>
                <w:szCs w:val="12"/>
                <w:color w:val="auto"/>
              </w:rPr>
              <w:t>Vice President, Corporate Communications</w:t>
            </w:r>
          </w:p>
        </w:tc>
      </w:tr>
      <w:tr>
        <w:trPr>
          <w:trHeight w:val="158"/>
        </w:trPr>
        <w:tc>
          <w:tcPr>
            <w:tcW w:w="3320" w:type="dxa"/>
            <w:vAlign w:val="bottom"/>
            <w:tcBorders>
              <w:left w:val="single" w:sz="8" w:color="auto"/>
              <w:bottom w:val="single" w:sz="8" w:color="auto"/>
            </w:tcBorders>
          </w:tcPr>
          <w:p>
            <w:pPr>
              <w:jc w:val="center"/>
              <w:ind w:left="760"/>
              <w:spacing w:after="0"/>
              <w:rPr>
                <w:sz w:val="20"/>
                <w:szCs w:val="20"/>
                <w:color w:val="auto"/>
              </w:rPr>
            </w:pPr>
            <w:r>
              <w:rPr>
                <w:rFonts w:ascii="Times New Roman" w:cs="Times New Roman" w:eastAsia="Times New Roman" w:hAnsi="Times New Roman"/>
                <w:sz w:val="12"/>
                <w:szCs w:val="12"/>
                <w:color w:val="auto"/>
                <w:w w:val="99"/>
              </w:rPr>
              <w:t>investorrelations@wescodist.com</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41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9"/>
              </w:rPr>
              <w:t>717-579-6603</w:t>
            </w:r>
          </w:p>
        </w:tc>
      </w:tr>
      <w:tr>
        <w:trPr>
          <w:trHeight w:val="200"/>
        </w:trPr>
        <w:tc>
          <w:tcPr>
            <w:tcW w:w="3320" w:type="dxa"/>
            <w:vAlign w:val="bottom"/>
          </w:tcPr>
          <w:p>
            <w:pPr>
              <w:spacing w:after="0"/>
              <w:rPr>
                <w:sz w:val="17"/>
                <w:szCs w:val="17"/>
                <w:color w:val="auto"/>
              </w:rPr>
            </w:pPr>
          </w:p>
        </w:tc>
        <w:tc>
          <w:tcPr>
            <w:tcW w:w="4940" w:type="dxa"/>
            <w:vAlign w:val="bottom"/>
            <w:gridSpan w:val="4"/>
          </w:tcPr>
          <w:p>
            <w:pPr>
              <w:jc w:val="center"/>
              <w:ind w:right="3260"/>
              <w:spacing w:after="0"/>
              <w:rPr>
                <w:sz w:val="20"/>
                <w:szCs w:val="20"/>
                <w:color w:val="auto"/>
              </w:rPr>
            </w:pPr>
            <w:r>
              <w:rPr>
                <w:rFonts w:ascii="Times New Roman" w:cs="Times New Roman" w:eastAsia="Times New Roman" w:hAnsi="Times New Roman"/>
                <w:sz w:val="12"/>
                <w:szCs w:val="12"/>
                <w:color w:val="0000FF"/>
                <w:w w:val="98"/>
              </w:rPr>
              <w:t>http://www.wesco.com</w:t>
            </w:r>
          </w:p>
        </w:tc>
      </w:tr>
      <w:tr>
        <w:trPr>
          <w:trHeight w:val="565"/>
        </w:trPr>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3580" w:type="dxa"/>
            <w:vAlign w:val="bottom"/>
          </w:tcPr>
          <w:p>
            <w:pPr>
              <w:spacing w:after="0"/>
              <w:rPr>
                <w:sz w:val="24"/>
                <w:szCs w:val="24"/>
                <w:color w:val="auto"/>
              </w:rPr>
            </w:pPr>
          </w:p>
        </w:tc>
      </w:tr>
    </w:tbl>
    <w:p>
      <w:pPr>
        <w:sectPr>
          <w:pgSz w:w="11900" w:h="16838" w:orient="portrait"/>
          <w:cols w:equalWidth="0" w:num="1">
            <w:col w:w="11300"/>
          </w:cols>
          <w:pgMar w:left="300" w:top="678"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INCOME</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34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740" w:type="dxa"/>
            <w:vAlign w:val="bottom"/>
            <w:tcBorders>
              <w:bottom w:val="single" w:sz="8" w:color="CCEEFF"/>
            </w:tcBorders>
          </w:tcPr>
          <w:p>
            <w:pPr>
              <w:spacing w:after="0"/>
              <w:rPr>
                <w:sz w:val="12"/>
                <w:szCs w:val="12"/>
                <w:color w:val="auto"/>
              </w:rPr>
            </w:pPr>
          </w:p>
        </w:tc>
      </w:tr>
      <w:tr>
        <w:trPr>
          <w:trHeight w:val="142"/>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180" w:type="dxa"/>
            <w:vAlign w:val="bottom"/>
            <w:shd w:val="clear" w:color="auto" w:fill="CCEEFF"/>
          </w:tcPr>
          <w:p>
            <w:pPr>
              <w:jc w:val="right"/>
              <w:ind w:right="10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5,899.6</w:t>
            </w: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5,479.7</w:t>
            </w:r>
          </w:p>
        </w:tc>
        <w:tc>
          <w:tcPr>
            <w:tcW w:w="740" w:type="dxa"/>
            <w:vAlign w:val="bottom"/>
            <w:shd w:val="clear" w:color="auto" w:fill="CCEEFF"/>
          </w:tcPr>
          <w:p>
            <w:pPr>
              <w:spacing w:after="0"/>
              <w:rPr>
                <w:sz w:val="12"/>
                <w:szCs w:val="12"/>
                <w:color w:val="auto"/>
              </w:rPr>
            </w:pPr>
          </w:p>
        </w:tc>
      </w:tr>
      <w:tr>
        <w:trPr>
          <w:trHeight w:val="153"/>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Cost of goods sold (excluding depreciation and amortization)</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4,656.9</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78.9 %</w:t>
            </w: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4,281.7</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78.1 %</w:t>
            </w: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872.2</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14.8 %</w:t>
            </w: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15.1 %</w:t>
            </w:r>
          </w:p>
        </w:tc>
      </w:tr>
      <w:tr>
        <w:trPr>
          <w:trHeight w:val="153"/>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8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740" w:type="dxa"/>
            <w:vAlign w:val="bottom"/>
            <w:tcBorders>
              <w:bottom w:val="single" w:sz="8" w:color="CCEEFF"/>
            </w:tcBorders>
          </w:tcPr>
          <w:p>
            <w:pPr>
              <w:spacing w:after="0"/>
              <w:rPr>
                <w:sz w:val="13"/>
                <w:szCs w:val="13"/>
                <w:color w:val="auto"/>
              </w:rPr>
            </w:pPr>
          </w:p>
        </w:tc>
      </w:tr>
      <w:tr>
        <w:trPr>
          <w:trHeight w:val="14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from operations</w:t>
            </w:r>
          </w:p>
        </w:tc>
        <w:tc>
          <w:tcPr>
            <w:tcW w:w="1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5.5 %</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5.9 %</w:t>
            </w:r>
          </w:p>
        </w:tc>
      </w:tr>
      <w:tr>
        <w:trPr>
          <w:trHeight w:val="153"/>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740" w:type="dxa"/>
            <w:vAlign w:val="bottom"/>
          </w:tcPr>
          <w:p>
            <w:pPr>
              <w:spacing w:after="0"/>
              <w:rPr>
                <w:sz w:val="13"/>
                <w:szCs w:val="13"/>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740" w:type="dxa"/>
            <w:vAlign w:val="bottom"/>
            <w:shd w:val="clear" w:color="auto" w:fill="CCEEFF"/>
          </w:tcPr>
          <w:p>
            <w:pPr>
              <w:spacing w:after="0"/>
              <w:rPr>
                <w:sz w:val="13"/>
                <w:szCs w:val="13"/>
                <w:color w:val="auto"/>
              </w:rPr>
            </w:pPr>
          </w:p>
        </w:tc>
      </w:tr>
      <w:tr>
        <w:trPr>
          <w:trHeight w:val="142"/>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236.6</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4.0 %</w:t>
            </w:r>
          </w:p>
        </w:tc>
        <w:tc>
          <w:tcPr>
            <w:tcW w:w="3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320.6</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5.9 %</w:t>
            </w: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87.8</w:t>
            </w:r>
          </w:p>
        </w:tc>
        <w:tc>
          <w:tcPr>
            <w:tcW w:w="740" w:type="dxa"/>
            <w:vAlign w:val="bottom"/>
            <w:shd w:val="clear" w:color="auto" w:fill="CCEEFF"/>
          </w:tcPr>
          <w:p>
            <w:pPr>
              <w:spacing w:after="0"/>
              <w:rPr>
                <w:sz w:val="13"/>
                <w:szCs w:val="13"/>
                <w:color w:val="auto"/>
              </w:rPr>
            </w:pPr>
          </w:p>
        </w:tc>
      </w:tr>
      <w:tr>
        <w:trPr>
          <w:trHeight w:val="142"/>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1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3.0 %</w:t>
            </w:r>
          </w:p>
        </w:tc>
        <w:tc>
          <w:tcPr>
            <w:tcW w:w="3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232.8</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11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740" w:type="dxa"/>
            <w:vAlign w:val="bottom"/>
            <w:shd w:val="clear" w:color="auto" w:fill="CCEEFF"/>
          </w:tcPr>
          <w:p>
            <w:pPr>
              <w:spacing w:after="0"/>
              <w:rPr>
                <w:sz w:val="13"/>
                <w:szCs w:val="13"/>
                <w:color w:val="auto"/>
              </w:rPr>
            </w:pPr>
          </w:p>
        </w:tc>
      </w:tr>
      <w:tr>
        <w:trPr>
          <w:trHeight w:val="142"/>
        </w:trPr>
        <w:tc>
          <w:tcPr>
            <w:tcW w:w="5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attributable to WESCO International, Inc.</w:t>
            </w:r>
          </w:p>
        </w:tc>
        <w:tc>
          <w:tcPr>
            <w:tcW w:w="1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174.5</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3.0 %</w:t>
            </w:r>
          </w:p>
        </w:tc>
        <w:tc>
          <w:tcPr>
            <w:tcW w:w="3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232.1</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Plus: Gain on redemption of Series A Preferred Stock</w:t>
            </w: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r>
      <w:tr>
        <w:trPr>
          <w:trHeight w:val="153"/>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Preferred stock dividends</w:t>
            </w:r>
          </w:p>
        </w:tc>
        <w:tc>
          <w:tcPr>
            <w:tcW w:w="1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740" w:type="dxa"/>
            <w:vAlign w:val="bottom"/>
            <w:tcBorders>
              <w:bottom w:val="single" w:sz="8" w:color="CCEEFF"/>
            </w:tcBorders>
          </w:tcPr>
          <w:p>
            <w:pPr>
              <w:spacing w:after="0"/>
              <w:rPr>
                <w:sz w:val="13"/>
                <w:szCs w:val="13"/>
                <w:color w:val="auto"/>
              </w:rPr>
            </w:pPr>
          </w:p>
        </w:tc>
      </w:tr>
      <w:tr>
        <w:trPr>
          <w:trHeight w:val="15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1180" w:type="dxa"/>
            <w:vAlign w:val="bottom"/>
            <w:tcBorders>
              <w:bottom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3.2 %</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4.0 %</w:t>
            </w:r>
          </w:p>
        </w:tc>
      </w:tr>
      <w:tr>
        <w:trPr>
          <w:trHeight w:val="261"/>
        </w:trPr>
        <w:tc>
          <w:tcPr>
            <w:tcW w:w="5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5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diluted share attributable to common stockholders</w:t>
            </w:r>
          </w:p>
        </w:tc>
        <w:tc>
          <w:tcPr>
            <w:tcW w:w="1180" w:type="dxa"/>
            <w:vAlign w:val="bottom"/>
            <w:shd w:val="clear" w:color="auto" w:fill="CCEEFF"/>
          </w:tcPr>
          <w:p>
            <w:pPr>
              <w:jc w:val="right"/>
              <w:ind w:right="10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740" w:type="dxa"/>
            <w:vAlign w:val="bottom"/>
            <w:shd w:val="clear" w:color="auto" w:fill="CCEEFF"/>
          </w:tcPr>
          <w:p>
            <w:pPr>
              <w:spacing w:after="0"/>
              <w:rPr>
                <w:sz w:val="13"/>
                <w:szCs w:val="13"/>
                <w:color w:val="auto"/>
              </w:rPr>
            </w:pPr>
          </w:p>
        </w:tc>
      </w:tr>
      <w:tr>
        <w:trPr>
          <w:trHeight w:val="124"/>
        </w:trPr>
        <w:tc>
          <w:tcPr>
            <w:tcW w:w="5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Weighted-average common shares outstanding and common share equivalents used in computing earnings</w:t>
            </w: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5"/>
        </w:trPr>
        <w:tc>
          <w:tcPr>
            <w:tcW w:w="52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 diluted common share</w:t>
            </w:r>
          </w:p>
        </w:tc>
        <w:tc>
          <w:tcPr>
            <w:tcW w:w="1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740" w:type="dxa"/>
            <w:vAlign w:val="bottom"/>
          </w:tcPr>
          <w:p>
            <w:pPr>
              <w:spacing w:after="0"/>
              <w:rPr>
                <w:sz w:val="13"/>
                <w:szCs w:val="13"/>
                <w:color w:val="auto"/>
              </w:rPr>
            </w:pPr>
          </w:p>
        </w:tc>
      </w:tr>
      <w:tr>
        <w:trPr>
          <w:trHeight w:val="495"/>
        </w:trPr>
        <w:tc>
          <w:tcPr>
            <w:tcW w:w="524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5</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060"/>
          </w:cols>
          <w:pgMar w:left="920" w:top="722" w:right="9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INCOME</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36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740" w:type="dxa"/>
            <w:vAlign w:val="bottom"/>
            <w:tcBorders>
              <w:bottom w:val="single" w:sz="8" w:color="CCEEFF"/>
            </w:tcBorders>
          </w:tcPr>
          <w:p>
            <w:pPr>
              <w:spacing w:after="0"/>
              <w:rPr>
                <w:sz w:val="12"/>
                <w:szCs w:val="12"/>
                <w:color w:val="auto"/>
              </w:rPr>
            </w:pPr>
          </w:p>
        </w:tc>
      </w:tr>
      <w:tr>
        <w:trPr>
          <w:trHeight w:val="14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11,243.3</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10,829.7</w:t>
            </w:r>
          </w:p>
        </w:tc>
        <w:tc>
          <w:tcPr>
            <w:tcW w:w="740" w:type="dxa"/>
            <w:vAlign w:val="bottom"/>
            <w:shd w:val="clear" w:color="auto" w:fill="CCEEFF"/>
          </w:tcPr>
          <w:p>
            <w:pPr>
              <w:spacing w:after="0"/>
              <w:rPr>
                <w:sz w:val="12"/>
                <w:szCs w:val="12"/>
                <w:color w:val="auto"/>
              </w:rPr>
            </w:pPr>
          </w:p>
        </w:tc>
      </w:tr>
      <w:tr>
        <w:trPr>
          <w:trHeight w:val="153"/>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Cost of goods sold (excluding depreciation and amortization)</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8,875.0</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78.9 %</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8,493.8</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78.4 %</w:t>
            </w:r>
          </w:p>
        </w:tc>
      </w:tr>
      <w:tr>
        <w:trPr>
          <w:trHeight w:val="15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1,708.5</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15.2 %</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15.3 %</w:t>
            </w:r>
          </w:p>
        </w:tc>
      </w:tr>
      <w:tr>
        <w:trPr>
          <w:trHeight w:val="15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91.6</w:t>
            </w:r>
          </w:p>
        </w:tc>
        <w:tc>
          <w:tcPr>
            <w:tcW w:w="740" w:type="dxa"/>
            <w:vAlign w:val="bottom"/>
            <w:tcBorders>
              <w:bottom w:val="single" w:sz="8" w:color="CCEEFF"/>
            </w:tcBorders>
          </w:tcPr>
          <w:p>
            <w:pPr>
              <w:spacing w:after="0"/>
              <w:rPr>
                <w:sz w:val="13"/>
                <w:szCs w:val="13"/>
                <w:color w:val="auto"/>
              </w:rPr>
            </w:pPr>
          </w:p>
        </w:tc>
      </w:tr>
      <w:tr>
        <w:trPr>
          <w:trHeight w:val="142"/>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from operations</w:t>
            </w:r>
          </w:p>
        </w:tc>
        <w:tc>
          <w:tcPr>
            <w:tcW w:w="1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563.1</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5.0 %</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5.4 %</w:t>
            </w:r>
          </w:p>
        </w:tc>
      </w:tr>
      <w:tr>
        <w:trPr>
          <w:trHeight w:val="153"/>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179.2</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193.2</w:t>
            </w:r>
          </w:p>
        </w:tc>
        <w:tc>
          <w:tcPr>
            <w:tcW w:w="740" w:type="dxa"/>
            <w:vAlign w:val="bottom"/>
          </w:tcPr>
          <w:p>
            <w:pPr>
              <w:spacing w:after="0"/>
              <w:rPr>
                <w:sz w:val="13"/>
                <w:szCs w:val="13"/>
                <w:color w:val="auto"/>
              </w:rPr>
            </w:pPr>
          </w:p>
        </w:tc>
      </w:tr>
      <w:tr>
        <w:trPr>
          <w:trHeight w:val="15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c>
          <w:tcPr>
            <w:tcW w:w="740" w:type="dxa"/>
            <w:vAlign w:val="bottom"/>
            <w:shd w:val="clear" w:color="auto" w:fill="CCEEFF"/>
          </w:tcPr>
          <w:p>
            <w:pPr>
              <w:spacing w:after="0"/>
              <w:rPr>
                <w:sz w:val="13"/>
                <w:szCs w:val="13"/>
                <w:color w:val="auto"/>
              </w:rPr>
            </w:pPr>
          </w:p>
        </w:tc>
      </w:tr>
      <w:tr>
        <w:trPr>
          <w:trHeight w:val="142"/>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391.0</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3.5 %</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467.6</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4.3 %</w:t>
            </w:r>
          </w:p>
        </w:tc>
      </w:tr>
      <w:tr>
        <w:trPr>
          <w:trHeight w:val="15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1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8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w:t>
            </w:r>
          </w:p>
        </w:tc>
        <w:tc>
          <w:tcPr>
            <w:tcW w:w="740" w:type="dxa"/>
            <w:vAlign w:val="bottom"/>
            <w:shd w:val="clear" w:color="auto" w:fill="CCEEFF"/>
          </w:tcPr>
          <w:p>
            <w:pPr>
              <w:spacing w:after="0"/>
              <w:rPr>
                <w:sz w:val="13"/>
                <w:szCs w:val="13"/>
                <w:color w:val="auto"/>
              </w:rPr>
            </w:pPr>
          </w:p>
        </w:tc>
      </w:tr>
      <w:tr>
        <w:trPr>
          <w:trHeight w:val="142"/>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1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293.1</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2.6 %</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5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income attributable to noncontrolling interests</w:t>
            </w:r>
          </w:p>
        </w:tc>
        <w:tc>
          <w:tcPr>
            <w:tcW w:w="11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740" w:type="dxa"/>
            <w:vAlign w:val="bottom"/>
            <w:shd w:val="clear" w:color="auto" w:fill="CCEEFF"/>
          </w:tcPr>
          <w:p>
            <w:pPr>
              <w:spacing w:after="0"/>
              <w:rPr>
                <w:sz w:val="13"/>
                <w:szCs w:val="13"/>
                <w:color w:val="auto"/>
              </w:rPr>
            </w:pPr>
          </w:p>
        </w:tc>
      </w:tr>
      <w:tr>
        <w:trPr>
          <w:trHeight w:val="142"/>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attributable to WESCO International, Inc.</w:t>
            </w:r>
          </w:p>
        </w:tc>
        <w:tc>
          <w:tcPr>
            <w:tcW w:w="1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2.6 %</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347.9</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r>
      <w:tr>
        <w:trPr>
          <w:trHeight w:val="15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Plus: Gain on redemption of Series A Preferred Stock</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r>
      <w:tr>
        <w:trPr>
          <w:trHeight w:val="15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Preferred stock dividends</w:t>
            </w:r>
          </w:p>
        </w:tc>
        <w:tc>
          <w:tcPr>
            <w:tcW w:w="1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740" w:type="dxa"/>
            <w:vAlign w:val="bottom"/>
            <w:tcBorders>
              <w:bottom w:val="single" w:sz="8" w:color="CCEEFF"/>
            </w:tcBorders>
          </w:tcPr>
          <w:p>
            <w:pPr>
              <w:spacing w:after="0"/>
              <w:rPr>
                <w:sz w:val="13"/>
                <w:szCs w:val="13"/>
                <w:color w:val="auto"/>
              </w:rPr>
            </w:pPr>
          </w:p>
        </w:tc>
      </w:tr>
      <w:tr>
        <w:trPr>
          <w:trHeight w:val="158"/>
        </w:trPr>
        <w:tc>
          <w:tcPr>
            <w:tcW w:w="5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293.2</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2.6 %</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2.9 %</w:t>
            </w:r>
          </w:p>
        </w:tc>
      </w:tr>
      <w:tr>
        <w:trPr>
          <w:trHeight w:val="261"/>
        </w:trPr>
        <w:tc>
          <w:tcPr>
            <w:tcW w:w="5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5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diluted share attributable to common stockholders</w:t>
            </w: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740" w:type="dxa"/>
            <w:vAlign w:val="bottom"/>
            <w:shd w:val="clear" w:color="auto" w:fill="CCEEFF"/>
          </w:tcPr>
          <w:p>
            <w:pPr>
              <w:spacing w:after="0"/>
              <w:rPr>
                <w:sz w:val="13"/>
                <w:szCs w:val="13"/>
                <w:color w:val="auto"/>
              </w:rPr>
            </w:pPr>
          </w:p>
        </w:tc>
      </w:tr>
      <w:tr>
        <w:trPr>
          <w:trHeight w:val="124"/>
        </w:trPr>
        <w:tc>
          <w:tcPr>
            <w:tcW w:w="52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Weighted-average common shares outstanding and common share equivalents used in computing earnings</w:t>
            </w:r>
          </w:p>
        </w:tc>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5"/>
        </w:trPr>
        <w:tc>
          <w:tcPr>
            <w:tcW w:w="5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 diluted common share</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w:t>
            </w:r>
          </w:p>
        </w:tc>
        <w:tc>
          <w:tcPr>
            <w:tcW w:w="740" w:type="dxa"/>
            <w:vAlign w:val="bottom"/>
          </w:tcPr>
          <w:p>
            <w:pPr>
              <w:spacing w:after="0"/>
              <w:rPr>
                <w:sz w:val="13"/>
                <w:szCs w:val="13"/>
                <w:color w:val="auto"/>
              </w:rPr>
            </w:pPr>
          </w:p>
        </w:tc>
      </w:tr>
      <w:tr>
        <w:trPr>
          <w:trHeight w:val="774"/>
        </w:trPr>
        <w:tc>
          <w:tcPr>
            <w:tcW w:w="5220" w:type="dxa"/>
            <w:vAlign w:val="bottom"/>
          </w:tcPr>
          <w:p>
            <w:pPr>
              <w:ind w:left="5000"/>
              <w:spacing w:after="0"/>
              <w:rPr>
                <w:sz w:val="20"/>
                <w:szCs w:val="20"/>
                <w:color w:val="auto"/>
              </w:rPr>
            </w:pPr>
            <w:r>
              <w:rPr>
                <w:rFonts w:ascii="Times New Roman" w:cs="Times New Roman" w:eastAsia="Times New Roman" w:hAnsi="Times New Roman"/>
                <w:sz w:val="12"/>
                <w:szCs w:val="12"/>
                <w:color w:val="auto"/>
              </w:rPr>
              <w:t>6</w:t>
            </w: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060"/>
          </w:cols>
          <w:pgMar w:left="920" w:top="560" w:right="9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ectPr>
          <w:pgSz w:w="11900" w:h="16838" w:orient="portrait"/>
          <w:cols w:equalWidth="0" w:num="1">
            <w:col w:w="9080"/>
          </w:cols>
          <w:pgMar w:left="1400" w:top="56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Current Assets</w:t>
      </w:r>
    </w:p>
    <w:p>
      <w:pPr>
        <w:spacing w:after="0" w:line="21"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2"/>
          <w:szCs w:val="12"/>
          <w:color w:val="auto"/>
        </w:rPr>
        <w:t>Cash and cash equivalents Trade accounts receivable, net Inventories</w:t>
      </w:r>
    </w:p>
    <w:p>
      <w:pPr>
        <w:ind w:left="20"/>
        <w:spacing w:after="0"/>
        <w:rPr>
          <w:sz w:val="20"/>
          <w:szCs w:val="20"/>
          <w:color w:val="auto"/>
        </w:rPr>
      </w:pPr>
      <w:r>
        <w:rPr>
          <w:rFonts w:ascii="Times New Roman" w:cs="Times New Roman" w:eastAsia="Times New Roman" w:hAnsi="Times New Roman"/>
          <w:sz w:val="12"/>
          <w:szCs w:val="12"/>
          <w:color w:val="auto"/>
        </w:rPr>
        <w:t>Other current assets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Total current assets</w:t>
      </w:r>
    </w:p>
    <w:p>
      <w:pPr>
        <w:spacing w:after="0" w:line="195"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2"/>
          <w:szCs w:val="12"/>
          <w:color w:val="auto"/>
        </w:rPr>
        <w:t>Goodwill and intangible assets Other assets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5"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2"/>
          <w:szCs w:val="12"/>
          <w:color w:val="auto"/>
        </w:rPr>
        <w:t>(dollar amounts in millions)</w:t>
      </w:r>
    </w:p>
    <w:p>
      <w:pPr>
        <w:spacing w:after="0" w:line="6" w:lineRule="exact"/>
        <w:rPr>
          <w:sz w:val="20"/>
          <w:szCs w:val="20"/>
          <w:color w:val="auto"/>
        </w:rPr>
      </w:pPr>
    </w:p>
    <w:p>
      <w:pPr>
        <w:jc w:val="center"/>
        <w:ind w:right="2120"/>
        <w:spacing w:after="0"/>
        <w:rPr>
          <w:sz w:val="20"/>
          <w:szCs w:val="20"/>
          <w:color w:val="auto"/>
        </w:rPr>
      </w:pPr>
      <w:r>
        <w:rPr>
          <w:rFonts w:ascii="Times New Roman" w:cs="Times New Roman" w:eastAsia="Times New Roman" w:hAnsi="Times New Roman"/>
          <w:sz w:val="12"/>
          <w:szCs w:val="12"/>
          <w:color w:val="auto"/>
        </w:rPr>
        <w:t>(Unaudited)</w:t>
      </w:r>
    </w:p>
    <w:p>
      <w:pPr>
        <w:spacing w:after="0" w:line="18" w:lineRule="exact"/>
        <w:rPr>
          <w:sz w:val="20"/>
          <w:szCs w:val="20"/>
          <w:color w:val="auto"/>
        </w:rPr>
      </w:pPr>
    </w:p>
    <w:tbl>
      <w:tblPr>
        <w:tblLayout w:type="fixed"/>
        <w:tblInd w:w="760" w:type="dxa"/>
        <w:tblCellMar>
          <w:top w:w="0" w:type="dxa"/>
          <w:left w:w="0" w:type="dxa"/>
          <w:bottom w:w="0" w:type="dxa"/>
          <w:right w:w="0" w:type="dxa"/>
        </w:tblCellMar>
      </w:tblPr>
      <w:tr>
        <w:trPr>
          <w:trHeight w:val="159"/>
        </w:trPr>
        <w:tc>
          <w:tcPr>
            <w:tcW w:w="3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tcPr>
          <w:p>
            <w:pPr>
              <w:ind w:left="220"/>
              <w:spacing w:after="0" w:line="109" w:lineRule="exact"/>
              <w:rPr>
                <w:sz w:val="20"/>
                <w:szCs w:val="20"/>
                <w:color w:val="auto"/>
              </w:rPr>
            </w:pPr>
            <w:r>
              <w:rPr>
                <w:rFonts w:ascii="Times New Roman" w:cs="Times New Roman" w:eastAsia="Times New Roman" w:hAnsi="Times New Roman"/>
                <w:sz w:val="12"/>
                <w:szCs w:val="12"/>
                <w:b w:val="1"/>
                <w:bCs w:val="1"/>
                <w:color w:val="auto"/>
              </w:rPr>
              <w:t>June 30,</w:t>
            </w:r>
          </w:p>
        </w:tc>
        <w:tc>
          <w:tcPr>
            <w:tcW w:w="220" w:type="dxa"/>
            <w:vAlign w:val="bottom"/>
          </w:tcPr>
          <w:p>
            <w:pPr>
              <w:spacing w:after="0"/>
              <w:rPr>
                <w:sz w:val="9"/>
                <w:szCs w:val="9"/>
                <w:color w:val="auto"/>
              </w:rPr>
            </w:pPr>
          </w:p>
        </w:tc>
        <w:tc>
          <w:tcPr>
            <w:tcW w:w="1220" w:type="dxa"/>
            <w:vAlign w:val="bottom"/>
          </w:tcPr>
          <w:p>
            <w:pPr>
              <w:jc w:val="right"/>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3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33"/>
        </w:trPr>
        <w:tc>
          <w:tcPr>
            <w:tcW w:w="3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3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667.0</w:t>
            </w:r>
          </w:p>
        </w:tc>
        <w:tc>
          <w:tcPr>
            <w:tcW w:w="100" w:type="dxa"/>
            <w:vAlign w:val="bottom"/>
          </w:tcPr>
          <w:p>
            <w:pPr>
              <w:spacing w:after="0"/>
              <w:rPr>
                <w:sz w:val="24"/>
                <w:szCs w:val="2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702.6</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3,454.4</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3,501.7</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662.6</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692.7</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9,243.6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8,351.4</w:t>
            </w:r>
          </w:p>
        </w:tc>
        <w:tc>
          <w:tcPr>
            <w:tcW w:w="0" w:type="dxa"/>
            <w:vAlign w:val="bottom"/>
          </w:tcPr>
          <w:p>
            <w:pPr>
              <w:spacing w:after="0"/>
              <w:rPr>
                <w:sz w:val="1"/>
                <w:szCs w:val="1"/>
                <w:color w:val="auto"/>
              </w:rPr>
            </w:pPr>
          </w:p>
        </w:tc>
      </w:tr>
      <w:tr>
        <w:trPr>
          <w:trHeight w:val="329"/>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5,116.0</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1,792.1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1,594.0</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15,061.4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-925195</wp:posOffset>
            </wp:positionV>
            <wp:extent cx="576072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9715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-730885</wp:posOffset>
            </wp:positionV>
            <wp:extent cx="576072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9715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-536575</wp:posOffset>
            </wp:positionV>
            <wp:extent cx="57607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10287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-319405</wp:posOffset>
            </wp:positionV>
            <wp:extent cx="576072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0720" cy="9715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-125095</wp:posOffset>
            </wp:positionV>
            <wp:extent cx="576072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114300"/>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102870</wp:posOffset>
            </wp:positionV>
            <wp:extent cx="576072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11430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p>
      <w:pPr>
        <w:spacing w:after="0" w:line="36" w:lineRule="exact"/>
        <w:rPr>
          <w:sz w:val="20"/>
          <w:szCs w:val="20"/>
          <w:color w:val="auto"/>
        </w:rPr>
      </w:pPr>
    </w:p>
    <w:p>
      <w:pPr>
        <w:sectPr>
          <w:pgSz w:w="11900" w:h="16838" w:orient="portrait"/>
          <w:cols w:equalWidth="0" w:num="2">
            <w:col w:w="1500" w:space="640"/>
            <w:col w:w="6940"/>
          </w:cols>
          <w:pgMar w:left="1400" w:top="560" w:right="14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3"/>
        </w:trPr>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c>
          <w:tcPr>
            <w:tcW w:w="29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3,291.4</w:t>
            </w:r>
          </w:p>
        </w:tc>
        <w:tc>
          <w:tcPr>
            <w:tcW w:w="100" w:type="dxa"/>
            <w:vAlign w:val="bottom"/>
          </w:tcPr>
          <w:p>
            <w:pPr>
              <w:spacing w:after="0"/>
              <w:rPr>
                <w:sz w:val="13"/>
                <w:szCs w:val="13"/>
                <w:color w:val="auto"/>
              </w:rPr>
            </w:pPr>
          </w:p>
        </w:tc>
        <w:tc>
          <w:tcPr>
            <w:tcW w:w="5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2,670.6</w:t>
            </w:r>
          </w:p>
        </w:tc>
      </w:tr>
      <w:tr>
        <w:trPr>
          <w:trHeight w:val="15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Short-term debt and current portion of long-term debt, net</w:t>
            </w:r>
          </w:p>
        </w:tc>
        <w:tc>
          <w:tcPr>
            <w:tcW w:w="2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r>
      <w:tr>
        <w:trPr>
          <w:trHeight w:val="15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4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1,112.5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1,113.9</w:t>
            </w:r>
          </w:p>
        </w:tc>
      </w:tr>
      <w:tr>
        <w:trPr>
          <w:trHeight w:val="14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4,431.2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3,804.0</w:t>
            </w:r>
          </w:p>
        </w:tc>
      </w:tr>
      <w:tr>
        <w:trPr>
          <w:trHeight w:val="180"/>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5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w:t>
            </w:r>
          </w:p>
        </w:tc>
        <w:tc>
          <w:tcPr>
            <w:tcW w:w="2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5,641.2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5,045.5</w:t>
            </w:r>
          </w:p>
        </w:tc>
      </w:tr>
      <w:tr>
        <w:trPr>
          <w:trHeight w:val="15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4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1,375.1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1,246.4</w:t>
            </w:r>
          </w:p>
        </w:tc>
      </w:tr>
      <w:tr>
        <w:trPr>
          <w:trHeight w:val="14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liabilities</w:t>
            </w:r>
          </w:p>
        </w:tc>
        <w:tc>
          <w:tcPr>
            <w:tcW w:w="2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11,447.5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10,095.9</w:t>
            </w:r>
          </w:p>
        </w:tc>
      </w:tr>
      <w:tr>
        <w:trPr>
          <w:trHeight w:val="180"/>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5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2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4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4,755.0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4,965.5</w:t>
            </w:r>
          </w:p>
        </w:tc>
      </w:tr>
      <w:tr>
        <w:trPr>
          <w:trHeight w:val="16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24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16,202.5</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15,061.4</w:t>
            </w:r>
          </w:p>
        </w:tc>
      </w:tr>
      <w:tr>
        <w:trPr>
          <w:trHeight w:val="491"/>
        </w:trPr>
        <w:tc>
          <w:tcPr>
            <w:tcW w:w="3660" w:type="dxa"/>
            <w:vAlign w:val="bottom"/>
          </w:tcPr>
          <w:p>
            <w:pPr>
              <w:spacing w:after="0"/>
              <w:rPr>
                <w:sz w:val="24"/>
                <w:szCs w:val="24"/>
                <w:color w:val="auto"/>
              </w:rPr>
            </w:pPr>
          </w:p>
        </w:tc>
        <w:tc>
          <w:tcPr>
            <w:tcW w:w="2440" w:type="dxa"/>
            <w:vAlign w:val="bottom"/>
          </w:tcPr>
          <w:p>
            <w:pPr>
              <w:jc w:val="right"/>
              <w:ind w:right="1460"/>
              <w:spacing w:after="0"/>
              <w:rPr>
                <w:sz w:val="20"/>
                <w:szCs w:val="20"/>
                <w:color w:val="auto"/>
              </w:rPr>
            </w:pPr>
            <w:r>
              <w:rPr>
                <w:rFonts w:ascii="Times New Roman" w:cs="Times New Roman" w:eastAsia="Times New Roman" w:hAnsi="Times New Roman"/>
                <w:sz w:val="12"/>
                <w:szCs w:val="12"/>
                <w:color w:val="auto"/>
              </w:rPr>
              <w:t>7</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9080"/>
          </w:cols>
          <w:pgMar w:left="1400" w:top="560" w:right="1419" w:bottom="1440" w:gutter="0" w:footer="0" w:header="0"/>
          <w:type w:val="continuous"/>
        </w:sectPr>
      </w:pPr>
    </w:p>
    <w:bookmarkStart w:id="10" w:name="page11"/>
    <w:bookmarkEnd w:id="10"/>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5"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2"/>
          <w:szCs w:val="12"/>
          <w:color w:val="auto"/>
        </w:rPr>
        <w:t>(dollar amounts in millions)</w:t>
      </w:r>
    </w:p>
    <w:p>
      <w:pPr>
        <w:spacing w:after="0" w:line="6"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2"/>
          <w:szCs w:val="12"/>
          <w:color w:val="auto"/>
        </w:rPr>
        <w:t>(Unaudited)</w:t>
      </w:r>
    </w:p>
    <w:p>
      <w:pPr>
        <w:spacing w:after="0" w:line="18" w:lineRule="exact"/>
        <w:rPr>
          <w:sz w:val="20"/>
          <w:szCs w:val="20"/>
          <w:color w:val="auto"/>
        </w:rPr>
      </w:pPr>
    </w:p>
    <w:tbl>
      <w:tblPr>
        <w:tblLayout w:type="fixed"/>
        <w:tblInd w:w="946" w:type="dxa"/>
        <w:tblCellMar>
          <w:top w:w="0" w:type="dxa"/>
          <w:left w:w="0" w:type="dxa"/>
          <w:bottom w:w="0" w:type="dxa"/>
          <w:right w:w="0" w:type="dxa"/>
        </w:tblCellMar>
      </w:tblPr>
      <w:tr>
        <w:trPr>
          <w:trHeight w:val="159"/>
        </w:trPr>
        <w:tc>
          <w:tcPr>
            <w:tcW w:w="6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100" w:type="dxa"/>
            <w:vAlign w:val="bottom"/>
          </w:tcPr>
          <w:p>
            <w:pPr>
              <w:spacing w:after="0"/>
              <w:rPr>
                <w:sz w:val="9"/>
                <w:szCs w:val="9"/>
                <w:color w:val="auto"/>
              </w:rPr>
            </w:pPr>
          </w:p>
        </w:tc>
        <w:tc>
          <w:tcPr>
            <w:tcW w:w="9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June 30,</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jc w:val="right"/>
              <w:ind w:right="440"/>
              <w:spacing w:after="0" w:line="109" w:lineRule="exact"/>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59"/>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0" w:type="dxa"/>
            <w:vAlign w:val="bottom"/>
          </w:tcPr>
          <w:p>
            <w:pPr>
              <w:spacing w:after="0"/>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53"/>
        </w:trPr>
        <w:tc>
          <w:tcPr>
            <w:tcW w:w="6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 back (deduct):</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w:t>
            </w:r>
          </w:p>
        </w:tc>
        <w:tc>
          <w:tcPr>
            <w:tcW w:w="0" w:type="dxa"/>
            <w:vAlign w:val="bottom"/>
          </w:tcPr>
          <w:p>
            <w:pPr>
              <w:spacing w:after="0"/>
              <w:rPr>
                <w:sz w:val="1"/>
                <w:szCs w:val="1"/>
                <w:color w:val="auto"/>
              </w:rPr>
            </w:pPr>
          </w:p>
        </w:tc>
      </w:tr>
      <w:tr>
        <w:trPr>
          <w:trHeight w:val="153"/>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Gain on divestiture</w:t>
            </w:r>
          </w:p>
        </w:tc>
        <w:tc>
          <w:tcPr>
            <w:tcW w:w="9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on abandonment of assets</w:t>
            </w:r>
          </w:p>
        </w:tc>
        <w:tc>
          <w:tcPr>
            <w:tcW w:w="9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53"/>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trade receivables, net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Change in inventories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0" w:type="dxa"/>
            <w:vAlign w:val="bottom"/>
          </w:tcPr>
          <w:p>
            <w:pPr>
              <w:spacing w:after="0"/>
              <w:rPr>
                <w:sz w:val="1"/>
                <w:szCs w:val="1"/>
                <w:color w:val="auto"/>
              </w:rPr>
            </w:pPr>
          </w:p>
        </w:tc>
      </w:tr>
      <w:tr>
        <w:trPr>
          <w:trHeight w:val="153"/>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accounts payable</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341.9</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9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w:t>
            </w:r>
          </w:p>
        </w:tc>
        <w:tc>
          <w:tcPr>
            <w:tcW w:w="0" w:type="dxa"/>
            <w:vAlign w:val="bottom"/>
          </w:tcPr>
          <w:p>
            <w:pPr>
              <w:spacing w:after="0"/>
              <w:rPr>
                <w:sz w:val="1"/>
                <w:szCs w:val="1"/>
                <w:color w:val="auto"/>
              </w:rPr>
            </w:pPr>
          </w:p>
        </w:tc>
      </w:tr>
      <w:tr>
        <w:trPr>
          <w:trHeight w:val="142"/>
        </w:trPr>
        <w:tc>
          <w:tcPr>
            <w:tcW w:w="61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9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522.5</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Capital expenditures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0" w:type="dxa"/>
            <w:vAlign w:val="bottom"/>
          </w:tcPr>
          <w:p>
            <w:pPr>
              <w:spacing w:after="0"/>
              <w:rPr>
                <w:sz w:val="1"/>
                <w:szCs w:val="1"/>
                <w:color w:val="auto"/>
              </w:rPr>
            </w:pPr>
          </w:p>
        </w:tc>
      </w:tr>
      <w:tr>
        <w:trPr>
          <w:trHeight w:val="153"/>
        </w:trPr>
        <w:tc>
          <w:tcPr>
            <w:tcW w:w="6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payments, net of cash acquired</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divestiture, net of cash transferred</w:t>
            </w:r>
          </w:p>
        </w:tc>
        <w:tc>
          <w:tcPr>
            <w:tcW w:w="9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334.2</w:t>
            </w:r>
          </w:p>
        </w:tc>
        <w:tc>
          <w:tcPr>
            <w:tcW w:w="0" w:type="dxa"/>
            <w:vAlign w:val="bottom"/>
          </w:tcPr>
          <w:p>
            <w:pPr>
              <w:spacing w:after="0"/>
              <w:rPr>
                <w:sz w:val="1"/>
                <w:szCs w:val="1"/>
                <w:color w:val="auto"/>
              </w:rPr>
            </w:pPr>
          </w:p>
        </w:tc>
      </w:tr>
      <w:tr>
        <w:trPr>
          <w:trHeight w:val="153"/>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 net</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2"/>
        </w:trPr>
        <w:tc>
          <w:tcPr>
            <w:tcW w:w="6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Net cash (used in) provided by investing activities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269.1</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00" w:type="dxa"/>
            <w:vAlign w:val="bottom"/>
          </w:tcPr>
          <w:p>
            <w:pPr>
              <w:ind w:left="120"/>
              <w:spacing w:after="0" w:line="153" w:lineRule="exact"/>
              <w:rPr>
                <w:sz w:val="20"/>
                <w:szCs w:val="20"/>
                <w:color w:val="auto"/>
              </w:rPr>
            </w:pPr>
            <w:r>
              <w:rPr>
                <w:rFonts w:ascii="Times New Roman" w:cs="Times New Roman" w:eastAsia="Times New Roman" w:hAnsi="Times New Roman"/>
                <w:sz w:val="12"/>
                <w:szCs w:val="12"/>
                <w:color w:val="auto"/>
              </w:rPr>
              <w:t>Debt borrowings (repayments), net</w:t>
            </w:r>
            <w:r>
              <w:rPr>
                <w:rFonts w:ascii="Times New Roman" w:cs="Times New Roman" w:eastAsia="Times New Roman" w:hAnsi="Times New Roman"/>
                <w:sz w:val="15"/>
                <w:szCs w:val="15"/>
                <w:color w:val="auto"/>
                <w:vertAlign w:val="superscript"/>
              </w:rPr>
              <w:t>(1)</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Payments for taxes related to net-share settlement of equity awards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0" w:type="dxa"/>
            <w:vAlign w:val="bottom"/>
          </w:tcPr>
          <w:p>
            <w:pPr>
              <w:spacing w:after="0"/>
              <w:rPr>
                <w:sz w:val="1"/>
                <w:szCs w:val="1"/>
                <w:color w:val="auto"/>
              </w:rPr>
            </w:pPr>
          </w:p>
        </w:tc>
      </w:tr>
      <w:tr>
        <w:trPr>
          <w:trHeight w:val="153"/>
        </w:trPr>
        <w:tc>
          <w:tcPr>
            <w:tcW w:w="6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Redemption of preferred stock</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 of common stock dividends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w:t>
            </w: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 of preferred stock dividends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0" w:type="dxa"/>
            <w:vAlign w:val="bottom"/>
          </w:tcPr>
          <w:p>
            <w:pPr>
              <w:spacing w:after="0"/>
              <w:rPr>
                <w:sz w:val="1"/>
                <w:szCs w:val="1"/>
                <w:color w:val="auto"/>
              </w:rPr>
            </w:pPr>
          </w:p>
        </w:tc>
      </w:tr>
      <w:tr>
        <w:trPr>
          <w:trHeight w:val="153"/>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142"/>
        </w:trPr>
        <w:tc>
          <w:tcPr>
            <w:tcW w:w="6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(581.4)</w:t>
            </w: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60"/>
        </w:trPr>
        <w:tc>
          <w:tcPr>
            <w:tcW w:w="6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192.4</w:t>
            </w:r>
          </w:p>
        </w:tc>
        <w:tc>
          <w:tcPr>
            <w:tcW w:w="0" w:type="dxa"/>
            <w:vAlign w:val="bottom"/>
          </w:tcPr>
          <w:p>
            <w:pPr>
              <w:spacing w:after="0"/>
              <w:rPr>
                <w:sz w:val="1"/>
                <w:szCs w:val="1"/>
                <w:color w:val="auto"/>
              </w:rPr>
            </w:pPr>
          </w:p>
        </w:tc>
      </w:tr>
      <w:tr>
        <w:trPr>
          <w:trHeight w:val="15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the beginning of the period</w:t>
            </w: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702.6</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524.1</w:t>
            </w:r>
          </w:p>
        </w:tc>
        <w:tc>
          <w:tcPr>
            <w:tcW w:w="0" w:type="dxa"/>
            <w:vAlign w:val="bottom"/>
          </w:tcPr>
          <w:p>
            <w:pPr>
              <w:spacing w:after="0"/>
              <w:rPr>
                <w:sz w:val="1"/>
                <w:szCs w:val="1"/>
                <w:color w:val="auto"/>
              </w:rPr>
            </w:pPr>
          </w:p>
        </w:tc>
      </w:tr>
      <w:tr>
        <w:trPr>
          <w:trHeight w:val="15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the end of the period</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667.0</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166" w:hanging="166"/>
        <w:spacing w:after="0" w:line="238" w:lineRule="auto"/>
        <w:tabs>
          <w:tab w:leader="none" w:pos="174"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six months ended June 30, 2025 includes the issuance of the Company's $800 million aggregate principal amount of 6.375% Senior Notes due 2033 (the “2033 Notes”). The Company used the net proceeds from the issuance of the 2033 Notes to redeem all of the Company’s outstanding 10.625% Series A Fixed-Rate Reset Cumulative Perpetual Preferred Stock (the “Series A Preferred Stock”) and all of the related depositary shares representing fractional interests in the Series A Preferred Stock, and to repay a portion of the amounts outstanding under the Revolving Credit Facility. The six months ended June 30, 2024 includes the issuance of the Company's $900 million aggregate principal amount of 6.375% senior notes due 2029 (the “2029 Notes”) and $850 million aggregate principal amount of 6.625% senior notes due 2032 (the “2032 Notes” and, together with the 2029 Notes, the “2029 and 2032 Notes”). The proceeds from the issuance of the 2029 and 2032 Notes were used for the redemption of the Company's $1,500 million aggregate principal amount of 7.125% Senior Notes due 2025 (the “2025 Notes”) and for other corporate purposes.</w:t>
      </w:r>
    </w:p>
    <w:p>
      <w:pPr>
        <w:spacing w:after="0" w:line="309"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146"/>
          </w:cols>
          <w:pgMar w:left="454" w:top="560"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addition to the results provided in accordance with U.S. Generally Accepted Accounting Principles (</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U.S. GAAP</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above, this earnings release includes certain non-GAAP financial measures. These financial measures include organic sales growth, gross profit, gross margin, earnings before interest, taxes, depreciation and amortization (EBITDA), adjusted EBITDA, adjusted EBITDA margin, financial leverage, free cash flow, adjusted selling, general and administrative expenses, adjusted income from operations, adjusted operating margin, adjusted other non-operating (income) expense, adjusted provision for income taxes, adjusted income before income taxes, adjusted net income, adjusted net income attributable to WESCO International, Inc., adjusted net income attributable to common stockholders, and adjusted earnings per diluted share. The Company believes that these non-GAAP measures are useful to investors as they provide a better understanding of our financial condition and results of operations on a comparable basis. Additionally, certain non-GAAP measures either focus on or exclude items impacting comparability of results such as digital transformation costs, restructuring costs, cloud computing arrangement amortization, pension settlement cost and excise taxes on excess pension plan assets related to the final settlement of the Anixter Inc. Pension Plan, loss on abandonment of assets, the gain recognized on the divestiture of the WIS business, the loss on termination of business arrangement, and the related income tax effects, as well as the gain on the redemption of the Series A Preferred Stock, allowing investors to more easily compare the Company's financial performance from period to period. Management does not use these non-GAAP financial measures for any purpose other than the reasons stated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557"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Organic Sales Growth by Segment - Three Months Ended:</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Growth/(Decline)</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00" w:type="dxa"/>
            <w:vAlign w:val="bottom"/>
          </w:tcPr>
          <w:p>
            <w:pPr>
              <w:spacing w:after="0"/>
              <w:rPr>
                <w:sz w:val="9"/>
                <w:szCs w:val="9"/>
                <w:color w:val="auto"/>
              </w:rPr>
            </w:pPr>
          </w:p>
        </w:tc>
        <w:tc>
          <w:tcPr>
            <w:tcW w:w="118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00" w:type="dxa"/>
            <w:vAlign w:val="bottom"/>
          </w:tcPr>
          <w:p>
            <w:pPr>
              <w:spacing w:after="0"/>
              <w:rPr>
                <w:sz w:val="9"/>
                <w:szCs w:val="9"/>
                <w:color w:val="auto"/>
              </w:rPr>
            </w:pPr>
          </w:p>
        </w:tc>
        <w:tc>
          <w:tcPr>
            <w:tcW w:w="1120" w:type="dxa"/>
            <w:vAlign w:val="bottom"/>
          </w:tcPr>
          <w:p>
            <w:pPr>
              <w:jc w:val="right"/>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Reported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Foreign Exchange</w:t>
            </w: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Workday</w:t>
            </w:r>
          </w:p>
        </w:tc>
        <w:tc>
          <w:tcPr>
            <w:tcW w:w="114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Organic Sales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2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EES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 %</w:t>
            </w: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122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CSS</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0.2 %</w:t>
            </w:r>
          </w:p>
        </w:tc>
        <w:tc>
          <w:tcPr>
            <w:tcW w:w="80" w:type="dxa"/>
            <w:vAlign w:val="bottom"/>
          </w:tcPr>
          <w:p>
            <w:pPr>
              <w:spacing w:after="0"/>
              <w:rPr>
                <w:sz w:val="13"/>
                <w:szCs w:val="13"/>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w:t>
            </w: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1,440.9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 %</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 %</w:t>
            </w:r>
          </w:p>
        </w:tc>
        <w:tc>
          <w:tcPr>
            <w:tcW w:w="0" w:type="dxa"/>
            <w:vAlign w:val="bottom"/>
          </w:tcPr>
          <w:p>
            <w:pPr>
              <w:spacing w:after="0"/>
              <w:rPr>
                <w:sz w:val="1"/>
                <w:szCs w:val="1"/>
                <w:color w:val="auto"/>
              </w:rPr>
            </w:pPr>
          </w:p>
        </w:tc>
      </w:tr>
      <w:tr>
        <w:trPr>
          <w:trHeight w:val="142"/>
        </w:trPr>
        <w:tc>
          <w:tcPr>
            <w:tcW w:w="1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net sales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5,899.6</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5,479.7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7.7 %</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0.5 %</w:t>
            </w:r>
          </w:p>
        </w:tc>
        <w:tc>
          <w:tcPr>
            <w:tcW w:w="1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 %</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2"/>
                <w:szCs w:val="12"/>
                <w:b w:val="1"/>
                <w:bCs w:val="1"/>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7.2 %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360" w:right="280" w:hanging="172"/>
        <w:spacing w:after="0" w:line="207" w:lineRule="auto"/>
        <w:tabs>
          <w:tab w:leader="none" w:pos="307"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 the first quarter of 2025, a portion of the EES reportable segment was moved to the CSS reportable segment as a result of operational realignment. As a result, the reportable segment financial information for the three months ended June 30, 2024 has been recast to conform to the current year presentation. The recast does not impact previously reported condensed consolidated results.</w:t>
      </w:r>
    </w:p>
    <w:p>
      <w:pPr>
        <w:sectPr>
          <w:pgSz w:w="11900" w:h="16838" w:orient="portrait"/>
          <w:cols w:equalWidth="0" w:num="1">
            <w:col w:w="11300"/>
          </w:cols>
          <w:pgMar w:left="300" w:top="128" w:right="299" w:bottom="1440" w:gutter="0" w:footer="0" w:header="0"/>
        </w:sectPr>
      </w:pP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Organic Sales Growth by Segment - Six Months Ended:</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1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268"/>
        </w:trPr>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00" w:type="dxa"/>
            <w:vAlign w:val="bottom"/>
          </w:tcPr>
          <w:p>
            <w:pPr>
              <w:spacing w:after="0"/>
              <w:rPr>
                <w:sz w:val="23"/>
                <w:szCs w:val="23"/>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227"/>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EES</w:t>
            </w:r>
            <w:r>
              <w:rPr>
                <w:rFonts w:ascii="Times New Roman" w:cs="Times New Roman" w:eastAsia="Times New Roman" w:hAnsi="Times New Roman"/>
                <w:sz w:val="15"/>
                <w:szCs w:val="15"/>
                <w:color w:val="auto"/>
                <w:vertAlign w:val="superscript"/>
              </w:rPr>
              <w:t>(1)</w:t>
            </w: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4,323.1</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4,198.8</w:t>
            </w:r>
          </w:p>
        </w:tc>
      </w:tr>
      <w:tr>
        <w:trPr>
          <w:trHeight w:val="157"/>
        </w:trPr>
        <w:tc>
          <w:tcPr>
            <w:tcW w:w="120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CSS</w:t>
            </w:r>
            <w:r>
              <w:rPr>
                <w:rFonts w:ascii="Times New Roman" w:cs="Times New Roman" w:eastAsia="Times New Roman" w:hAnsi="Times New Roman"/>
                <w:sz w:val="15"/>
                <w:szCs w:val="15"/>
                <w:color w:val="auto"/>
                <w:vertAlign w:val="superscript"/>
              </w:rPr>
              <w:t>(1)</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3,609.1</w:t>
            </w:r>
          </w:p>
        </w:tc>
      </w:tr>
      <w:tr>
        <w:trPr>
          <w:trHeight w:val="155"/>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UBS</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2,654.7</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3,021.8</w:t>
            </w:r>
          </w:p>
        </w:tc>
      </w:tr>
      <w:tr>
        <w:trPr>
          <w:trHeight w:val="142"/>
        </w:trPr>
        <w:tc>
          <w:tcPr>
            <w:tcW w:w="1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net sales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11,243.3</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10,829.7</w:t>
            </w:r>
          </w:p>
        </w:tc>
      </w:tr>
      <w:tr>
        <w:trPr>
          <w:trHeight w:val="20"/>
        </w:trPr>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Growth/(Decline)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120" w:type="dxa"/>
            <w:vAlign w:val="bottom"/>
            <w:tcBorders>
              <w:top w:val="single" w:sz="8" w:color="auto"/>
            </w:tcBorders>
          </w:tcPr>
          <w:p>
            <w:pPr>
              <w:jc w:val="right"/>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Reported</w:t>
            </w: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Acquisition/Divestiture</w:t>
            </w:r>
          </w:p>
        </w:tc>
        <w:tc>
          <w:tcPr>
            <w:tcW w:w="100" w:type="dxa"/>
            <w:vAlign w:val="bottom"/>
            <w:tcBorders>
              <w:top w:val="single" w:sz="8" w:color="auto"/>
            </w:tcBorders>
            <w:vMerge w:val="restart"/>
          </w:tcPr>
          <w:p>
            <w:pPr>
              <w:spacing w:after="0"/>
              <w:rPr>
                <w:sz w:val="9"/>
                <w:szCs w:val="9"/>
                <w:color w:val="auto"/>
              </w:rPr>
            </w:pPr>
          </w:p>
        </w:tc>
        <w:tc>
          <w:tcPr>
            <w:tcW w:w="128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Foreign Exchange</w:t>
            </w:r>
          </w:p>
        </w:tc>
        <w:tc>
          <w:tcPr>
            <w:tcW w:w="80" w:type="dxa"/>
            <w:vAlign w:val="bottom"/>
            <w:tcBorders>
              <w:top w:val="single" w:sz="8" w:color="auto"/>
            </w:tcBorders>
            <w:vMerge w:val="restart"/>
          </w:tcPr>
          <w:p>
            <w:pPr>
              <w:spacing w:after="0"/>
              <w:rPr>
                <w:sz w:val="9"/>
                <w:szCs w:val="9"/>
                <w:color w:val="auto"/>
              </w:rPr>
            </w:pPr>
          </w:p>
        </w:tc>
        <w:tc>
          <w:tcPr>
            <w:tcW w:w="1280" w:type="dxa"/>
            <w:vAlign w:val="bottom"/>
            <w:tcBorders>
              <w:top w:val="single" w:sz="8" w:color="auto"/>
            </w:tcBorders>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Workday</w:t>
            </w:r>
          </w:p>
        </w:tc>
        <w:tc>
          <w:tcPr>
            <w:tcW w:w="100" w:type="dxa"/>
            <w:vAlign w:val="bottom"/>
            <w:tcBorders>
              <w:top w:val="single" w:sz="8" w:color="auto"/>
            </w:tcBorders>
            <w:vMerge w:val="restart"/>
          </w:tcPr>
          <w:p>
            <w:pPr>
              <w:spacing w:after="0"/>
              <w:rPr>
                <w:sz w:val="9"/>
                <w:szCs w:val="9"/>
                <w:color w:val="auto"/>
              </w:rPr>
            </w:pPr>
          </w:p>
        </w:tc>
        <w:tc>
          <w:tcPr>
            <w:tcW w:w="114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Organic Sales</w:t>
            </w:r>
          </w:p>
        </w:tc>
        <w:tc>
          <w:tcPr>
            <w:tcW w:w="1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 %</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1.9 %</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 %</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 %</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5"/>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(12.1) %</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 %</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 %</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 %</w:t>
            </w:r>
          </w:p>
        </w:tc>
        <w:tc>
          <w:tcPr>
            <w:tcW w:w="10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 %</w:t>
            </w:r>
          </w:p>
        </w:tc>
        <w:tc>
          <w:tcPr>
            <w:tcW w:w="0" w:type="dxa"/>
            <w:vAlign w:val="bottom"/>
          </w:tcPr>
          <w:p>
            <w:pPr>
              <w:spacing w:after="0"/>
              <w:rPr>
                <w:sz w:val="1"/>
                <w:szCs w:val="1"/>
                <w:color w:val="auto"/>
              </w:rPr>
            </w:pPr>
          </w:p>
        </w:tc>
      </w:tr>
      <w:tr>
        <w:trPr>
          <w:trHeight w:val="180"/>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3.8 %</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(0.6)%</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(0.8)%</w:t>
            </w:r>
          </w:p>
        </w:tc>
        <w:tc>
          <w:tcPr>
            <w:tcW w:w="1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-405130</wp:posOffset>
            </wp:positionV>
            <wp:extent cx="6966585"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6585" cy="9715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-210820</wp:posOffset>
            </wp:positionV>
            <wp:extent cx="6966585"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6585" cy="971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220" w:space="100"/>
            <w:col w:w="6980"/>
          </w:cols>
          <w:pgMar w:left="300" w:top="128" w:right="299" w:bottom="1440" w:gutter="0" w:footer="0" w:header="0"/>
          <w:type w:val="continuous"/>
        </w:sectPr>
      </w:pPr>
    </w:p>
    <w:p>
      <w:pPr>
        <w:ind w:left="360" w:right="200" w:hanging="172"/>
        <w:spacing w:after="0" w:line="207" w:lineRule="auto"/>
        <w:tabs>
          <w:tab w:leader="none" w:pos="307"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 the first quarter of 2025, a portion of the EES reportable segment was moved to the CSS reportable segment as a result of operational realignment. As a result, the reportable segment financial information for the six months ended June 30, 2024 has been recast to conform to the current year presentation. The recast does not impact previously reported condensed consolidated results.</w:t>
      </w:r>
    </w:p>
    <w:p>
      <w:pPr>
        <w:sectPr>
          <w:pgSz w:w="11900" w:h="16838" w:orient="portrait"/>
          <w:cols w:equalWidth="0" w:num="1">
            <w:col w:w="11300"/>
          </w:cols>
          <w:pgMar w:left="300" w:top="128" w:right="299" w:bottom="1440" w:gutter="0" w:footer="0" w:header="0"/>
          <w:type w:val="continuous"/>
        </w:sectPr>
      </w:pP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Organic Sales Growth by Segment - Sequential:</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1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268"/>
        </w:trPr>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80" w:type="dxa"/>
            <w:vAlign w:val="bottom"/>
          </w:tcPr>
          <w:p>
            <w:pPr>
              <w:spacing w:after="0"/>
              <w:rPr>
                <w:sz w:val="23"/>
                <w:szCs w:val="23"/>
                <w:color w:val="auto"/>
              </w:rPr>
            </w:pPr>
          </w:p>
        </w:tc>
        <w:tc>
          <w:tcPr>
            <w:tcW w:w="120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March 31, 2025</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EES</w:t>
            </w: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2,257.8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2,065.3</w:t>
            </w:r>
          </w:p>
        </w:tc>
      </w:tr>
      <w:tr>
        <w:trPr>
          <w:trHeight w:val="153"/>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CSS</w:t>
            </w: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2,265.2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2,000.3</w:t>
            </w:r>
          </w:p>
        </w:tc>
      </w:tr>
      <w:tr>
        <w:trPr>
          <w:trHeight w:val="155"/>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UBS</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1,376.6</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1,278.1</w:t>
            </w:r>
          </w:p>
        </w:tc>
      </w:tr>
      <w:tr>
        <w:trPr>
          <w:trHeight w:val="142"/>
        </w:trPr>
        <w:tc>
          <w:tcPr>
            <w:tcW w:w="1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net sales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5,899.6</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5,343.7</w:t>
            </w:r>
          </w:p>
        </w:tc>
      </w:tr>
      <w:tr>
        <w:trPr>
          <w:trHeight w:val="20"/>
        </w:trPr>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Growth/(Decline)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360" w:type="dxa"/>
            <w:vAlign w:val="bottom"/>
            <w:tcBorders>
              <w:top w:val="single" w:sz="8" w:color="auto"/>
            </w:tcBorders>
            <w:gridSpan w:val="2"/>
          </w:tcPr>
          <w:p>
            <w:pPr>
              <w:ind w:left="380"/>
              <w:spacing w:after="0" w:line="106" w:lineRule="exact"/>
              <w:rPr>
                <w:sz w:val="20"/>
                <w:szCs w:val="20"/>
                <w:color w:val="auto"/>
              </w:rPr>
            </w:pPr>
            <w:r>
              <w:rPr>
                <w:rFonts w:ascii="Times New Roman" w:cs="Times New Roman" w:eastAsia="Times New Roman" w:hAnsi="Times New Roman"/>
                <w:sz w:val="12"/>
                <w:szCs w:val="12"/>
                <w:b w:val="1"/>
                <w:bCs w:val="1"/>
                <w:color w:val="auto"/>
              </w:rPr>
              <w:t>Reported</w:t>
            </w:r>
          </w:p>
        </w:tc>
        <w:tc>
          <w:tcPr>
            <w:tcW w:w="134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00" w:type="dxa"/>
            <w:vAlign w:val="bottom"/>
            <w:tcBorders>
              <w:top w:val="single" w:sz="8" w:color="auto"/>
            </w:tcBorders>
            <w:vMerge w:val="restart"/>
          </w:tcPr>
          <w:p>
            <w:pPr>
              <w:spacing w:after="0"/>
              <w:rPr>
                <w:sz w:val="9"/>
                <w:szCs w:val="9"/>
                <w:color w:val="auto"/>
              </w:rPr>
            </w:pPr>
          </w:p>
        </w:tc>
        <w:tc>
          <w:tcPr>
            <w:tcW w:w="128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Foreign Exchange</w:t>
            </w:r>
          </w:p>
        </w:tc>
        <w:tc>
          <w:tcPr>
            <w:tcW w:w="80" w:type="dxa"/>
            <w:vAlign w:val="bottom"/>
            <w:tcBorders>
              <w:top w:val="single" w:sz="8" w:color="auto"/>
            </w:tcBorders>
            <w:vMerge w:val="restart"/>
          </w:tcPr>
          <w:p>
            <w:pPr>
              <w:spacing w:after="0"/>
              <w:rPr>
                <w:sz w:val="9"/>
                <w:szCs w:val="9"/>
                <w:color w:val="auto"/>
              </w:rPr>
            </w:pPr>
          </w:p>
        </w:tc>
        <w:tc>
          <w:tcPr>
            <w:tcW w:w="92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Workday</w:t>
            </w: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Organic Sales</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Sales</w:t>
            </w:r>
          </w:p>
        </w:tc>
        <w:tc>
          <w:tcPr>
            <w:tcW w:w="10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w:t>
            </w:r>
          </w:p>
        </w:tc>
        <w:tc>
          <w:tcPr>
            <w:tcW w:w="100" w:type="dxa"/>
            <w:vAlign w:val="bottom"/>
          </w:tcPr>
          <w:p>
            <w:pPr>
              <w:spacing w:after="0"/>
              <w:rPr>
                <w:sz w:val="20"/>
                <w:szCs w:val="20"/>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4.9 %</w:t>
            </w:r>
          </w:p>
        </w:tc>
        <w:tc>
          <w:tcPr>
            <w:tcW w:w="0" w:type="dxa"/>
            <w:vAlign w:val="bottom"/>
          </w:tcPr>
          <w:p>
            <w:pPr>
              <w:spacing w:after="0"/>
              <w:rPr>
                <w:sz w:val="1"/>
                <w:szCs w:val="1"/>
                <w:color w:val="auto"/>
              </w:rPr>
            </w:pPr>
          </w:p>
        </w:tc>
      </w:tr>
      <w:tr>
        <w:trPr>
          <w:trHeight w:val="153"/>
        </w:trPr>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13.2 %</w:t>
            </w:r>
          </w:p>
        </w:tc>
        <w:tc>
          <w:tcPr>
            <w:tcW w:w="100" w:type="dxa"/>
            <w:vAlign w:val="bottom"/>
          </w:tcPr>
          <w:p>
            <w:pPr>
              <w:spacing w:after="0"/>
              <w:rPr>
                <w:sz w:val="13"/>
                <w:szCs w:val="13"/>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3.2 %</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0" w:type="dxa"/>
            <w:vAlign w:val="bottom"/>
          </w:tcPr>
          <w:p>
            <w:pPr>
              <w:spacing w:after="0"/>
              <w:rPr>
                <w:sz w:val="1"/>
                <w:szCs w:val="1"/>
                <w:color w:val="auto"/>
              </w:rPr>
            </w:pPr>
          </w:p>
        </w:tc>
      </w:tr>
      <w:tr>
        <w:trPr>
          <w:trHeight w:val="155"/>
        </w:trPr>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100" w:type="dxa"/>
            <w:vAlign w:val="bottom"/>
          </w:tcPr>
          <w:p>
            <w:pPr>
              <w:spacing w:after="0"/>
              <w:rPr>
                <w:sz w:val="13"/>
                <w:szCs w:val="13"/>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3.2 %</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4.1 %</w:t>
            </w:r>
          </w:p>
        </w:tc>
        <w:tc>
          <w:tcPr>
            <w:tcW w:w="0" w:type="dxa"/>
            <w:vAlign w:val="bottom"/>
          </w:tcPr>
          <w:p>
            <w:pPr>
              <w:spacing w:after="0"/>
              <w:rPr>
                <w:sz w:val="1"/>
                <w:szCs w:val="1"/>
                <w:color w:val="auto"/>
              </w:rPr>
            </w:pPr>
          </w:p>
        </w:tc>
      </w:tr>
      <w:tr>
        <w:trPr>
          <w:trHeight w:val="180"/>
        </w:trPr>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10.4 %</w:t>
            </w:r>
          </w:p>
        </w:tc>
        <w:tc>
          <w:tcPr>
            <w:tcW w:w="100" w:type="dxa"/>
            <w:vAlign w:val="bottom"/>
          </w:tcPr>
          <w:p>
            <w:pPr>
              <w:spacing w:after="0"/>
              <w:rPr>
                <w:sz w:val="15"/>
                <w:szCs w:val="15"/>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1.0 %</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-405130</wp:posOffset>
            </wp:positionV>
            <wp:extent cx="6966585"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6585" cy="9715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-210820</wp:posOffset>
            </wp:positionV>
            <wp:extent cx="696658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6585" cy="971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220" w:space="100"/>
            <w:col w:w="6980"/>
          </w:cols>
          <w:pgMar w:left="300" w:top="128" w:right="29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1"/>
          <w:szCs w:val="11"/>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the second quarter of 2025 compared to the second quarter of 2024. The first six months of 2025 had one less workday compared to the first six months of 2024. The second quarter of 2025 had two more workdays compared to the first quarter of 2025.</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128" w:right="29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40" w:type="dxa"/>
            <w:vAlign w:val="bottom"/>
          </w:tcPr>
          <w:p>
            <w:pPr>
              <w:spacing w:after="0"/>
              <w:rPr>
                <w:sz w:val="13"/>
                <w:szCs w:val="13"/>
                <w:color w:val="auto"/>
              </w:rPr>
            </w:pPr>
          </w:p>
        </w:tc>
        <w:tc>
          <w:tcPr>
            <w:tcW w:w="2840" w:type="dxa"/>
            <w:vAlign w:val="bottom"/>
            <w:gridSpan w:val="4"/>
          </w:tcPr>
          <w:p>
            <w:pPr>
              <w:jc w:val="right"/>
              <w:ind w:right="100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42"/>
        </w:trPr>
        <w:tc>
          <w:tcPr>
            <w:tcW w:w="4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79"/>
        </w:trPr>
        <w:tc>
          <w:tcPr>
            <w:tcW w:w="49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r>
      <w:tr>
        <w:trPr>
          <w:trHeight w:val="15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5,899.6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5,479.7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11,243.3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10,829.7</w:t>
            </w:r>
          </w:p>
        </w:tc>
      </w:tr>
      <w:tr>
        <w:trPr>
          <w:trHeight w:val="15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 (excluding depreciation and amortization)</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4,656.9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4,281.7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8,875.0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8,493.8</w:t>
            </w:r>
          </w:p>
        </w:tc>
      </w:tr>
      <w:tr>
        <w:trPr>
          <w:trHeight w:val="144"/>
        </w:trPr>
        <w:tc>
          <w:tcPr>
            <w:tcW w:w="4920" w:type="dxa"/>
            <w:vAlign w:val="bottom"/>
            <w:tcBorders>
              <w:bottom w:val="single" w:sz="8" w:color="CCEEFF"/>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2"/>
                <w:szCs w:val="12"/>
                <w:color w:val="auto"/>
              </w:rPr>
              <w:t>Gross profit</w:t>
            </w:r>
          </w:p>
        </w:tc>
        <w:tc>
          <w:tcPr>
            <w:tcW w:w="220" w:type="dxa"/>
            <w:vAlign w:val="bottom"/>
            <w:tcBorders>
              <w:bottom w:val="single" w:sz="8" w:color="auto"/>
            </w:tcBorders>
            <w:shd w:val="clear" w:color="auto" w:fill="CCEEFF"/>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1,242.7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1,198.0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2,368.3</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2,335.9</w:t>
            </w:r>
          </w:p>
        </w:tc>
      </w:tr>
      <w:tr>
        <w:trPr>
          <w:trHeight w:val="151"/>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21.6 %</w:t>
            </w:r>
          </w:p>
        </w:tc>
      </w:tr>
    </w:tbl>
    <w:p>
      <w:pPr>
        <w:spacing w:after="0" w:line="253" w:lineRule="exact"/>
        <w:rPr>
          <w:sz w:val="20"/>
          <w:szCs w:val="20"/>
          <w:color w:val="auto"/>
        </w:rPr>
      </w:pPr>
    </w:p>
    <w:tbl>
      <w:tblPr>
        <w:tblLayout w:type="fixed"/>
        <w:tblInd w:w="2020" w:type="dxa"/>
        <w:tblCellMar>
          <w:top w:w="0" w:type="dxa"/>
          <w:left w:w="0" w:type="dxa"/>
          <w:bottom w:w="0" w:type="dxa"/>
          <w:right w:w="0" w:type="dxa"/>
        </w:tblCellMar>
      </w:tblPr>
      <w:tr>
        <w:trPr>
          <w:trHeight w:val="159"/>
        </w:trPr>
        <w:tc>
          <w:tcPr>
            <w:tcW w:w="5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March 31, 2025</w:t>
            </w:r>
          </w:p>
        </w:tc>
      </w:tr>
      <w:tr>
        <w:trPr>
          <w:trHeight w:val="79"/>
        </w:trPr>
        <w:tc>
          <w:tcPr>
            <w:tcW w:w="5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80" w:type="dxa"/>
            <w:vAlign w:val="bottom"/>
          </w:tcPr>
          <w:p>
            <w:pPr>
              <w:spacing w:after="0"/>
              <w:rPr>
                <w:sz w:val="6"/>
                <w:szCs w:val="6"/>
                <w:color w:val="auto"/>
              </w:rPr>
            </w:pPr>
          </w:p>
        </w:tc>
      </w:tr>
      <w:tr>
        <w:trPr>
          <w:trHeight w:val="15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5,343.7</w:t>
            </w:r>
          </w:p>
        </w:tc>
      </w:tr>
      <w:tr>
        <w:trPr>
          <w:trHeight w:val="15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goods sold (excluding depreciation and amortization)</w:t>
            </w: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4,218.1</w:t>
            </w:r>
          </w:p>
        </w:tc>
      </w:tr>
      <w:tr>
        <w:trPr>
          <w:trHeight w:val="140"/>
        </w:trPr>
        <w:tc>
          <w:tcPr>
            <w:tcW w:w="5180" w:type="dxa"/>
            <w:vAlign w:val="bottom"/>
            <w:tcBorders>
              <w:bottom w:val="single" w:sz="8" w:color="CCEEFF"/>
            </w:tcBorders>
            <w:shd w:val="clear" w:color="auto" w:fill="CCEEFF"/>
          </w:tcPr>
          <w:p>
            <w:pPr>
              <w:ind w:left="80"/>
              <w:spacing w:after="0" w:line="124" w:lineRule="exact"/>
              <w:rPr>
                <w:sz w:val="20"/>
                <w:szCs w:val="20"/>
                <w:color w:val="auto"/>
              </w:rPr>
            </w:pPr>
            <w:r>
              <w:rPr>
                <w:rFonts w:ascii="Times New Roman" w:cs="Times New Roman" w:eastAsia="Times New Roman" w:hAnsi="Times New Roman"/>
                <w:sz w:val="12"/>
                <w:szCs w:val="12"/>
                <w:color w:val="auto"/>
              </w:rPr>
              <w:t>Gross profit</w:t>
            </w:r>
          </w:p>
        </w:tc>
        <w:tc>
          <w:tcPr>
            <w:tcW w:w="280" w:type="dxa"/>
            <w:vAlign w:val="bottom"/>
            <w:tcBorders>
              <w:bottom w:val="single" w:sz="8" w:color="auto"/>
            </w:tcBorders>
            <w:shd w:val="clear" w:color="auto" w:fill="CCEEFF"/>
          </w:tcPr>
          <w:p>
            <w:pPr>
              <w:jc w:val="right"/>
              <w:ind w:right="1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bottom w:val="single" w:sz="8" w:color="auto"/>
            </w:tcBorders>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1,125.6</w:t>
            </w:r>
          </w:p>
        </w:tc>
      </w:tr>
    </w:tbl>
    <w:p>
      <w:pPr>
        <w:spacing w:after="0" w:line="1" w:lineRule="exact"/>
        <w:rPr>
          <w:sz w:val="20"/>
          <w:szCs w:val="20"/>
          <w:color w:val="auto"/>
        </w:rPr>
      </w:pPr>
    </w:p>
    <w:tbl>
      <w:tblPr>
        <w:tblLayout w:type="fixed"/>
        <w:tblInd w:w="2040" w:type="dxa"/>
        <w:tblCellMar>
          <w:top w:w="0" w:type="dxa"/>
          <w:left w:w="0" w:type="dxa"/>
          <w:bottom w:w="0" w:type="dxa"/>
          <w:right w:w="0" w:type="dxa"/>
        </w:tblCellMar>
      </w:tblPr>
      <w:tr>
        <w:trPr>
          <w:trHeight w:val="155"/>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3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21.1 %</w:t>
            </w:r>
          </w:p>
        </w:tc>
      </w:tr>
    </w:tbl>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1"/>
          <w:szCs w:val="11"/>
          <w:color w:val="auto"/>
        </w:rPr>
        <w:t>Note: Gross profit is a financial measure commonly used in the distribution industry. Gross profit is calculated by deducting cost of goods sold, excluding depreciation and amortization, from net sales. Gross margin is calculated by dividing gross profit by net sales.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128" w:right="299" w:bottom="1440" w:gutter="0" w:footer="0" w:header="0"/>
        </w:sectPr>
      </w:pPr>
    </w:p>
    <w:bookmarkStart w:id="14" w:name="page15"/>
    <w:bookmarkEnd w:id="14"/>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88" w:type="dxa"/>
        <w:tblCellMar>
          <w:top w:w="0" w:type="dxa"/>
          <w:left w:w="0" w:type="dxa"/>
          <w:bottom w:w="0" w:type="dxa"/>
          <w:right w:w="0" w:type="dxa"/>
        </w:tblCellMar>
      </w:tblPr>
      <w:tr>
        <w:trPr>
          <w:trHeight w:val="144"/>
        </w:trPr>
        <w:tc>
          <w:tcPr>
            <w:tcW w:w="45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60" w:type="dxa"/>
            <w:vAlign w:val="bottom"/>
            <w:tcBorders>
              <w:bottom w:val="single" w:sz="8" w:color="auto"/>
            </w:tcBorders>
          </w:tcPr>
          <w:p>
            <w:pPr>
              <w:spacing w:after="0"/>
              <w:rPr>
                <w:sz w:val="12"/>
                <w:szCs w:val="12"/>
                <w:color w:val="auto"/>
              </w:rPr>
            </w:pPr>
          </w:p>
        </w:tc>
      </w:tr>
      <w:tr>
        <w:trPr>
          <w:trHeight w:val="133"/>
        </w:trPr>
        <w:tc>
          <w:tcPr>
            <w:tcW w:w="45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96"/>
              </w:rPr>
              <w:t>June 30, 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420" w:type="dxa"/>
            <w:vAlign w:val="bottom"/>
          </w:tcPr>
          <w:p>
            <w:pPr>
              <w:spacing w:after="0"/>
              <w:rPr>
                <w:sz w:val="11"/>
                <w:szCs w:val="11"/>
                <w:color w:val="auto"/>
              </w:rPr>
            </w:pPr>
          </w:p>
        </w:tc>
        <w:tc>
          <w:tcPr>
            <w:tcW w:w="116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June 30, 2024</w:t>
            </w:r>
          </w:p>
        </w:tc>
      </w:tr>
      <w:tr>
        <w:trPr>
          <w:trHeight w:val="124"/>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SG&amp;A Expenses:</w:t>
            </w:r>
          </w:p>
        </w:tc>
        <w:tc>
          <w:tcPr>
            <w:tcW w:w="1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4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112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872.2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828.4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1,708.5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1,657.8</w:t>
            </w:r>
          </w:p>
        </w:tc>
      </w:tr>
      <w:tr>
        <w:trPr>
          <w:trHeight w:val="144"/>
        </w:trPr>
        <w:tc>
          <w:tcPr>
            <w:tcW w:w="45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(1)</w:t>
            </w:r>
          </w:p>
        </w:tc>
        <w:tc>
          <w:tcPr>
            <w:tcW w:w="112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(12.1)</w:t>
            </w:r>
          </w:p>
        </w:tc>
      </w:tr>
      <w:tr>
        <w:trPr>
          <w:trHeight w:val="144"/>
        </w:trPr>
        <w:tc>
          <w:tcPr>
            <w:tcW w:w="45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(2)</w:t>
            </w:r>
          </w:p>
        </w:tc>
        <w:tc>
          <w:tcPr>
            <w:tcW w:w="1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w:t>
            </w:r>
          </w:p>
        </w:tc>
      </w:tr>
      <w:tr>
        <w:trPr>
          <w:trHeight w:val="144"/>
        </w:trPr>
        <w:tc>
          <w:tcPr>
            <w:tcW w:w="45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Loss on abandonment of assets</w:t>
            </w:r>
            <w:r>
              <w:rPr>
                <w:rFonts w:ascii="Times New Roman" w:cs="Times New Roman" w:eastAsia="Times New Roman" w:hAnsi="Times New Roman"/>
                <w:sz w:val="14"/>
                <w:szCs w:val="14"/>
                <w:color w:val="auto"/>
                <w:vertAlign w:val="superscript"/>
              </w:rPr>
              <w:t>(3)</w:t>
            </w:r>
          </w:p>
        </w:tc>
        <w:tc>
          <w:tcPr>
            <w:tcW w:w="11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r>
      <w:tr>
        <w:trPr>
          <w:trHeight w:val="144"/>
        </w:trPr>
        <w:tc>
          <w:tcPr>
            <w:tcW w:w="45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Excise taxes on excess pension plan assets</w:t>
            </w:r>
            <w:r>
              <w:rPr>
                <w:rFonts w:ascii="Times New Roman" w:cs="Times New Roman" w:eastAsia="Times New Roman" w:hAnsi="Times New Roman"/>
                <w:sz w:val="14"/>
                <w:szCs w:val="14"/>
                <w:color w:val="auto"/>
                <w:vertAlign w:val="superscript"/>
              </w:rPr>
              <w:t>(4)</w:t>
            </w:r>
          </w:p>
        </w:tc>
        <w:tc>
          <w:tcPr>
            <w:tcW w:w="1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w:t>
            </w:r>
          </w:p>
        </w:tc>
      </w:tr>
      <w:tr>
        <w:trPr>
          <w:trHeight w:val="131"/>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Adjusted selling, general and administrative expenses</w:t>
            </w:r>
          </w:p>
        </w:tc>
        <w:tc>
          <w:tcPr>
            <w:tcW w:w="1120" w:type="dxa"/>
            <w:vAlign w:val="bottom"/>
            <w:tcBorders>
              <w:top w:val="single" w:sz="8" w:color="auto"/>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864.1</w:t>
            </w:r>
          </w:p>
        </w:tc>
        <w:tc>
          <w:tcPr>
            <w:tcW w:w="10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803.6</w:t>
            </w:r>
          </w:p>
        </w:tc>
        <w:tc>
          <w:tcPr>
            <w:tcW w:w="10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1,693.1</w:t>
            </w:r>
          </w:p>
        </w:tc>
        <w:tc>
          <w:tcPr>
            <w:tcW w:w="10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1,614.1</w:t>
            </w:r>
          </w:p>
        </w:tc>
      </w:tr>
      <w:tr>
        <w:trPr>
          <w:trHeight w:val="13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Percentage of net sales</w:t>
            </w:r>
          </w:p>
        </w:tc>
        <w:tc>
          <w:tcPr>
            <w:tcW w:w="1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14.6 %</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14.9 %</w:t>
            </w:r>
          </w:p>
        </w:tc>
      </w:tr>
      <w:tr>
        <w:trPr>
          <w:trHeight w:val="72"/>
        </w:trPr>
        <w:tc>
          <w:tcPr>
            <w:tcW w:w="4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Income from Operations:</w:t>
            </w:r>
          </w:p>
        </w:tc>
        <w:tc>
          <w:tcPr>
            <w:tcW w:w="1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Income from operations</w:t>
            </w:r>
          </w:p>
        </w:tc>
        <w:tc>
          <w:tcPr>
            <w:tcW w:w="112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322.2</w:t>
            </w:r>
          </w:p>
        </w:tc>
        <w:tc>
          <w:tcPr>
            <w:tcW w:w="100" w:type="dxa"/>
            <w:vAlign w:val="bottom"/>
          </w:tcPr>
          <w:p>
            <w:pPr>
              <w:spacing w:after="0"/>
              <w:rPr>
                <w:sz w:val="12"/>
                <w:szCs w:val="12"/>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323.5</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563.1</w:t>
            </w:r>
          </w:p>
        </w:tc>
        <w:tc>
          <w:tcPr>
            <w:tcW w:w="10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586.5</w:t>
            </w:r>
          </w:p>
        </w:tc>
      </w:tr>
      <w:tr>
        <w:trPr>
          <w:trHeight w:val="146"/>
        </w:trPr>
        <w:tc>
          <w:tcPr>
            <w:tcW w:w="452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(1)</w:t>
            </w:r>
          </w:p>
        </w:tc>
        <w:tc>
          <w:tcPr>
            <w:tcW w:w="1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w:t>
            </w:r>
          </w:p>
        </w:tc>
      </w:tr>
      <w:tr>
        <w:trPr>
          <w:trHeight w:val="144"/>
        </w:trPr>
        <w:tc>
          <w:tcPr>
            <w:tcW w:w="45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(1)</w:t>
            </w:r>
          </w:p>
        </w:tc>
        <w:tc>
          <w:tcPr>
            <w:tcW w:w="112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9.0</w:t>
            </w:r>
          </w:p>
        </w:tc>
      </w:tr>
      <w:tr>
        <w:trPr>
          <w:trHeight w:val="144"/>
        </w:trPr>
        <w:tc>
          <w:tcPr>
            <w:tcW w:w="45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Loss on abandonment of assets</w:t>
            </w:r>
            <w:r>
              <w:rPr>
                <w:rFonts w:ascii="Times New Roman" w:cs="Times New Roman" w:eastAsia="Times New Roman" w:hAnsi="Times New Roman"/>
                <w:sz w:val="14"/>
                <w:szCs w:val="14"/>
                <w:color w:val="auto"/>
                <w:vertAlign w:val="superscript"/>
              </w:rPr>
              <w:t>(3)</w:t>
            </w:r>
          </w:p>
        </w:tc>
        <w:tc>
          <w:tcPr>
            <w:tcW w:w="1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r>
      <w:tr>
        <w:trPr>
          <w:trHeight w:val="144"/>
        </w:trPr>
        <w:tc>
          <w:tcPr>
            <w:tcW w:w="45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Excise taxes on excess pension plan assets</w:t>
            </w:r>
            <w:r>
              <w:rPr>
                <w:rFonts w:ascii="Times New Roman" w:cs="Times New Roman" w:eastAsia="Times New Roman" w:hAnsi="Times New Roman"/>
                <w:sz w:val="14"/>
                <w:szCs w:val="14"/>
                <w:color w:val="auto"/>
                <w:vertAlign w:val="superscript"/>
              </w:rPr>
              <w:t>(4)</w:t>
            </w:r>
          </w:p>
        </w:tc>
        <w:tc>
          <w:tcPr>
            <w:tcW w:w="11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4.8</w:t>
            </w:r>
          </w:p>
        </w:tc>
      </w:tr>
      <w:tr>
        <w:trPr>
          <w:trHeight w:val="133"/>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income from operations</w:t>
            </w:r>
          </w:p>
        </w:tc>
        <w:tc>
          <w:tcPr>
            <w:tcW w:w="112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330.3</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348.3</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578.5</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630.2</w:t>
            </w:r>
          </w:p>
        </w:tc>
      </w:tr>
      <w:tr>
        <w:trPr>
          <w:trHeight w:val="131"/>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Adjusted income from operations margin %</w:t>
            </w:r>
          </w:p>
        </w:tc>
        <w:tc>
          <w:tcPr>
            <w:tcW w:w="1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5.6 %</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5.8 %</w:t>
            </w:r>
          </w:p>
        </w:tc>
      </w:tr>
      <w:tr>
        <w:trPr>
          <w:trHeight w:val="74"/>
        </w:trPr>
        <w:tc>
          <w:tcPr>
            <w:tcW w:w="45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143"/>
        </w:trPr>
        <w:tc>
          <w:tcPr>
            <w:tcW w:w="4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Adjusted Other (Income) Expense, net:</w:t>
            </w: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net</w:t>
            </w:r>
          </w:p>
        </w:tc>
        <w:tc>
          <w:tcPr>
            <w:tcW w:w="112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(95.9)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(74.3)</w:t>
            </w:r>
          </w:p>
        </w:tc>
      </w:tr>
      <w:tr>
        <w:trPr>
          <w:trHeight w:val="142"/>
        </w:trPr>
        <w:tc>
          <w:tcPr>
            <w:tcW w:w="4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divestiture</w:t>
            </w:r>
          </w:p>
        </w:tc>
        <w:tc>
          <w:tcPr>
            <w:tcW w:w="11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102.9</w:t>
            </w:r>
          </w:p>
        </w:tc>
      </w:tr>
      <w:tr>
        <w:trPr>
          <w:trHeight w:val="146"/>
        </w:trPr>
        <w:tc>
          <w:tcPr>
            <w:tcW w:w="452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Loss on termination of business arrangement</w:t>
            </w:r>
            <w:r>
              <w:rPr>
                <w:rFonts w:ascii="Times New Roman" w:cs="Times New Roman" w:eastAsia="Times New Roman" w:hAnsi="Times New Roman"/>
                <w:sz w:val="14"/>
                <w:szCs w:val="14"/>
                <w:color w:val="auto"/>
                <w:vertAlign w:val="superscript"/>
              </w:rPr>
              <w:t>(5)</w:t>
            </w:r>
          </w:p>
        </w:tc>
        <w:tc>
          <w:tcPr>
            <w:tcW w:w="1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r>
      <w:tr>
        <w:trPr>
          <w:trHeight w:val="144"/>
        </w:trPr>
        <w:tc>
          <w:tcPr>
            <w:tcW w:w="45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Pension settlement cost</w:t>
            </w:r>
            <w:r>
              <w:rPr>
                <w:rFonts w:ascii="Times New Roman" w:cs="Times New Roman" w:eastAsia="Times New Roman" w:hAnsi="Times New Roman"/>
                <w:sz w:val="14"/>
                <w:szCs w:val="14"/>
                <w:color w:val="auto"/>
                <w:vertAlign w:val="superscript"/>
              </w:rPr>
              <w:t>(6)</w:t>
            </w:r>
          </w:p>
        </w:tc>
        <w:tc>
          <w:tcPr>
            <w:tcW w:w="11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w:t>
            </w:r>
          </w:p>
        </w:tc>
      </w:tr>
      <w:tr>
        <w:trPr>
          <w:trHeight w:val="131"/>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other (income) expense, net</w:t>
            </w:r>
          </w:p>
        </w:tc>
        <w:tc>
          <w:tcPr>
            <w:tcW w:w="1120" w:type="dxa"/>
            <w:vAlign w:val="bottom"/>
            <w:tcBorders>
              <w:top w:val="single" w:sz="8" w:color="auto"/>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19.3</w:t>
            </w:r>
          </w:p>
        </w:tc>
      </w:tr>
      <w:tr>
        <w:trPr>
          <w:trHeight w:val="54"/>
        </w:trPr>
        <w:tc>
          <w:tcPr>
            <w:tcW w:w="4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Provision for Income Taxes:</w:t>
            </w:r>
          </w:p>
        </w:tc>
        <w:tc>
          <w:tcPr>
            <w:tcW w:w="1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12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tcPr>
          <w:p>
            <w:pPr>
              <w:spacing w:after="0"/>
              <w:rPr>
                <w:sz w:val="12"/>
                <w:szCs w:val="12"/>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87.8</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97.9</w:t>
            </w:r>
          </w:p>
        </w:tc>
        <w:tc>
          <w:tcPr>
            <w:tcW w:w="10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118.7</w:t>
            </w:r>
          </w:p>
        </w:tc>
      </w:tr>
      <w:tr>
        <w:trPr>
          <w:trHeight w:val="146"/>
        </w:trPr>
        <w:tc>
          <w:tcPr>
            <w:tcW w:w="452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Income tax effect of adjustments to income from operations and other (income) expense, net</w:t>
            </w:r>
            <w:r>
              <w:rPr>
                <w:rFonts w:ascii="Times New Roman" w:cs="Times New Roman" w:eastAsia="Times New Roman" w:hAnsi="Times New Roman"/>
                <w:sz w:val="14"/>
                <w:szCs w:val="14"/>
                <w:color w:val="auto"/>
                <w:vertAlign w:val="superscript"/>
              </w:rPr>
              <w:t>(7)</w:t>
            </w:r>
          </w:p>
        </w:tc>
        <w:tc>
          <w:tcPr>
            <w:tcW w:w="1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(13.6)</w:t>
            </w:r>
          </w:p>
        </w:tc>
      </w:tr>
      <w:tr>
        <w:trPr>
          <w:trHeight w:val="131"/>
        </w:trPr>
        <w:tc>
          <w:tcPr>
            <w:tcW w:w="4520" w:type="dxa"/>
            <w:vAlign w:val="bottom"/>
          </w:tcPr>
          <w:p>
            <w:pPr>
              <w:spacing w:after="0"/>
              <w:rPr>
                <w:sz w:val="20"/>
                <w:szCs w:val="20"/>
                <w:color w:val="auto"/>
              </w:rPr>
            </w:pPr>
            <w:r>
              <w:rPr>
                <w:rFonts w:ascii="Times New Roman" w:cs="Times New Roman" w:eastAsia="Times New Roman" w:hAnsi="Times New Roman"/>
                <w:sz w:val="11"/>
                <w:szCs w:val="11"/>
                <w:color w:val="auto"/>
              </w:rPr>
              <w:t>Adjusted provision for income taxes</w:t>
            </w:r>
          </w:p>
        </w:tc>
        <w:tc>
          <w:tcPr>
            <w:tcW w:w="112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67.7</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102.0</w:t>
            </w:r>
          </w:p>
        </w:tc>
        <w:tc>
          <w:tcPr>
            <w:tcW w:w="100" w:type="dxa"/>
            <w:vAlign w:val="bottom"/>
          </w:tcPr>
          <w:p>
            <w:pPr>
              <w:spacing w:after="0"/>
              <w:rPr>
                <w:sz w:val="11"/>
                <w:szCs w:val="11"/>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105.1</w:t>
            </w:r>
          </w:p>
        </w:tc>
      </w:tr>
    </w:tbl>
    <w:p>
      <w:pPr>
        <w:spacing w:after="0" w:line="72" w:lineRule="exact"/>
        <w:rPr>
          <w:sz w:val="20"/>
          <w:szCs w:val="20"/>
          <w:color w:val="auto"/>
        </w:rPr>
      </w:pPr>
    </w:p>
    <w:p>
      <w:pPr>
        <w:ind w:left="108" w:hanging="108"/>
        <w:spacing w:after="0"/>
        <w:tabs>
          <w:tab w:leader="none" w:pos="108" w:val="left"/>
        </w:tabs>
        <w:numPr>
          <w:ilvl w:val="0"/>
          <w:numId w:val="1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Digital transformation costs include costs associated with certain digital transformation initiatives.</w:t>
      </w:r>
    </w:p>
    <w:p>
      <w:pPr>
        <w:spacing w:after="0" w:line="24" w:lineRule="exact"/>
        <w:rPr>
          <w:rFonts w:ascii="Times New Roman" w:cs="Times New Roman" w:eastAsia="Times New Roman" w:hAnsi="Times New Roman"/>
          <w:sz w:val="13"/>
          <w:szCs w:val="13"/>
          <w:color w:val="auto"/>
          <w:vertAlign w:val="superscript"/>
        </w:rPr>
      </w:pPr>
    </w:p>
    <w:p>
      <w:pPr>
        <w:ind w:left="148" w:hanging="148"/>
        <w:spacing w:after="0" w:line="191" w:lineRule="auto"/>
        <w:tabs>
          <w:tab w:leader="none" w:pos="148"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Restructuring costs include severance costs incurred pursuant to an ongoing restructuring plan.</w:t>
      </w:r>
    </w:p>
    <w:p>
      <w:pPr>
        <w:spacing w:after="0" w:line="24" w:lineRule="exact"/>
        <w:rPr>
          <w:rFonts w:ascii="Times New Roman" w:cs="Times New Roman" w:eastAsia="Times New Roman" w:hAnsi="Times New Roman"/>
          <w:sz w:val="14"/>
          <w:szCs w:val="14"/>
          <w:color w:val="auto"/>
          <w:vertAlign w:val="superscript"/>
        </w:rPr>
      </w:pPr>
    </w:p>
    <w:p>
      <w:pPr>
        <w:ind w:left="168" w:hanging="168"/>
        <w:spacing w:after="0" w:line="212" w:lineRule="auto"/>
        <w:tabs>
          <w:tab w:leader="none" w:pos="115"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ind w:left="148" w:hanging="148"/>
        <w:spacing w:after="0" w:line="228" w:lineRule="auto"/>
        <w:tabs>
          <w:tab w:leader="none" w:pos="148"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Excise taxes on excess pension plan assets represent the excise taxes applicable to the excess pension plan assets following the final settlement of the Company's U.S. pension plan.</w:t>
      </w:r>
    </w:p>
    <w:p>
      <w:pPr>
        <w:spacing w:after="0" w:line="24"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Loss on termination of business arrangement represents the loss recognized as a result of management's decision to terminate a business arrangement with a third party.</w:t>
      </w:r>
    </w:p>
    <w:p>
      <w:pPr>
        <w:spacing w:after="0" w:line="24"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Pension settlement cost represents expense related to the final settlement of the Company's U.S. pension plan.</w:t>
      </w:r>
    </w:p>
    <w:p>
      <w:pPr>
        <w:spacing w:after="0" w:line="23" w:lineRule="exact"/>
        <w:rPr>
          <w:rFonts w:ascii="Times New Roman" w:cs="Times New Roman" w:eastAsia="Times New Roman" w:hAnsi="Times New Roman"/>
          <w:sz w:val="14"/>
          <w:szCs w:val="14"/>
          <w:color w:val="auto"/>
          <w:vertAlign w:val="superscript"/>
        </w:rPr>
      </w:pPr>
    </w:p>
    <w:p>
      <w:pPr>
        <w:ind w:left="108" w:hanging="108"/>
        <w:spacing w:after="0" w:line="229" w:lineRule="auto"/>
        <w:tabs>
          <w:tab w:leader="none" w:pos="108" w:val="left"/>
        </w:tabs>
        <w:numPr>
          <w:ilvl w:val="0"/>
          <w:numId w:val="1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adjustments to income from operations and other (income) expense, net have been tax effected at rates of 26.3% for the three and six months ended June 30, 2025 and 27.1% for the three and six months ended June 30, 2024.</w:t>
      </w: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88"/>
          </w:cols>
          <w:pgMar w:left="292" w:top="128" w:right="31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Three Months Ended</w:t>
            </w:r>
          </w:p>
        </w:tc>
        <w:tc>
          <w:tcPr>
            <w:tcW w:w="1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100" w:type="dxa"/>
            <w:vAlign w:val="bottom"/>
            <w:tcBorders>
              <w:bottom w:val="single" w:sz="8" w:color="auto"/>
            </w:tcBorders>
          </w:tcPr>
          <w:p>
            <w:pPr>
              <w:spacing w:after="0"/>
              <w:rPr>
                <w:sz w:val="12"/>
                <w:szCs w:val="12"/>
                <w:color w:val="auto"/>
              </w:rPr>
            </w:pPr>
          </w:p>
        </w:tc>
      </w:tr>
      <w:tr>
        <w:trPr>
          <w:trHeight w:val="133"/>
        </w:trPr>
        <w:tc>
          <w:tcPr>
            <w:tcW w:w="46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96"/>
              </w:rPr>
              <w:t>June 30, 2024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420" w:type="dxa"/>
            <w:vAlign w:val="bottom"/>
          </w:tcPr>
          <w:p>
            <w:pPr>
              <w:spacing w:after="0"/>
              <w:rPr>
                <w:sz w:val="11"/>
                <w:szCs w:val="11"/>
                <w:color w:val="auto"/>
              </w:rPr>
            </w:pPr>
          </w:p>
        </w:tc>
        <w:tc>
          <w:tcPr>
            <w:tcW w:w="110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June 30, 2024</w:t>
            </w:r>
          </w:p>
        </w:tc>
      </w:tr>
      <w:tr>
        <w:trPr>
          <w:trHeight w:val="124"/>
        </w:trPr>
        <w:tc>
          <w:tcPr>
            <w:tcW w:w="46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Net Income Attributable to Common Stockholders:</w:t>
            </w:r>
          </w:p>
        </w:tc>
        <w:tc>
          <w:tcPr>
            <w:tcW w:w="10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r>
        <w:trPr>
          <w:trHeight w:val="14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attributable to common stockholders</w:t>
            </w:r>
          </w:p>
        </w:tc>
        <w:tc>
          <w:tcPr>
            <w:tcW w:w="108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189.2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217.7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293.2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319.2</w:t>
            </w:r>
          </w:p>
        </w:tc>
      </w:tr>
      <w:tr>
        <w:trPr>
          <w:trHeight w:val="144"/>
        </w:trPr>
        <w:tc>
          <w:tcPr>
            <w:tcW w:w="46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(1)</w:t>
            </w:r>
          </w:p>
        </w:tc>
        <w:tc>
          <w:tcPr>
            <w:tcW w:w="108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12.1</w:t>
            </w:r>
          </w:p>
        </w:tc>
      </w:tr>
      <w:tr>
        <w:trPr>
          <w:trHeight w:val="144"/>
        </w:trPr>
        <w:tc>
          <w:tcPr>
            <w:tcW w:w="46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(2)</w:t>
            </w: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w:t>
            </w:r>
          </w:p>
        </w:tc>
      </w:tr>
      <w:tr>
        <w:trPr>
          <w:trHeight w:val="144"/>
        </w:trPr>
        <w:tc>
          <w:tcPr>
            <w:tcW w:w="46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Loss on abandonment of assets</w:t>
            </w:r>
            <w:r>
              <w:rPr>
                <w:rFonts w:ascii="Times New Roman" w:cs="Times New Roman" w:eastAsia="Times New Roman" w:hAnsi="Times New Roman"/>
                <w:sz w:val="14"/>
                <w:szCs w:val="14"/>
                <w:color w:val="auto"/>
                <w:vertAlign w:val="superscript"/>
              </w:rPr>
              <w:t>(3)</w:t>
            </w:r>
          </w:p>
        </w:tc>
        <w:tc>
          <w:tcPr>
            <w:tcW w:w="10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r>
      <w:tr>
        <w:trPr>
          <w:trHeight w:val="144"/>
        </w:trPr>
        <w:tc>
          <w:tcPr>
            <w:tcW w:w="46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Excise taxes on excess pension plan assets</w:t>
            </w:r>
            <w:r>
              <w:rPr>
                <w:rFonts w:ascii="Times New Roman" w:cs="Times New Roman" w:eastAsia="Times New Roman" w:hAnsi="Times New Roman"/>
                <w:sz w:val="14"/>
                <w:szCs w:val="14"/>
                <w:color w:val="auto"/>
                <w:vertAlign w:val="superscript"/>
              </w:rPr>
              <w:t>(4)</w:t>
            </w: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w:t>
            </w:r>
          </w:p>
        </w:tc>
      </w:tr>
      <w:tr>
        <w:trPr>
          <w:trHeight w:val="142"/>
        </w:trPr>
        <w:tc>
          <w:tcPr>
            <w:tcW w:w="4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divestiture</w:t>
            </w:r>
          </w:p>
        </w:tc>
        <w:tc>
          <w:tcPr>
            <w:tcW w:w="10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(102.9)</w:t>
            </w:r>
          </w:p>
        </w:tc>
      </w:tr>
      <w:tr>
        <w:trPr>
          <w:trHeight w:val="146"/>
        </w:trPr>
        <w:tc>
          <w:tcPr>
            <w:tcW w:w="462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Loss on termination of business arrangement</w:t>
            </w:r>
            <w:r>
              <w:rPr>
                <w:rFonts w:ascii="Times New Roman" w:cs="Times New Roman" w:eastAsia="Times New Roman" w:hAnsi="Times New Roman"/>
                <w:sz w:val="14"/>
                <w:szCs w:val="14"/>
                <w:color w:val="auto"/>
                <w:vertAlign w:val="superscript"/>
              </w:rPr>
              <w:t>(5)</w:t>
            </w: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r>
      <w:tr>
        <w:trPr>
          <w:trHeight w:val="144"/>
        </w:trPr>
        <w:tc>
          <w:tcPr>
            <w:tcW w:w="46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Pension settlement cost</w:t>
            </w:r>
            <w:r>
              <w:rPr>
                <w:rFonts w:ascii="Times New Roman" w:cs="Times New Roman" w:eastAsia="Times New Roman" w:hAnsi="Times New Roman"/>
                <w:sz w:val="14"/>
                <w:szCs w:val="14"/>
                <w:color w:val="auto"/>
                <w:vertAlign w:val="superscript"/>
              </w:rPr>
              <w:t>(6)</w:t>
            </w:r>
          </w:p>
        </w:tc>
        <w:tc>
          <w:tcPr>
            <w:tcW w:w="10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w:t>
            </w:r>
          </w:p>
        </w:tc>
      </w:tr>
      <w:tr>
        <w:trPr>
          <w:trHeight w:val="144"/>
        </w:trPr>
        <w:tc>
          <w:tcPr>
            <w:tcW w:w="46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Income tax effect of adjustments to income from operations and other (income) expense, net</w:t>
            </w:r>
            <w:r>
              <w:rPr>
                <w:rFonts w:ascii="Times New Roman" w:cs="Times New Roman" w:eastAsia="Times New Roman" w:hAnsi="Times New Roman"/>
                <w:sz w:val="14"/>
                <w:szCs w:val="14"/>
                <w:color w:val="auto"/>
                <w:vertAlign w:val="superscript"/>
              </w:rPr>
              <w:t>(7)</w:t>
            </w: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13.6</w:t>
            </w:r>
          </w:p>
        </w:tc>
      </w:tr>
      <w:tr>
        <w:trPr>
          <w:trHeight w:val="142"/>
        </w:trPr>
        <w:tc>
          <w:tcPr>
            <w:tcW w:w="4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redemption of Series A Preferred Stock</w:t>
            </w:r>
          </w:p>
        </w:tc>
        <w:tc>
          <w:tcPr>
            <w:tcW w:w="108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net income attributable to common stockholders</w:t>
            </w:r>
          </w:p>
        </w:tc>
        <w:tc>
          <w:tcPr>
            <w:tcW w:w="108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167.5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163.5</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277.2</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282.9</w:t>
            </w:r>
          </w:p>
        </w:tc>
      </w:tr>
    </w:tbl>
    <w:p>
      <w:pPr>
        <w:spacing w:after="0" w:line="63" w:lineRule="exact"/>
        <w:rPr>
          <w:sz w:val="20"/>
          <w:szCs w:val="20"/>
          <w:color w:val="auto"/>
        </w:rPr>
      </w:pPr>
    </w:p>
    <w:p>
      <w:pPr>
        <w:ind w:left="108" w:hanging="108"/>
        <w:spacing w:after="0"/>
        <w:tabs>
          <w:tab w:leader="none" w:pos="108" w:val="left"/>
        </w:tabs>
        <w:numPr>
          <w:ilvl w:val="0"/>
          <w:numId w:val="1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Digital transformation costs include costs associated with certain digital transformation initiatives.</w:t>
      </w:r>
    </w:p>
    <w:p>
      <w:pPr>
        <w:spacing w:after="0" w:line="24" w:lineRule="exact"/>
        <w:rPr>
          <w:rFonts w:ascii="Times New Roman" w:cs="Times New Roman" w:eastAsia="Times New Roman" w:hAnsi="Times New Roman"/>
          <w:sz w:val="13"/>
          <w:szCs w:val="13"/>
          <w:color w:val="auto"/>
          <w:vertAlign w:val="superscript"/>
        </w:rPr>
      </w:pPr>
    </w:p>
    <w:p>
      <w:pPr>
        <w:ind w:left="148" w:hanging="148"/>
        <w:spacing w:after="0" w:line="191" w:lineRule="auto"/>
        <w:tabs>
          <w:tab w:leader="none" w:pos="148"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Restructuring costs include severance costs incurred pursuant to an ongoing restructuring plan.</w:t>
      </w:r>
    </w:p>
    <w:p>
      <w:pPr>
        <w:spacing w:after="0" w:line="24" w:lineRule="exact"/>
        <w:rPr>
          <w:rFonts w:ascii="Times New Roman" w:cs="Times New Roman" w:eastAsia="Times New Roman" w:hAnsi="Times New Roman"/>
          <w:sz w:val="14"/>
          <w:szCs w:val="14"/>
          <w:color w:val="auto"/>
          <w:vertAlign w:val="superscript"/>
        </w:rPr>
      </w:pPr>
    </w:p>
    <w:p>
      <w:pPr>
        <w:ind w:left="168" w:hanging="168"/>
        <w:spacing w:after="0" w:line="212" w:lineRule="auto"/>
        <w:tabs>
          <w:tab w:leader="none" w:pos="115"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1" w:lineRule="exact"/>
        <w:rPr>
          <w:rFonts w:ascii="Times New Roman" w:cs="Times New Roman" w:eastAsia="Times New Roman" w:hAnsi="Times New Roman"/>
          <w:sz w:val="14"/>
          <w:szCs w:val="14"/>
          <w:color w:val="auto"/>
          <w:vertAlign w:val="superscript"/>
        </w:rPr>
      </w:pPr>
    </w:p>
    <w:p>
      <w:pPr>
        <w:ind w:left="148" w:hanging="148"/>
        <w:spacing w:after="0"/>
        <w:tabs>
          <w:tab w:leader="none" w:pos="148"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Excise taxes on excess pension plan assets represent the excise taxes applicable to the excess pension plan assets following the final settlement of the Company's U.S. pension plan.</w:t>
      </w:r>
    </w:p>
    <w:p>
      <w:pPr>
        <w:spacing w:after="0" w:line="24"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Loss on termination of business arrangement represents the loss recognized as a result of management's decision to terminate a business arrangement with a third party.</w:t>
      </w:r>
    </w:p>
    <w:p>
      <w:pPr>
        <w:spacing w:after="0" w:line="24"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1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Pension settlement cost represents expense related to the final settlement of the Company's U.S. pension plan.</w:t>
      </w:r>
    </w:p>
    <w:p>
      <w:pPr>
        <w:spacing w:after="0" w:line="23" w:lineRule="exact"/>
        <w:rPr>
          <w:rFonts w:ascii="Times New Roman" w:cs="Times New Roman" w:eastAsia="Times New Roman" w:hAnsi="Times New Roman"/>
          <w:sz w:val="14"/>
          <w:szCs w:val="14"/>
          <w:color w:val="auto"/>
          <w:vertAlign w:val="superscript"/>
        </w:rPr>
      </w:pPr>
    </w:p>
    <w:p>
      <w:pPr>
        <w:ind w:left="108" w:hanging="108"/>
        <w:spacing w:after="0" w:line="229" w:lineRule="auto"/>
        <w:tabs>
          <w:tab w:leader="none" w:pos="108" w:val="left"/>
        </w:tabs>
        <w:numPr>
          <w:ilvl w:val="0"/>
          <w:numId w:val="1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adjustments to income from operations and other (income) expense, net have been tax effected at rates of 26.3% for the three and six months ended June 30, 2025 and 27.1% for the three and six months ended June 30, 2024.</w:t>
      </w:r>
    </w:p>
    <w:p>
      <w:pPr>
        <w:spacing w:after="0" w:line="2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88"/>
          </w:cols>
          <w:pgMar w:left="292" w:top="128"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80" w:type="dxa"/>
            <w:vAlign w:val="bottom"/>
          </w:tcPr>
          <w:p>
            <w:pPr>
              <w:spacing w:after="0"/>
              <w:rPr>
                <w:sz w:val="13"/>
                <w:szCs w:val="13"/>
                <w:color w:val="auto"/>
              </w:rPr>
            </w:pPr>
          </w:p>
        </w:tc>
        <w:tc>
          <w:tcPr>
            <w:tcW w:w="2380" w:type="dxa"/>
            <w:vAlign w:val="bottom"/>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42"/>
        </w:trPr>
        <w:tc>
          <w:tcPr>
            <w:tcW w:w="52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Earnings per Diluted Share:</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60"/>
        </w:trPr>
        <w:tc>
          <w:tcPr>
            <w:tcW w:w="5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15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Adjusted income from operations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w:t>
            </w:r>
          </w:p>
        </w:tc>
      </w:tr>
      <w:tr>
        <w:trPr>
          <w:trHeight w:val="153"/>
        </w:trPr>
        <w:tc>
          <w:tcPr>
            <w:tcW w:w="5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 net</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193.2</w:t>
            </w:r>
          </w:p>
        </w:tc>
      </w:tr>
      <w:tr>
        <w:trPr>
          <w:trHeight w:val="153"/>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other (income) expense, net</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w:t>
            </w:r>
          </w:p>
        </w:tc>
      </w:tr>
      <w:tr>
        <w:trPr>
          <w:trHeight w:val="142"/>
        </w:trPr>
        <w:tc>
          <w:tcPr>
            <w:tcW w:w="5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Adjusted income before income taxes</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417.7</w:t>
            </w:r>
          </w:p>
        </w:tc>
      </w:tr>
      <w:tr>
        <w:trPr>
          <w:trHeight w:val="153"/>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provision for income taxes</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r>
      <w:tr>
        <w:trPr>
          <w:trHeight w:val="142"/>
        </w:trPr>
        <w:tc>
          <w:tcPr>
            <w:tcW w:w="5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Adjusted net income</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312.6</w:t>
            </w:r>
          </w:p>
        </w:tc>
      </w:tr>
      <w:tr>
        <w:trPr>
          <w:trHeight w:val="153"/>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42"/>
        </w:trPr>
        <w:tc>
          <w:tcPr>
            <w:tcW w:w="5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Adjusted net income attributable to WESCO International, Inc.</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311.6</w:t>
            </w:r>
          </w:p>
        </w:tc>
      </w:tr>
      <w:tr>
        <w:trPr>
          <w:trHeight w:val="153"/>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Preferred stock dividends</w:t>
            </w: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r>
      <w:tr>
        <w:trPr>
          <w:trHeight w:val="158"/>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Adjusted net income attributable to common stockholders</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163.5</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282.9</w:t>
            </w:r>
          </w:p>
        </w:tc>
      </w:tr>
      <w:tr>
        <w:trPr>
          <w:trHeight w:val="162"/>
        </w:trPr>
        <w:tc>
          <w:tcPr>
            <w:tcW w:w="5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 shares</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w:t>
            </w:r>
          </w:p>
        </w:tc>
      </w:tr>
      <w:tr>
        <w:trPr>
          <w:trHeight w:val="15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Adjusted earnings per diluted share</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r>
    </w:tbl>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1"/>
          <w:szCs w:val="11"/>
          <w:color w:val="auto"/>
        </w:rPr>
        <w:t>Note: For the three and six months ended June 30, 2025, SG&amp;A expenses, income from operations, the provision for income taxes, net income attributable to common stockholders and earnings per diluted share have been adjusted to exclude digital transformation costs, restructuring costs, and the related income tax effects, and the gain on redemption of the Company's Series A Preferred Stock. Other non-operating (income) expense, the provision for income taxes, net income attributable to common stockholders and earnings per diluted share for the six months ended June 30, 2025 was also adjusted to exclude the loss on termination of business arrangement and the related income tax effect. For the three and six months ended June 30, 2024, SG&amp;A expenses, income from operations, other non-operating (income) expense, the provision for income taxes, net income attributable to common stockholders and earnings per diluted share have been adjusted to exclude the loss on abandonment of assets, digital transformation costs, restructuring costs, excise taxes on excess pension plan assets related to the final settlement of the Anixter Inc. Pension Plan, the gain recognized on the divestiture of the WIS business, the loss on termination of business arrangement, pension settlement cost,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128" w:right="29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Three Months Ended June 30, 2025</w:t>
            </w: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6"/>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EBITDA and Adjusted EBITDA by Segment:</w:t>
            </w:r>
          </w:p>
        </w:tc>
        <w:tc>
          <w:tcPr>
            <w:tcW w:w="26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EES</w:t>
            </w:r>
          </w:p>
        </w:tc>
        <w:tc>
          <w:tcPr>
            <w:tcW w:w="280" w:type="dxa"/>
            <w:vAlign w:val="bottom"/>
          </w:tcPr>
          <w:p>
            <w:pPr>
              <w:spacing w:after="0"/>
              <w:rPr>
                <w:sz w:val="11"/>
                <w:szCs w:val="11"/>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CSS</w:t>
            </w:r>
          </w:p>
        </w:tc>
        <w:tc>
          <w:tcPr>
            <w:tcW w:w="260" w:type="dxa"/>
            <w:vAlign w:val="bottom"/>
          </w:tcPr>
          <w:p>
            <w:pPr>
              <w:spacing w:after="0"/>
              <w:rPr>
                <w:sz w:val="11"/>
                <w:szCs w:val="11"/>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UBS</w:t>
            </w:r>
          </w:p>
        </w:tc>
        <w:tc>
          <w:tcPr>
            <w:tcW w:w="18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60" w:type="dxa"/>
            <w:vAlign w:val="bottom"/>
          </w:tcPr>
          <w:p>
            <w:pPr>
              <w:spacing w:after="0"/>
              <w:rPr>
                <w:sz w:val="11"/>
                <w:szCs w:val="11"/>
                <w:color w:val="auto"/>
              </w:rPr>
            </w:pPr>
          </w:p>
        </w:tc>
        <w:tc>
          <w:tcPr>
            <w:tcW w:w="92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89"/>
        </w:trPr>
        <w:tc>
          <w:tcPr>
            <w:tcW w:w="48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r>
      <w:tr>
        <w:trPr>
          <w:trHeight w:val="14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attributable to common stockholders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(272.8)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189.2</w:t>
            </w:r>
          </w:p>
        </w:tc>
      </w:tr>
      <w:tr>
        <w:trPr>
          <w:trHeight w:val="142"/>
        </w:trPr>
        <w:tc>
          <w:tcPr>
            <w:tcW w:w="4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(loss) attributable to noncontrolling interests</w:t>
            </w:r>
          </w:p>
        </w:tc>
        <w:tc>
          <w:tcPr>
            <w:tcW w:w="26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0.3</w:t>
            </w:r>
          </w:p>
        </w:tc>
      </w:tr>
      <w:tr>
        <w:trPr>
          <w:trHeight w:val="14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Gain on redemption of Series A Preferred Stock</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(27.6)</w:t>
            </w:r>
          </w:p>
        </w:tc>
      </w:tr>
      <w:tr>
        <w:trPr>
          <w:trHeight w:val="142"/>
        </w:trPr>
        <w:tc>
          <w:tcPr>
            <w:tcW w:w="4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stock dividends</w:t>
            </w:r>
          </w:p>
        </w:tc>
        <w:tc>
          <w:tcPr>
            <w:tcW w:w="2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12.9</w:t>
            </w:r>
          </w:p>
        </w:tc>
      </w:tr>
      <w:tr>
        <w:trPr>
          <w:trHeight w:val="146"/>
        </w:trPr>
        <w:tc>
          <w:tcPr>
            <w:tcW w:w="480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1"/>
                <w:szCs w:val="11"/>
                <w:color w:val="auto"/>
              </w:rPr>
              <w:t>Provision for income taxes</w:t>
            </w:r>
            <w:r>
              <w:rPr>
                <w:rFonts w:ascii="Times New Roman" w:cs="Times New Roman" w:eastAsia="Times New Roman" w:hAnsi="Times New Roman"/>
                <w:sz w:val="14"/>
                <w:szCs w:val="14"/>
                <w:color w:val="auto"/>
                <w:vertAlign w:val="superscript"/>
              </w:rPr>
              <w:t>(1)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61.8</w:t>
            </w:r>
          </w:p>
        </w:tc>
      </w:tr>
      <w:tr>
        <w:trPr>
          <w:trHeight w:val="144"/>
        </w:trPr>
        <w:tc>
          <w:tcPr>
            <w:tcW w:w="4800" w:type="dxa"/>
            <w:vAlign w:val="bottom"/>
          </w:tcPr>
          <w:p>
            <w:pPr>
              <w:ind w:left="180"/>
              <w:spacing w:after="0" w:line="144" w:lineRule="exact"/>
              <w:rPr>
                <w:sz w:val="20"/>
                <w:szCs w:val="20"/>
                <w:color w:val="auto"/>
              </w:rPr>
            </w:pPr>
            <w:r>
              <w:rPr>
                <w:rFonts w:ascii="Times New Roman" w:cs="Times New Roman" w:eastAsia="Times New Roman" w:hAnsi="Times New Roman"/>
                <w:sz w:val="11"/>
                <w:szCs w:val="11"/>
                <w:color w:val="auto"/>
              </w:rPr>
              <w:t>Interest expense, net</w:t>
            </w:r>
            <w:r>
              <w:rPr>
                <w:rFonts w:ascii="Times New Roman" w:cs="Times New Roman" w:eastAsia="Times New Roman" w:hAnsi="Times New Roman"/>
                <w:sz w:val="14"/>
                <w:szCs w:val="14"/>
                <w:color w:val="auto"/>
                <w:vertAlign w:val="superscript"/>
              </w:rPr>
              <w:t>(1)</w:t>
            </w:r>
          </w:p>
        </w:tc>
        <w:tc>
          <w:tcPr>
            <w:tcW w:w="2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92.9</w:t>
            </w:r>
          </w:p>
        </w:tc>
      </w:tr>
      <w:tr>
        <w:trPr>
          <w:trHeight w:val="142"/>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48.3</w:t>
            </w:r>
          </w:p>
        </w:tc>
      </w:tr>
      <w:tr>
        <w:trPr>
          <w:trHeight w:val="151"/>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174.6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181.8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145.4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(124.0)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377.8</w:t>
            </w:r>
          </w:p>
        </w:tc>
      </w:tr>
      <w:tr>
        <w:trPr>
          <w:trHeight w:val="14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expense (income), net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w:t>
            </w:r>
          </w:p>
        </w:tc>
      </w:tr>
      <w:tr>
        <w:trPr>
          <w:trHeight w:val="142"/>
        </w:trPr>
        <w:tc>
          <w:tcPr>
            <w:tcW w:w="4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6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w:t>
            </w:r>
          </w:p>
        </w:tc>
      </w:tr>
      <w:tr>
        <w:trPr>
          <w:trHeight w:val="146"/>
        </w:trPr>
        <w:tc>
          <w:tcPr>
            <w:tcW w:w="480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r>
      <w:tr>
        <w:trPr>
          <w:trHeight w:val="144"/>
        </w:trPr>
        <w:tc>
          <w:tcPr>
            <w:tcW w:w="4800" w:type="dxa"/>
            <w:vAlign w:val="bottom"/>
          </w:tcPr>
          <w:p>
            <w:pPr>
              <w:ind w:left="180"/>
              <w:spacing w:after="0" w:line="144" w:lineRule="exact"/>
              <w:rPr>
                <w:sz w:val="20"/>
                <w:szCs w:val="20"/>
                <w:color w:val="auto"/>
              </w:rPr>
            </w:pPr>
            <w:r>
              <w:rPr>
                <w:rFonts w:ascii="Times New Roman" w:cs="Times New Roman" w:eastAsia="Times New Roman" w:hAnsi="Times New Roman"/>
                <w:sz w:val="11"/>
                <w:szCs w:val="11"/>
                <w:color w:val="auto"/>
              </w:rPr>
              <w:t>Cloud computing arrangement amortization</w:t>
            </w:r>
            <w:r>
              <w:rPr>
                <w:rFonts w:ascii="Times New Roman" w:cs="Times New Roman" w:eastAsia="Times New Roman" w:hAnsi="Times New Roman"/>
                <w:sz w:val="14"/>
                <w:szCs w:val="14"/>
                <w:color w:val="auto"/>
                <w:vertAlign w:val="superscript"/>
              </w:rPr>
              <w:t>(3)</w:t>
            </w:r>
          </w:p>
        </w:tc>
        <w:tc>
          <w:tcPr>
            <w:tcW w:w="26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r>
      <w:tr>
        <w:trPr>
          <w:trHeight w:val="144"/>
        </w:trPr>
        <w:tc>
          <w:tcPr>
            <w:tcW w:w="480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0.5</w:t>
            </w:r>
          </w:p>
        </w:tc>
      </w:tr>
      <w:tr>
        <w:trPr>
          <w:trHeight w:val="149"/>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182.9</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198.9</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143.7</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(131.3)</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394.2</w:t>
            </w:r>
          </w:p>
        </w:tc>
      </w:tr>
      <w:tr>
        <w:trPr>
          <w:trHeight w:val="14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Adjusted EBITDA margin %</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6.7 %</w:t>
            </w:r>
          </w:p>
        </w:tc>
      </w:tr>
    </w:tbl>
    <w:p>
      <w:pPr>
        <w:spacing w:after="0" w:line="28" w:lineRule="exact"/>
        <w:rPr>
          <w:sz w:val="20"/>
          <w:szCs w:val="20"/>
          <w:color w:val="auto"/>
        </w:rPr>
      </w:pPr>
    </w:p>
    <w:p>
      <w:pPr>
        <w:ind w:left="120" w:hanging="92"/>
        <w:spacing w:after="0"/>
        <w:tabs>
          <w:tab w:leader="none" w:pos="120" w:val="left"/>
        </w:tabs>
        <w:numPr>
          <w:ilvl w:val="0"/>
          <w:numId w:val="1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The reportable segments do not incur income taxes and interest expense as these costs are centrally controlled through the Corporate tax and treasury functions.</w:t>
      </w:r>
    </w:p>
    <w:p>
      <w:pPr>
        <w:spacing w:after="0" w:line="21" w:lineRule="exact"/>
        <w:rPr>
          <w:rFonts w:ascii="Times New Roman" w:cs="Times New Roman" w:eastAsia="Times New Roman" w:hAnsi="Times New Roman"/>
          <w:sz w:val="11"/>
          <w:szCs w:val="11"/>
          <w:color w:val="auto"/>
          <w:vertAlign w:val="superscript"/>
        </w:rPr>
      </w:pPr>
    </w:p>
    <w:p>
      <w:pPr>
        <w:ind w:left="120" w:hanging="92"/>
        <w:spacing w:after="0" w:line="215" w:lineRule="auto"/>
        <w:tabs>
          <w:tab w:leader="none" w:pos="120" w:val="left"/>
        </w:tabs>
        <w:numPr>
          <w:ilvl w:val="0"/>
          <w:numId w:val="1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Digital transformation costs include costs associated with certain digital transformation initiatives.</w:t>
      </w:r>
    </w:p>
    <w:p>
      <w:pPr>
        <w:spacing w:after="0" w:line="21" w:lineRule="exact"/>
        <w:rPr>
          <w:rFonts w:ascii="Times New Roman" w:cs="Times New Roman" w:eastAsia="Times New Roman" w:hAnsi="Times New Roman"/>
          <w:sz w:val="11"/>
          <w:szCs w:val="11"/>
          <w:color w:val="auto"/>
          <w:vertAlign w:val="superscript"/>
        </w:rPr>
      </w:pPr>
    </w:p>
    <w:p>
      <w:pPr>
        <w:ind w:left="120" w:hanging="92"/>
        <w:spacing w:after="0" w:line="215" w:lineRule="auto"/>
        <w:tabs>
          <w:tab w:leader="none" w:pos="120" w:val="left"/>
        </w:tabs>
        <w:numPr>
          <w:ilvl w:val="0"/>
          <w:numId w:val="1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44" w:lineRule="exact"/>
        <w:rPr>
          <w:rFonts w:ascii="Times New Roman" w:cs="Times New Roman" w:eastAsia="Times New Roman" w:hAnsi="Times New Roman"/>
          <w:sz w:val="11"/>
          <w:szCs w:val="11"/>
          <w:color w:val="auto"/>
          <w:vertAlign w:val="superscript"/>
        </w:rPr>
      </w:pPr>
    </w:p>
    <w:p>
      <w:pPr>
        <w:ind w:left="120" w:hanging="92"/>
        <w:spacing w:after="0"/>
        <w:tabs>
          <w:tab w:leader="none" w:pos="120" w:val="left"/>
        </w:tabs>
        <w:numPr>
          <w:ilvl w:val="0"/>
          <w:numId w:val="1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Restructuring costs include severance costs incurred pursuant to an ongoing restructuring plan.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Three Months Ended June 30, 2024</w:t>
            </w: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7"/>
        </w:trPr>
        <w:tc>
          <w:tcPr>
            <w:tcW w:w="4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EBITDA and Adjusted EBITDA by Segment:</w:t>
            </w:r>
          </w:p>
        </w:tc>
        <w:tc>
          <w:tcPr>
            <w:tcW w:w="240" w:type="dxa"/>
            <w:vAlign w:val="bottom"/>
          </w:tcPr>
          <w:p>
            <w:pPr>
              <w:spacing w:after="0"/>
              <w:rPr>
                <w:sz w:val="11"/>
                <w:szCs w:val="11"/>
                <w:color w:val="auto"/>
              </w:rPr>
            </w:pPr>
          </w:p>
        </w:tc>
        <w:tc>
          <w:tcPr>
            <w:tcW w:w="102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1"/>
                <w:szCs w:val="11"/>
                <w:b w:val="1"/>
                <w:bCs w:val="1"/>
                <w:color w:val="auto"/>
              </w:rPr>
              <w:t>EES</w:t>
            </w:r>
            <w:r>
              <w:rPr>
                <w:rFonts w:ascii="Times New Roman" w:cs="Times New Roman" w:eastAsia="Times New Roman" w:hAnsi="Times New Roman"/>
                <w:sz w:val="14"/>
                <w:szCs w:val="14"/>
                <w:b w:val="1"/>
                <w:bCs w:val="1"/>
                <w:color w:val="auto"/>
                <w:vertAlign w:val="superscript"/>
              </w:rPr>
              <w:t>(1)</w:t>
            </w:r>
          </w:p>
        </w:tc>
        <w:tc>
          <w:tcPr>
            <w:tcW w:w="260" w:type="dxa"/>
            <w:vAlign w:val="bottom"/>
          </w:tcPr>
          <w:p>
            <w:pPr>
              <w:spacing w:after="0"/>
              <w:rPr>
                <w:sz w:val="11"/>
                <w:szCs w:val="11"/>
                <w:color w:val="auto"/>
              </w:rPr>
            </w:pPr>
          </w:p>
        </w:tc>
        <w:tc>
          <w:tcPr>
            <w:tcW w:w="1020" w:type="dxa"/>
            <w:vAlign w:val="bottom"/>
            <w:gridSpan w:val="2"/>
          </w:tcPr>
          <w:p>
            <w:pPr>
              <w:ind w:left="180"/>
              <w:spacing w:after="0" w:line="137" w:lineRule="exact"/>
              <w:rPr>
                <w:sz w:val="20"/>
                <w:szCs w:val="20"/>
                <w:color w:val="auto"/>
              </w:rPr>
            </w:pPr>
            <w:r>
              <w:rPr>
                <w:rFonts w:ascii="Times New Roman" w:cs="Times New Roman" w:eastAsia="Times New Roman" w:hAnsi="Times New Roman"/>
                <w:sz w:val="11"/>
                <w:szCs w:val="11"/>
                <w:b w:val="1"/>
                <w:bCs w:val="1"/>
                <w:color w:val="auto"/>
              </w:rPr>
              <w:t>CSS</w:t>
            </w:r>
            <w:r>
              <w:rPr>
                <w:rFonts w:ascii="Times New Roman" w:cs="Times New Roman" w:eastAsia="Times New Roman" w:hAnsi="Times New Roman"/>
                <w:sz w:val="14"/>
                <w:szCs w:val="14"/>
                <w:b w:val="1"/>
                <w:bCs w:val="1"/>
                <w:color w:val="auto"/>
                <w:vertAlign w:val="superscript"/>
              </w:rPr>
              <w:t>(1)</w:t>
            </w:r>
          </w:p>
        </w:tc>
        <w:tc>
          <w:tcPr>
            <w:tcW w:w="260" w:type="dxa"/>
            <w:vAlign w:val="bottom"/>
          </w:tcPr>
          <w:p>
            <w:pPr>
              <w:spacing w:after="0"/>
              <w:rPr>
                <w:sz w:val="11"/>
                <w:szCs w:val="11"/>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UBS</w:t>
            </w:r>
          </w:p>
        </w:tc>
        <w:tc>
          <w:tcPr>
            <w:tcW w:w="18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60" w:type="dxa"/>
            <w:vAlign w:val="bottom"/>
          </w:tcPr>
          <w:p>
            <w:pPr>
              <w:spacing w:after="0"/>
              <w:rPr>
                <w:sz w:val="11"/>
                <w:szCs w:val="11"/>
                <w:color w:val="auto"/>
              </w:rPr>
            </w:pPr>
          </w:p>
        </w:tc>
        <w:tc>
          <w:tcPr>
            <w:tcW w:w="92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88"/>
        </w:trPr>
        <w:tc>
          <w:tcPr>
            <w:tcW w:w="48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r>
      <w:tr>
        <w:trPr>
          <w:trHeight w:val="14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attributable to common stockholders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174.4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119.2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268.5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(344.4)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217.7</w:t>
            </w:r>
          </w:p>
        </w:tc>
      </w:tr>
      <w:tr>
        <w:trPr>
          <w:trHeight w:val="153"/>
        </w:trPr>
        <w:tc>
          <w:tcPr>
            <w:tcW w:w="4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 (loss) attributable to noncontrolling interests</w:t>
            </w:r>
          </w:p>
        </w:tc>
        <w:tc>
          <w:tcPr>
            <w:tcW w:w="24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0.7</w:t>
            </w:r>
          </w:p>
        </w:tc>
      </w:tr>
      <w:tr>
        <w:trPr>
          <w:trHeight w:val="153"/>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Preferred stock dividends</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14.4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14.4</w:t>
            </w:r>
          </w:p>
        </w:tc>
      </w:tr>
      <w:tr>
        <w:trPr>
          <w:trHeight w:val="153"/>
        </w:trPr>
        <w:tc>
          <w:tcPr>
            <w:tcW w:w="4800" w:type="dxa"/>
            <w:vAlign w:val="bottom"/>
          </w:tcPr>
          <w:p>
            <w:pPr>
              <w:ind w:left="180"/>
              <w:spacing w:after="0" w:line="153" w:lineRule="exact"/>
              <w:rPr>
                <w:sz w:val="20"/>
                <w:szCs w:val="20"/>
                <w:color w:val="auto"/>
              </w:rPr>
            </w:pPr>
            <w:r>
              <w:rPr>
                <w:rFonts w:ascii="Times New Roman" w:cs="Times New Roman" w:eastAsia="Times New Roman" w:hAnsi="Times New Roman"/>
                <w:sz w:val="11"/>
                <w:szCs w:val="11"/>
                <w:color w:val="auto"/>
              </w:rPr>
              <w:t>Provision for income taxes</w:t>
            </w:r>
            <w:r>
              <w:rPr>
                <w:rFonts w:ascii="Times New Roman" w:cs="Times New Roman" w:eastAsia="Times New Roman" w:hAnsi="Times New Roman"/>
                <w:sz w:val="14"/>
                <w:szCs w:val="14"/>
                <w:color w:val="auto"/>
                <w:vertAlign w:val="superscript"/>
              </w:rPr>
              <w:t>(2)</w:t>
            </w:r>
          </w:p>
        </w:tc>
        <w:tc>
          <w:tcPr>
            <w:tcW w:w="2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87.8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87.8</w:t>
            </w:r>
          </w:p>
        </w:tc>
      </w:tr>
      <w:tr>
        <w:trPr>
          <w:trHeight w:val="144"/>
        </w:trPr>
        <w:tc>
          <w:tcPr>
            <w:tcW w:w="480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1"/>
                <w:szCs w:val="11"/>
                <w:color w:val="auto"/>
              </w:rPr>
              <w:t>Interest expense, net</w:t>
            </w:r>
            <w:r>
              <w:rPr>
                <w:rFonts w:ascii="Times New Roman" w:cs="Times New Roman" w:eastAsia="Times New Roman" w:hAnsi="Times New Roman"/>
                <w:sz w:val="14"/>
                <w:szCs w:val="14"/>
                <w:color w:val="auto"/>
                <w:vertAlign w:val="superscript"/>
              </w:rPr>
              <w:t>(2)</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98.8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98.8</w:t>
            </w:r>
          </w:p>
        </w:tc>
      </w:tr>
      <w:tr>
        <w:trPr>
          <w:trHeight w:val="142"/>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46.1</w:t>
            </w:r>
          </w:p>
        </w:tc>
      </w:tr>
      <w:tr>
        <w:trPr>
          <w:trHeight w:val="155"/>
        </w:trPr>
        <w:tc>
          <w:tcPr>
            <w:tcW w:w="4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185.8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138.2</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275.9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(134.4)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465.5</w:t>
            </w:r>
          </w:p>
        </w:tc>
      </w:tr>
      <w:tr>
        <w:trPr>
          <w:trHeight w:val="138"/>
        </w:trPr>
        <w:tc>
          <w:tcPr>
            <w:tcW w:w="4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expense (income), net</w:t>
            </w:r>
          </w:p>
        </w:tc>
        <w:tc>
          <w:tcPr>
            <w:tcW w:w="240" w:type="dxa"/>
            <w:vAlign w:val="bottom"/>
          </w:tcPr>
          <w:p>
            <w:pPr>
              <w:spacing w:after="0"/>
              <w:rPr>
                <w:sz w:val="12"/>
                <w:szCs w:val="12"/>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(103.2)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(95.9)</w:t>
            </w:r>
          </w:p>
        </w:tc>
      </w:tr>
      <w:tr>
        <w:trPr>
          <w:trHeight w:val="14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4800" w:type="dxa"/>
            <w:vAlign w:val="bottom"/>
          </w:tcPr>
          <w:p>
            <w:pPr>
              <w:ind w:left="180"/>
              <w:spacing w:after="0" w:line="144" w:lineRule="exact"/>
              <w:rPr>
                <w:sz w:val="20"/>
                <w:szCs w:val="20"/>
                <w:color w:val="auto"/>
              </w:rPr>
            </w:pPr>
            <w:r>
              <w:rPr>
                <w:rFonts w:ascii="Times New Roman" w:cs="Times New Roman" w:eastAsia="Times New Roman" w:hAnsi="Times New Roman"/>
                <w:sz w:val="11"/>
                <w:szCs w:val="11"/>
                <w:color w:val="auto"/>
              </w:rPr>
              <w:t>Loss on abandonment of assets</w:t>
            </w:r>
            <w:r>
              <w:rPr>
                <w:rFonts w:ascii="Times New Roman" w:cs="Times New Roman" w:eastAsia="Times New Roman" w:hAnsi="Times New Roman"/>
                <w:sz w:val="14"/>
                <w:szCs w:val="14"/>
                <w:color w:val="auto"/>
                <w:vertAlign w:val="superscript"/>
              </w:rPr>
              <w:t>(3)</w:t>
            </w:r>
          </w:p>
        </w:tc>
        <w:tc>
          <w:tcPr>
            <w:tcW w:w="2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17.8</w:t>
            </w:r>
          </w:p>
        </w:tc>
      </w:tr>
      <w:tr>
        <w:trPr>
          <w:trHeight w:val="144"/>
        </w:trPr>
        <w:tc>
          <w:tcPr>
            <w:tcW w:w="480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(4)</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6.1</w:t>
            </w:r>
          </w:p>
        </w:tc>
      </w:tr>
      <w:tr>
        <w:trPr>
          <w:trHeight w:val="144"/>
        </w:trPr>
        <w:tc>
          <w:tcPr>
            <w:tcW w:w="4800" w:type="dxa"/>
            <w:vAlign w:val="bottom"/>
          </w:tcPr>
          <w:p>
            <w:pPr>
              <w:ind w:left="180"/>
              <w:spacing w:after="0" w:line="144" w:lineRule="exact"/>
              <w:rPr>
                <w:sz w:val="20"/>
                <w:szCs w:val="20"/>
                <w:color w:val="auto"/>
              </w:rPr>
            </w:pPr>
            <w:r>
              <w:rPr>
                <w:rFonts w:ascii="Times New Roman" w:cs="Times New Roman" w:eastAsia="Times New Roman" w:hAnsi="Times New Roman"/>
                <w:sz w:val="11"/>
                <w:szCs w:val="11"/>
                <w:color w:val="auto"/>
              </w:rPr>
              <w:t>Cloud computing arrangement amortization</w:t>
            </w:r>
            <w:r>
              <w:rPr>
                <w:rFonts w:ascii="Times New Roman" w:cs="Times New Roman" w:eastAsia="Times New Roman" w:hAnsi="Times New Roman"/>
                <w:sz w:val="14"/>
                <w:szCs w:val="14"/>
                <w:color w:val="auto"/>
                <w:vertAlign w:val="superscript"/>
              </w:rPr>
              <w:t>(5)</w:t>
            </w:r>
          </w:p>
        </w:tc>
        <w:tc>
          <w:tcPr>
            <w:tcW w:w="2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3.0</w:t>
            </w:r>
          </w:p>
        </w:tc>
      </w:tr>
      <w:tr>
        <w:trPr>
          <w:trHeight w:val="144"/>
        </w:trPr>
        <w:tc>
          <w:tcPr>
            <w:tcW w:w="480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(6)</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0.9</w:t>
            </w:r>
          </w:p>
        </w:tc>
      </w:tr>
      <w:tr>
        <w:trPr>
          <w:trHeight w:val="149"/>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190.2</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155.5</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173.5</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(119.1)</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400.1</w:t>
            </w:r>
          </w:p>
        </w:tc>
      </w:tr>
      <w:tr>
        <w:trPr>
          <w:trHeight w:val="14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Adjusted EBITDA margin %</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12.0 %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7.3 %</w:t>
            </w:r>
          </w:p>
        </w:tc>
      </w:tr>
    </w:tbl>
    <w:p>
      <w:pPr>
        <w:spacing w:after="0" w:line="31" w:lineRule="exact"/>
        <w:rPr>
          <w:sz w:val="20"/>
          <w:szCs w:val="20"/>
          <w:color w:val="auto"/>
        </w:rPr>
      </w:pPr>
    </w:p>
    <w:p>
      <w:pPr>
        <w:ind w:left="200" w:right="20" w:hanging="172"/>
        <w:spacing w:after="0" w:line="211" w:lineRule="auto"/>
        <w:tabs>
          <w:tab w:leader="none" w:pos="135"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 the first quarter of 2025, a portion of the EES reportable segment was moved to the CSS reportable segment as a result of operational realignment. As a result, the reportable segment financial information for the three months ended June 30, 2024 has been recast to conform to the current year presentation. The recast does not impact previously reported condensed consolidated results.</w:t>
      </w:r>
    </w:p>
    <w:p>
      <w:pPr>
        <w:spacing w:after="0" w:line="35" w:lineRule="exact"/>
        <w:rPr>
          <w:rFonts w:ascii="Times New Roman" w:cs="Times New Roman" w:eastAsia="Times New Roman" w:hAnsi="Times New Roman"/>
          <w:sz w:val="12"/>
          <w:szCs w:val="12"/>
          <w:color w:val="auto"/>
          <w:vertAlign w:val="superscript"/>
        </w:rPr>
      </w:pPr>
    </w:p>
    <w:p>
      <w:pPr>
        <w:ind w:left="120" w:hanging="92"/>
        <w:spacing w:after="0"/>
        <w:tabs>
          <w:tab w:leader="none" w:pos="120" w:val="left"/>
        </w:tabs>
        <w:numPr>
          <w:ilvl w:val="0"/>
          <w:numId w:val="1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The reportable segments do not incur income taxes and interest expense as these costs are centrally controlled through the Corporate tax and treasury functions.</w:t>
      </w:r>
    </w:p>
    <w:p>
      <w:pPr>
        <w:spacing w:after="0" w:line="47" w:lineRule="exact"/>
        <w:rPr>
          <w:rFonts w:ascii="Times New Roman" w:cs="Times New Roman" w:eastAsia="Times New Roman" w:hAnsi="Times New Roman"/>
          <w:sz w:val="11"/>
          <w:szCs w:val="11"/>
          <w:color w:val="auto"/>
          <w:vertAlign w:val="superscript"/>
        </w:rPr>
      </w:pPr>
    </w:p>
    <w:p>
      <w:pPr>
        <w:ind w:left="200" w:right="20" w:hanging="172"/>
        <w:spacing w:after="0" w:line="211" w:lineRule="auto"/>
        <w:tabs>
          <w:tab w:leader="none" w:pos="135"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35" w:lineRule="exact"/>
        <w:rPr>
          <w:rFonts w:ascii="Times New Roman" w:cs="Times New Roman" w:eastAsia="Times New Roman" w:hAnsi="Times New Roman"/>
          <w:sz w:val="12"/>
          <w:szCs w:val="12"/>
          <w:color w:val="auto"/>
          <w:vertAlign w:val="superscript"/>
        </w:rPr>
      </w:pPr>
    </w:p>
    <w:p>
      <w:pPr>
        <w:ind w:left="120" w:hanging="92"/>
        <w:spacing w:after="0"/>
        <w:tabs>
          <w:tab w:leader="none" w:pos="120" w:val="left"/>
        </w:tabs>
        <w:numPr>
          <w:ilvl w:val="0"/>
          <w:numId w:val="1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Digital transformation costs include costs associated with certain digital transformation initiatives.</w:t>
      </w:r>
    </w:p>
    <w:p>
      <w:pPr>
        <w:spacing w:after="0" w:line="44" w:lineRule="exact"/>
        <w:rPr>
          <w:rFonts w:ascii="Times New Roman" w:cs="Times New Roman" w:eastAsia="Times New Roman" w:hAnsi="Times New Roman"/>
          <w:sz w:val="11"/>
          <w:szCs w:val="11"/>
          <w:color w:val="auto"/>
          <w:vertAlign w:val="superscript"/>
        </w:rPr>
      </w:pPr>
    </w:p>
    <w:p>
      <w:pPr>
        <w:ind w:left="120" w:hanging="92"/>
        <w:spacing w:after="0"/>
        <w:tabs>
          <w:tab w:leader="none" w:pos="120" w:val="left"/>
        </w:tabs>
        <w:numPr>
          <w:ilvl w:val="0"/>
          <w:numId w:val="1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44" w:lineRule="exact"/>
        <w:rPr>
          <w:rFonts w:ascii="Times New Roman" w:cs="Times New Roman" w:eastAsia="Times New Roman" w:hAnsi="Times New Roman"/>
          <w:sz w:val="11"/>
          <w:szCs w:val="11"/>
          <w:color w:val="auto"/>
          <w:vertAlign w:val="superscript"/>
        </w:rPr>
      </w:pPr>
    </w:p>
    <w:p>
      <w:pPr>
        <w:ind w:left="120" w:hanging="92"/>
        <w:spacing w:after="0"/>
        <w:tabs>
          <w:tab w:leader="none" w:pos="120" w:val="left"/>
        </w:tabs>
        <w:numPr>
          <w:ilvl w:val="0"/>
          <w:numId w:val="1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Restructuring costs include severance costs incurred pursuant to an ongoing restructuring plan.</w:t>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980"/>
          </w:cols>
          <w:pgMar w:left="460" w:top="128" w:right="45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EBITDA and Adjusted EBITDA by Segment:</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Net income attributable to common stockholders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Net (loss) income attributable to noncontrolling interests</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Preferred stock dividends</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Provision for income taxes</w:t>
      </w:r>
      <w:r>
        <w:rPr>
          <w:rFonts w:ascii="Times New Roman" w:cs="Times New Roman" w:eastAsia="Times New Roman" w:hAnsi="Times New Roman"/>
          <w:sz w:val="14"/>
          <w:szCs w:val="14"/>
          <w:color w:val="auto"/>
          <w:vertAlign w:val="superscript"/>
        </w:rPr>
        <w:t>(1)</w:t>
      </w:r>
    </w:p>
    <w:p>
      <w:pPr>
        <w:ind w:left="340"/>
        <w:spacing w:after="0" w:line="218" w:lineRule="auto"/>
        <w:rPr>
          <w:sz w:val="20"/>
          <w:szCs w:val="20"/>
          <w:color w:val="auto"/>
        </w:rPr>
      </w:pPr>
      <w:r>
        <w:rPr>
          <w:rFonts w:ascii="Times New Roman" w:cs="Times New Roman" w:eastAsia="Times New Roman" w:hAnsi="Times New Roman"/>
          <w:sz w:val="11"/>
          <w:szCs w:val="11"/>
          <w:color w:val="auto"/>
        </w:rPr>
        <w:t>Interest expense, net</w:t>
      </w:r>
      <w:r>
        <w:rPr>
          <w:rFonts w:ascii="Times New Roman" w:cs="Times New Roman" w:eastAsia="Times New Roman" w:hAnsi="Times New Roman"/>
          <w:sz w:val="14"/>
          <w:szCs w:val="14"/>
          <w:color w:val="auto"/>
          <w:vertAlign w:val="superscript"/>
        </w:rPr>
        <w:t>(1)</w:t>
      </w:r>
    </w:p>
    <w:p>
      <w:pPr>
        <w:ind w:left="340"/>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1"/>
          <w:szCs w:val="11"/>
          <w:b w:val="1"/>
          <w:bCs w:val="1"/>
          <w:color w:val="auto"/>
        </w:rPr>
        <w:t>EBITDA</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Other expense (income),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Stock-based compensation expense</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(2)</w:t>
      </w:r>
    </w:p>
    <w:p>
      <w:pPr>
        <w:ind w:left="340"/>
        <w:spacing w:after="0" w:line="214" w:lineRule="auto"/>
        <w:rPr>
          <w:sz w:val="20"/>
          <w:szCs w:val="20"/>
          <w:color w:val="auto"/>
        </w:rPr>
      </w:pPr>
      <w:r>
        <w:rPr>
          <w:rFonts w:ascii="Times New Roman" w:cs="Times New Roman" w:eastAsia="Times New Roman" w:hAnsi="Times New Roman"/>
          <w:sz w:val="11"/>
          <w:szCs w:val="11"/>
          <w:color w:val="auto"/>
        </w:rPr>
        <w:t>Cloud computing arrangement amortization</w:t>
      </w:r>
      <w:r>
        <w:rPr>
          <w:rFonts w:ascii="Times New Roman" w:cs="Times New Roman" w:eastAsia="Times New Roman" w:hAnsi="Times New Roman"/>
          <w:sz w:val="14"/>
          <w:szCs w:val="14"/>
          <w:color w:val="auto"/>
          <w:vertAlign w:val="superscript"/>
        </w:rPr>
        <w:t>(3)</w:t>
      </w:r>
    </w:p>
    <w:p>
      <w:pPr>
        <w:ind w:left="340"/>
        <w:spacing w:after="0"/>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(4)</w:t>
      </w:r>
    </w:p>
    <w:p>
      <w:pPr>
        <w:spacing w:after="0" w:line="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1"/>
          <w:szCs w:val="11"/>
          <w:b w:val="1"/>
          <w:bCs w:val="1"/>
          <w:color w:val="auto"/>
        </w:rPr>
        <w:t>Adjusted EBITDA</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1"/>
          <w:szCs w:val="11"/>
          <w:b w:val="1"/>
          <w:bCs w:val="1"/>
          <w:color w:val="auto"/>
        </w:rPr>
        <w:t>Adjusted EBITDA margin %</w:t>
      </w:r>
    </w:p>
    <w:p>
      <w:pPr>
        <w:spacing w:after="0" w:line="20" w:lineRule="exact"/>
        <w:rPr>
          <w:sz w:val="20"/>
          <w:szCs w:val="20"/>
          <w:color w:val="auto"/>
        </w:rPr>
      </w:pPr>
      <w:r>
        <w:rPr>
          <w:sz w:val="20"/>
          <w:szCs w:val="20"/>
          <w:color w:val="auto"/>
        </w:rPr>
        <w:br w:type="column"/>
      </w:r>
    </w:p>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1"/>
          <w:szCs w:val="11"/>
          <w:b w:val="1"/>
          <w:bCs w:val="1"/>
          <w:color w:val="auto"/>
        </w:rPr>
        <w:t>RECONCILIATION OF NON-GAAP FINANCIAL MEASURES</w:t>
      </w:r>
    </w:p>
    <w:p>
      <w:pPr>
        <w:spacing w:after="0" w:line="16"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p>
      <w:pPr>
        <w:spacing w:after="0" w:line="16" w:lineRule="exact"/>
        <w:rPr>
          <w:sz w:val="20"/>
          <w:szCs w:val="20"/>
          <w:color w:val="auto"/>
        </w:rPr>
      </w:pPr>
    </w:p>
    <w:tbl>
      <w:tblPr>
        <w:tblLayout w:type="fixed"/>
        <w:tblInd w:w="1000" w:type="dxa"/>
        <w:tblCellMar>
          <w:top w:w="0" w:type="dxa"/>
          <w:left w:w="0" w:type="dxa"/>
          <w:bottom w:w="0" w:type="dxa"/>
          <w:right w:w="0" w:type="dxa"/>
        </w:tblCellMar>
      </w:tblPr>
      <w:tr>
        <w:trPr>
          <w:trHeight w:val="137"/>
        </w:trPr>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EES</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CSS</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UBS</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0"/>
        </w:trPr>
        <w:tc>
          <w:tcPr>
            <w:tcW w:w="28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125.1</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127.2</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130.3</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(278.6)</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104.0</w:t>
            </w:r>
          </w:p>
        </w:tc>
      </w:tr>
      <w:tr>
        <w:trPr>
          <w:trHeight w:val="144"/>
        </w:trPr>
        <w:tc>
          <w:tcPr>
            <w:tcW w:w="28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w:t>
            </w:r>
          </w:p>
        </w:tc>
      </w:tr>
      <w:tr>
        <w:trPr>
          <w:trHeight w:val="144"/>
        </w:trPr>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14.4</w:t>
            </w:r>
          </w:p>
        </w:tc>
      </w:tr>
      <w:tr>
        <w:trPr>
          <w:trHeight w:val="144"/>
        </w:trPr>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36.1</w:t>
            </w:r>
          </w:p>
        </w:tc>
      </w:tr>
      <w:tr>
        <w:trPr>
          <w:trHeight w:val="144"/>
        </w:trPr>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86.3</w:t>
            </w:r>
          </w:p>
        </w:tc>
      </w:tr>
      <w:tr>
        <w:trPr>
          <w:trHeight w:val="146"/>
        </w:trPr>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48.4</w:t>
            </w:r>
          </w:p>
        </w:tc>
      </w:tr>
      <w:tr>
        <w:trPr>
          <w:trHeight w:val="134"/>
        </w:trPr>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137.2</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146.3</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138.1</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(132.5)</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289.1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7"/>
        </w:trPr>
        <w:tc>
          <w:tcPr>
            <w:tcW w:w="280" w:type="dxa"/>
            <w:vAlign w:val="bottom"/>
          </w:tcPr>
          <w:p>
            <w:pPr>
              <w:spacing w:after="0"/>
              <w:rPr>
                <w:sz w:val="10"/>
                <w:szCs w:val="10"/>
                <w:color w:val="auto"/>
              </w:rPr>
            </w:pPr>
          </w:p>
        </w:tc>
        <w:tc>
          <w:tcPr>
            <w:tcW w:w="900" w:type="dxa"/>
            <w:vAlign w:val="bottom"/>
          </w:tcPr>
          <w:p>
            <w:pPr>
              <w:jc w:val="right"/>
              <w:ind w:right="26"/>
              <w:spacing w:after="0" w:line="118"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ind w:right="46"/>
              <w:spacing w:after="0" w:line="118" w:lineRule="exact"/>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ind w:right="26"/>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46"/>
              <w:spacing w:after="0" w:line="118" w:lineRule="exact"/>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ind w:right="46"/>
              <w:spacing w:after="0" w:line="118" w:lineRule="exact"/>
              <w:rPr>
                <w:sz w:val="20"/>
                <w:szCs w:val="20"/>
                <w:color w:val="auto"/>
              </w:rPr>
            </w:pPr>
            <w:r>
              <w:rPr>
                <w:rFonts w:ascii="Times New Roman" w:cs="Times New Roman" w:eastAsia="Times New Roman" w:hAnsi="Times New Roman"/>
                <w:sz w:val="11"/>
                <w:szCs w:val="11"/>
                <w:color w:val="auto"/>
              </w:rPr>
              <w:t>0.2</w:t>
            </w:r>
          </w:p>
        </w:tc>
      </w:tr>
      <w:tr>
        <w:trPr>
          <w:trHeight w:val="144"/>
        </w:trPr>
        <w:tc>
          <w:tcPr>
            <w:tcW w:w="28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10.2</w:t>
            </w:r>
          </w:p>
        </w:tc>
      </w:tr>
      <w:tr>
        <w:trPr>
          <w:trHeight w:val="144"/>
        </w:trPr>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6.2</w:t>
            </w:r>
          </w:p>
        </w:tc>
      </w:tr>
      <w:tr>
        <w:trPr>
          <w:trHeight w:val="144"/>
        </w:trPr>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r>
      <w:tr>
        <w:trPr>
          <w:trHeight w:val="146"/>
        </w:trPr>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r>
      <w:tr>
        <w:trPr>
          <w:trHeight w:val="134"/>
        </w:trPr>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142.6</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158.5</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138.3</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(128.7)</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310.7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9"/>
        </w:trPr>
        <w:tc>
          <w:tcPr>
            <w:tcW w:w="28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6.9 %</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7.9 %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10.8 %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-1335405</wp:posOffset>
            </wp:positionV>
            <wp:extent cx="6966585"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6585" cy="9144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-1152525</wp:posOffset>
            </wp:positionV>
            <wp:extent cx="6966585"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6585" cy="9144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-969645</wp:posOffset>
            </wp:positionV>
            <wp:extent cx="6966585"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6585" cy="9144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-786765</wp:posOffset>
            </wp:positionV>
            <wp:extent cx="6966585" cy="108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6585" cy="108585"/>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-575310</wp:posOffset>
            </wp:positionV>
            <wp:extent cx="696658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6585" cy="9144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-392430</wp:posOffset>
            </wp:positionV>
            <wp:extent cx="696658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6585" cy="9144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-209550</wp:posOffset>
            </wp:positionV>
            <wp:extent cx="6966585" cy="108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6585" cy="10858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240" w:space="720"/>
            <w:col w:w="7340"/>
          </w:cols>
          <w:pgMar w:left="300" w:top="128" w:right="299" w:bottom="1440" w:gutter="0" w:footer="0" w:header="0"/>
        </w:sectPr>
      </w:pPr>
    </w:p>
    <w:p>
      <w:pPr>
        <w:ind w:left="280" w:hanging="92"/>
        <w:spacing w:after="0"/>
        <w:tabs>
          <w:tab w:leader="none" w:pos="280" w:val="left"/>
        </w:tabs>
        <w:numPr>
          <w:ilvl w:val="0"/>
          <w:numId w:val="1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The reportable segments do not incur income taxes and interest expense as these costs are centrally controlled through the Corporate tax and treasury functions.</w:t>
      </w:r>
    </w:p>
    <w:p>
      <w:pPr>
        <w:spacing w:after="0" w:line="21" w:lineRule="exact"/>
        <w:rPr>
          <w:rFonts w:ascii="Times New Roman" w:cs="Times New Roman" w:eastAsia="Times New Roman" w:hAnsi="Times New Roman"/>
          <w:sz w:val="11"/>
          <w:szCs w:val="11"/>
          <w:color w:val="auto"/>
          <w:vertAlign w:val="superscript"/>
        </w:rPr>
      </w:pPr>
    </w:p>
    <w:p>
      <w:pPr>
        <w:ind w:left="280" w:hanging="92"/>
        <w:spacing w:after="0" w:line="215" w:lineRule="auto"/>
        <w:tabs>
          <w:tab w:leader="none" w:pos="280" w:val="left"/>
        </w:tabs>
        <w:numPr>
          <w:ilvl w:val="0"/>
          <w:numId w:val="1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Digital transformation costs include costs associated with certain digital transformation initiatives.</w:t>
      </w:r>
    </w:p>
    <w:p>
      <w:pPr>
        <w:spacing w:after="0" w:line="21" w:lineRule="exact"/>
        <w:rPr>
          <w:rFonts w:ascii="Times New Roman" w:cs="Times New Roman" w:eastAsia="Times New Roman" w:hAnsi="Times New Roman"/>
          <w:sz w:val="11"/>
          <w:szCs w:val="11"/>
          <w:color w:val="auto"/>
          <w:vertAlign w:val="superscript"/>
        </w:rPr>
      </w:pPr>
    </w:p>
    <w:p>
      <w:pPr>
        <w:ind w:left="280" w:hanging="92"/>
        <w:spacing w:after="0" w:line="215" w:lineRule="auto"/>
        <w:tabs>
          <w:tab w:leader="none" w:pos="280" w:val="left"/>
        </w:tabs>
        <w:numPr>
          <w:ilvl w:val="0"/>
          <w:numId w:val="1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44" w:lineRule="exact"/>
        <w:rPr>
          <w:rFonts w:ascii="Times New Roman" w:cs="Times New Roman" w:eastAsia="Times New Roman" w:hAnsi="Times New Roman"/>
          <w:sz w:val="11"/>
          <w:szCs w:val="11"/>
          <w:color w:val="auto"/>
          <w:vertAlign w:val="superscript"/>
        </w:rPr>
      </w:pPr>
    </w:p>
    <w:p>
      <w:pPr>
        <w:ind w:left="280" w:hanging="92"/>
        <w:spacing w:after="0"/>
        <w:tabs>
          <w:tab w:leader="none" w:pos="280" w:val="left"/>
        </w:tabs>
        <w:numPr>
          <w:ilvl w:val="0"/>
          <w:numId w:val="1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Restructuring costs include severance costs incurred pursuant to an ongoing restructuring plan.</w:t>
      </w:r>
    </w:p>
    <w:p>
      <w:pPr>
        <w:spacing w:after="0" w:line="13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1"/>
          <w:szCs w:val="11"/>
          <w:color w:val="auto"/>
        </w:rPr>
        <w:t>Note: EBITDA, Adjusted EBITDA and Adjusted EBITDA margin % are non-GAAP financial measures that provide indicators of the Company's performance and its ability to meet debt service requirements. For the three months ended June 30, 2025, Adjusted EBITDA is defined as earnings before interest, taxes, depreciation and amortization before other non-operating expenses (income), non-cash stock-based compensation expense, digital transformation costs, cloud computing arrangement amortization, and restructuring costs. For the three months ended June 30, 2024, Adjusted EBITDA is defined as earnings before interest, taxes, depreciation and amortization before other non-operating expenses (income), non-cash stock-based compensation expense, loss on the abandonment of assets, digital transformation costs, cloud computing arrangement amortization, and restructuring. For the three months ended March 31, 2025, Adjusted EBITDA is defined as earnings before interest, taxes, depreciation and amortization before other non-operating expenses (income), non-cash stock-based compensation expense, digital transformation costs, cloud computing arrangement amortization, and restructuring costs. Adjusted EBITDA margin % is calculated by dividing Adjusted EBITDA by net sales.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128" w:right="299" w:bottom="1440" w:gutter="0" w:footer="0" w:header="0"/>
          <w:type w:val="continuous"/>
        </w:sectPr>
      </w:pPr>
    </w:p>
    <w:bookmarkStart w:id="19" w:name="page20"/>
    <w:bookmarkEnd w:id="19"/>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8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w w:val="97"/>
              </w:rPr>
              <w:t>Six Months Ended June 30, 2025</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30"/>
        </w:trPr>
        <w:tc>
          <w:tcPr>
            <w:tcW w:w="4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EBITDA and Adjusted EBITDA by Segment:</w:t>
            </w:r>
          </w:p>
        </w:tc>
        <w:tc>
          <w:tcPr>
            <w:tcW w:w="280" w:type="dxa"/>
            <w:vAlign w:val="bottom"/>
          </w:tcPr>
          <w:p>
            <w:pPr>
              <w:spacing w:after="0"/>
              <w:rPr>
                <w:sz w:val="11"/>
                <w:szCs w:val="11"/>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EES</w:t>
            </w:r>
          </w:p>
        </w:tc>
        <w:tc>
          <w:tcPr>
            <w:tcW w:w="280" w:type="dxa"/>
            <w:vAlign w:val="bottom"/>
          </w:tcPr>
          <w:p>
            <w:pPr>
              <w:spacing w:after="0"/>
              <w:rPr>
                <w:sz w:val="11"/>
                <w:szCs w:val="11"/>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CSS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UBS</w:t>
            </w:r>
          </w:p>
        </w:tc>
        <w:tc>
          <w:tcPr>
            <w:tcW w:w="20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260" w:type="dxa"/>
            <w:vAlign w:val="bottom"/>
          </w:tcPr>
          <w:p>
            <w:pPr>
              <w:spacing w:after="0"/>
              <w:rPr>
                <w:sz w:val="11"/>
                <w:szCs w:val="11"/>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93"/>
        </w:trPr>
        <w:tc>
          <w:tcPr>
            <w:tcW w:w="48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r>
      <w:tr>
        <w:trPr>
          <w:trHeight w:val="135"/>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Net income attributable to common stockholders</w:t>
            </w:r>
          </w:p>
        </w:tc>
        <w:tc>
          <w:tcPr>
            <w:tcW w:w="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287.2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289.3</w:t>
            </w:r>
          </w:p>
        </w:tc>
        <w:tc>
          <w:tcPr>
            <w:tcW w:w="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268.1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(551.4)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293.2</w:t>
            </w:r>
          </w:p>
        </w:tc>
      </w:tr>
      <w:tr>
        <w:trPr>
          <w:trHeight w:val="129"/>
        </w:trPr>
        <w:tc>
          <w:tcPr>
            <w:tcW w:w="48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Net income (loss) attributable to noncontrolling interests</w:t>
            </w: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0.2</w:t>
            </w:r>
          </w:p>
        </w:tc>
      </w:tr>
      <w:tr>
        <w:trPr>
          <w:trHeight w:val="141"/>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Gain on redemption of Series A Preferred Stock</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(27.6)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(27.6)</w:t>
            </w:r>
          </w:p>
        </w:tc>
      </w:tr>
      <w:tr>
        <w:trPr>
          <w:trHeight w:val="129"/>
        </w:trPr>
        <w:tc>
          <w:tcPr>
            <w:tcW w:w="48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Preferred stock dividends</w:t>
            </w: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27.3</w:t>
            </w:r>
          </w:p>
        </w:tc>
      </w:tr>
      <w:tr>
        <w:trPr>
          <w:trHeight w:val="141"/>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Provision for income taxes</w:t>
            </w:r>
            <w:r>
              <w:rPr>
                <w:rFonts w:ascii="Times New Roman" w:cs="Times New Roman" w:eastAsia="Times New Roman" w:hAnsi="Times New Roman"/>
                <w:sz w:val="12"/>
                <w:szCs w:val="12"/>
                <w:color w:val="auto"/>
                <w:vertAlign w:val="superscript"/>
              </w:rPr>
              <w:t>(1)</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97.9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97.9</w:t>
            </w:r>
          </w:p>
        </w:tc>
      </w:tr>
      <w:tr>
        <w:trPr>
          <w:trHeight w:val="135"/>
        </w:trPr>
        <w:tc>
          <w:tcPr>
            <w:tcW w:w="4820" w:type="dxa"/>
            <w:vAlign w:val="bottom"/>
          </w:tcPr>
          <w:p>
            <w:pPr>
              <w:ind w:left="160"/>
              <w:spacing w:after="0" w:line="135" w:lineRule="exact"/>
              <w:rPr>
                <w:sz w:val="20"/>
                <w:szCs w:val="20"/>
                <w:color w:val="auto"/>
              </w:rPr>
            </w:pPr>
            <w:r>
              <w:rPr>
                <w:rFonts w:ascii="Times New Roman" w:cs="Times New Roman" w:eastAsia="Times New Roman" w:hAnsi="Times New Roman"/>
                <w:sz w:val="10"/>
                <w:szCs w:val="10"/>
                <w:color w:val="auto"/>
              </w:rPr>
              <w:t>Interest expense, net</w:t>
            </w:r>
            <w:r>
              <w:rPr>
                <w:rFonts w:ascii="Times New Roman" w:cs="Times New Roman" w:eastAsia="Times New Roman" w:hAnsi="Times New Roman"/>
                <w:sz w:val="12"/>
                <w:szCs w:val="12"/>
                <w:color w:val="auto"/>
                <w:vertAlign w:val="superscript"/>
              </w:rPr>
              <w:t>(1)</w:t>
            </w: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179.2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179.2</w:t>
            </w:r>
          </w:p>
        </w:tc>
      </w:tr>
      <w:tr>
        <w:trPr>
          <w:trHeight w:val="135"/>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24.6</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38.1</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18.6</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96.7</w:t>
            </w:r>
          </w:p>
        </w:tc>
      </w:tr>
      <w:tr>
        <w:trPr>
          <w:trHeight w:val="140"/>
        </w:trPr>
        <w:tc>
          <w:tcPr>
            <w:tcW w:w="4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0"/>
                <w:szCs w:val="10"/>
                <w:b w:val="1"/>
                <w:bCs w:val="1"/>
                <w:color w:val="auto"/>
              </w:rPr>
              <w:t>EBITDA</w:t>
            </w:r>
          </w:p>
        </w:tc>
        <w:tc>
          <w:tcPr>
            <w:tcW w:w="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311.8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328.1</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283.5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(256.5)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666.9</w:t>
            </w:r>
          </w:p>
        </w:tc>
      </w:tr>
      <w:tr>
        <w:trPr>
          <w:trHeight w:val="135"/>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Other expense (income), net</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11.7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(43.0)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(7.1)</w:t>
            </w:r>
          </w:p>
        </w:tc>
      </w:tr>
      <w:tr>
        <w:trPr>
          <w:trHeight w:val="129"/>
        </w:trPr>
        <w:tc>
          <w:tcPr>
            <w:tcW w:w="48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280" w:type="dxa"/>
            <w:vAlign w:val="bottom"/>
          </w:tcPr>
          <w:p>
            <w:pPr>
              <w:spacing w:after="0"/>
              <w:rPr>
                <w:sz w:val="11"/>
                <w:szCs w:val="1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18.6</w:t>
            </w:r>
          </w:p>
        </w:tc>
      </w:tr>
      <w:tr>
        <w:trPr>
          <w:trHeight w:val="141"/>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Digital transformation costs</w:t>
            </w:r>
            <w:r>
              <w:rPr>
                <w:rFonts w:ascii="Times New Roman" w:cs="Times New Roman" w:eastAsia="Times New Roman" w:hAnsi="Times New Roman"/>
                <w:sz w:val="12"/>
                <w:szCs w:val="12"/>
                <w:color w:val="auto"/>
                <w:vertAlign w:val="superscript"/>
              </w:rPr>
              <w:t>(2)</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13.8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13.8</w:t>
            </w:r>
          </w:p>
        </w:tc>
      </w:tr>
      <w:tr>
        <w:trPr>
          <w:trHeight w:val="135"/>
        </w:trPr>
        <w:tc>
          <w:tcPr>
            <w:tcW w:w="4820" w:type="dxa"/>
            <w:vAlign w:val="bottom"/>
          </w:tcPr>
          <w:p>
            <w:pPr>
              <w:ind w:left="160"/>
              <w:spacing w:after="0" w:line="135" w:lineRule="exact"/>
              <w:rPr>
                <w:sz w:val="20"/>
                <w:szCs w:val="20"/>
                <w:color w:val="auto"/>
              </w:rPr>
            </w:pPr>
            <w:r>
              <w:rPr>
                <w:rFonts w:ascii="Times New Roman" w:cs="Times New Roman" w:eastAsia="Times New Roman" w:hAnsi="Times New Roman"/>
                <w:sz w:val="10"/>
                <w:szCs w:val="10"/>
                <w:color w:val="auto"/>
              </w:rPr>
              <w:t>Cloud computing arrangement amortization</w:t>
            </w:r>
            <w:r>
              <w:rPr>
                <w:rFonts w:ascii="Times New Roman" w:cs="Times New Roman" w:eastAsia="Times New Roman" w:hAnsi="Times New Roman"/>
                <w:sz w:val="12"/>
                <w:szCs w:val="12"/>
                <w:color w:val="auto"/>
                <w:vertAlign w:val="superscript"/>
              </w:rPr>
              <w:t>(3)</w:t>
            </w: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w:t>
            </w:r>
          </w:p>
        </w:tc>
      </w:tr>
      <w:tr>
        <w:trPr>
          <w:trHeight w:val="135"/>
        </w:trPr>
        <w:tc>
          <w:tcPr>
            <w:tcW w:w="48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0"/>
                <w:szCs w:val="10"/>
                <w:color w:val="auto"/>
              </w:rPr>
              <w:t>Restructuring costs</w:t>
            </w:r>
            <w:r>
              <w:rPr>
                <w:rFonts w:ascii="Times New Roman" w:cs="Times New Roman" w:eastAsia="Times New Roman" w:hAnsi="Times New Roman"/>
                <w:sz w:val="12"/>
                <w:szCs w:val="12"/>
                <w:color w:val="auto"/>
                <w:vertAlign w:val="superscript"/>
              </w:rPr>
              <w:t>(5)</w:t>
            </w: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1.6</w:t>
            </w:r>
          </w:p>
        </w:tc>
      </w:tr>
      <w:tr>
        <w:trPr>
          <w:trHeight w:val="140"/>
        </w:trPr>
        <w:tc>
          <w:tcPr>
            <w:tcW w:w="4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0"/>
                <w:szCs w:val="10"/>
                <w:b w:val="1"/>
                <w:bCs w:val="1"/>
                <w:color w:val="auto"/>
              </w:rPr>
              <w:t>Adjusted EBITDA</w:t>
            </w: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325.5</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357.4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282.0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(260.0)</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704.9</w:t>
            </w:r>
          </w:p>
        </w:tc>
      </w:tr>
      <w:tr>
        <w:trPr>
          <w:trHeight w:val="135"/>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Adjusted EBITDA margin %</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7.5 %</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8.4 %</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10.6 %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6.3 %</w:t>
            </w:r>
          </w:p>
        </w:tc>
      </w:tr>
    </w:tbl>
    <w:p>
      <w:pPr>
        <w:spacing w:after="0" w:line="16" w:lineRule="exact"/>
        <w:rPr>
          <w:sz w:val="20"/>
          <w:szCs w:val="20"/>
          <w:color w:val="auto"/>
        </w:rPr>
      </w:pPr>
    </w:p>
    <w:p>
      <w:pPr>
        <w:ind w:left="120" w:hanging="98"/>
        <w:spacing w:after="0"/>
        <w:tabs>
          <w:tab w:leader="none" w:pos="12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reportable segments do not incur income taxes and interest expense as these costs are centrally controlled through the Corporate tax and treasury functions.</w:t>
      </w:r>
    </w:p>
    <w:p>
      <w:pPr>
        <w:spacing w:after="0" w:line="21" w:lineRule="exact"/>
        <w:rPr>
          <w:rFonts w:ascii="Times New Roman" w:cs="Times New Roman" w:eastAsia="Times New Roman" w:hAnsi="Times New Roman"/>
          <w:sz w:val="12"/>
          <w:szCs w:val="12"/>
          <w:color w:val="auto"/>
          <w:vertAlign w:val="superscript"/>
        </w:rPr>
      </w:pPr>
    </w:p>
    <w:p>
      <w:pPr>
        <w:ind w:left="120" w:hanging="98"/>
        <w:spacing w:after="0" w:line="197" w:lineRule="auto"/>
        <w:tabs>
          <w:tab w:leader="none" w:pos="12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Digital transformation costs include costs associated with certain digital transformation initiatives.</w:t>
      </w:r>
    </w:p>
    <w:p>
      <w:pPr>
        <w:spacing w:after="0" w:line="21" w:lineRule="exact"/>
        <w:rPr>
          <w:rFonts w:ascii="Times New Roman" w:cs="Times New Roman" w:eastAsia="Times New Roman" w:hAnsi="Times New Roman"/>
          <w:sz w:val="12"/>
          <w:szCs w:val="12"/>
          <w:color w:val="auto"/>
          <w:vertAlign w:val="superscript"/>
        </w:rPr>
      </w:pPr>
    </w:p>
    <w:p>
      <w:pPr>
        <w:ind w:left="120" w:hanging="98"/>
        <w:spacing w:after="0" w:line="197" w:lineRule="auto"/>
        <w:tabs>
          <w:tab w:leader="none" w:pos="12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37" w:lineRule="exact"/>
        <w:rPr>
          <w:rFonts w:ascii="Times New Roman" w:cs="Times New Roman" w:eastAsia="Times New Roman" w:hAnsi="Times New Roman"/>
          <w:sz w:val="12"/>
          <w:szCs w:val="12"/>
          <w:color w:val="auto"/>
          <w:vertAlign w:val="superscript"/>
        </w:rPr>
      </w:pPr>
    </w:p>
    <w:p>
      <w:pPr>
        <w:ind w:left="120" w:hanging="98"/>
        <w:spacing w:after="0" w:line="232" w:lineRule="auto"/>
        <w:tabs>
          <w:tab w:leader="none" w:pos="12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Restructuring costs include severance costs incurred pursuant to an ongoing restructuring plan.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8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w w:val="97"/>
              </w:rPr>
              <w:t>Six Months Ended June 30, 2024</w:t>
            </w: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35"/>
        </w:trPr>
        <w:tc>
          <w:tcPr>
            <w:tcW w:w="4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EBITDA and Adjusted EBITDA by Segment:</w:t>
            </w:r>
          </w:p>
        </w:tc>
        <w:tc>
          <w:tcPr>
            <w:tcW w:w="260" w:type="dxa"/>
            <w:vAlign w:val="bottom"/>
          </w:tcPr>
          <w:p>
            <w:pPr>
              <w:spacing w:after="0"/>
              <w:rPr>
                <w:sz w:val="11"/>
                <w:szCs w:val="11"/>
                <w:color w:val="auto"/>
              </w:rPr>
            </w:pPr>
          </w:p>
        </w:tc>
        <w:tc>
          <w:tcPr>
            <w:tcW w:w="100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0"/>
                <w:szCs w:val="10"/>
                <w:b w:val="1"/>
                <w:bCs w:val="1"/>
                <w:color w:val="auto"/>
              </w:rPr>
              <w:t>EES</w:t>
            </w:r>
            <w:r>
              <w:rPr>
                <w:rFonts w:ascii="Times New Roman" w:cs="Times New Roman" w:eastAsia="Times New Roman" w:hAnsi="Times New Roman"/>
                <w:sz w:val="12"/>
                <w:szCs w:val="12"/>
                <w:b w:val="1"/>
                <w:bCs w:val="1"/>
                <w:color w:val="auto"/>
                <w:vertAlign w:val="superscript"/>
              </w:rPr>
              <w:t>(1)</w:t>
            </w:r>
          </w:p>
        </w:tc>
        <w:tc>
          <w:tcPr>
            <w:tcW w:w="260" w:type="dxa"/>
            <w:vAlign w:val="bottom"/>
          </w:tcPr>
          <w:p>
            <w:pPr>
              <w:spacing w:after="0"/>
              <w:rPr>
                <w:sz w:val="11"/>
                <w:szCs w:val="11"/>
                <w:color w:val="auto"/>
              </w:rPr>
            </w:pPr>
          </w:p>
        </w:tc>
        <w:tc>
          <w:tcPr>
            <w:tcW w:w="880" w:type="dxa"/>
            <w:vAlign w:val="bottom"/>
          </w:tcPr>
          <w:p>
            <w:pPr>
              <w:jc w:val="right"/>
              <w:ind w:right="392"/>
              <w:spacing w:after="0" w:line="135" w:lineRule="exact"/>
              <w:rPr>
                <w:sz w:val="20"/>
                <w:szCs w:val="20"/>
                <w:color w:val="auto"/>
              </w:rPr>
            </w:pPr>
            <w:r>
              <w:rPr>
                <w:rFonts w:ascii="Times New Roman" w:cs="Times New Roman" w:eastAsia="Times New Roman" w:hAnsi="Times New Roman"/>
                <w:sz w:val="10"/>
                <w:szCs w:val="10"/>
                <w:b w:val="1"/>
                <w:bCs w:val="1"/>
                <w:color w:val="auto"/>
              </w:rPr>
              <w:t>CSS</w:t>
            </w:r>
            <w:r>
              <w:rPr>
                <w:rFonts w:ascii="Times New Roman" w:cs="Times New Roman" w:eastAsia="Times New Roman" w:hAnsi="Times New Roman"/>
                <w:sz w:val="12"/>
                <w:szCs w:val="12"/>
                <w:b w:val="1"/>
                <w:bCs w:val="1"/>
                <w:color w:val="auto"/>
                <w:vertAlign w:val="superscript"/>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UBS</w:t>
            </w:r>
          </w:p>
        </w:tc>
        <w:tc>
          <w:tcPr>
            <w:tcW w:w="20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Corporate</w:t>
            </w:r>
          </w:p>
        </w:tc>
        <w:tc>
          <w:tcPr>
            <w:tcW w:w="260" w:type="dxa"/>
            <w:vAlign w:val="bottom"/>
          </w:tcPr>
          <w:p>
            <w:pPr>
              <w:spacing w:after="0"/>
              <w:rPr>
                <w:sz w:val="11"/>
                <w:szCs w:val="11"/>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8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r>
      <w:tr>
        <w:trPr>
          <w:trHeight w:val="135"/>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Net income attributable to common stockholders</w:t>
            </w: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319.4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210.8</w:t>
            </w:r>
          </w:p>
        </w:tc>
        <w:tc>
          <w:tcPr>
            <w:tcW w:w="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429.3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(640.3)</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319.2</w:t>
            </w:r>
          </w:p>
        </w:tc>
      </w:tr>
      <w:tr>
        <w:trPr>
          <w:trHeight w:val="129"/>
        </w:trPr>
        <w:tc>
          <w:tcPr>
            <w:tcW w:w="48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Net (loss) income attributable to noncontrolling interests</w:t>
            </w: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w:t>
            </w:r>
          </w:p>
        </w:tc>
      </w:tr>
      <w:tr>
        <w:trPr>
          <w:trHeight w:val="141"/>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Preferred stock dividends</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28.7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28.7</w:t>
            </w:r>
          </w:p>
        </w:tc>
      </w:tr>
      <w:tr>
        <w:trPr>
          <w:trHeight w:val="135"/>
        </w:trPr>
        <w:tc>
          <w:tcPr>
            <w:tcW w:w="4820" w:type="dxa"/>
            <w:vAlign w:val="bottom"/>
          </w:tcPr>
          <w:p>
            <w:pPr>
              <w:ind w:left="160"/>
              <w:spacing w:after="0" w:line="135" w:lineRule="exact"/>
              <w:rPr>
                <w:sz w:val="20"/>
                <w:szCs w:val="20"/>
                <w:color w:val="auto"/>
              </w:rPr>
            </w:pPr>
            <w:r>
              <w:rPr>
                <w:rFonts w:ascii="Times New Roman" w:cs="Times New Roman" w:eastAsia="Times New Roman" w:hAnsi="Times New Roman"/>
                <w:sz w:val="10"/>
                <w:szCs w:val="10"/>
                <w:color w:val="auto"/>
              </w:rPr>
              <w:t>Provision for income taxes</w:t>
            </w:r>
            <w:r>
              <w:rPr>
                <w:rFonts w:ascii="Times New Roman" w:cs="Times New Roman" w:eastAsia="Times New Roman" w:hAnsi="Times New Roman"/>
                <w:sz w:val="12"/>
                <w:szCs w:val="12"/>
                <w:color w:val="auto"/>
                <w:vertAlign w:val="superscript"/>
              </w:rPr>
              <w:t>(2)</w:t>
            </w:r>
          </w:p>
        </w:tc>
        <w:tc>
          <w:tcPr>
            <w:tcW w:w="26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118.7</w:t>
            </w:r>
          </w:p>
        </w:tc>
      </w:tr>
      <w:tr>
        <w:trPr>
          <w:trHeight w:val="135"/>
        </w:trPr>
        <w:tc>
          <w:tcPr>
            <w:tcW w:w="48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0"/>
                <w:szCs w:val="10"/>
                <w:color w:val="auto"/>
              </w:rPr>
              <w:t>Interest expense, net</w:t>
            </w:r>
            <w:r>
              <w:rPr>
                <w:rFonts w:ascii="Times New Roman" w:cs="Times New Roman" w:eastAsia="Times New Roman" w:hAnsi="Times New Roman"/>
                <w:sz w:val="12"/>
                <w:szCs w:val="12"/>
                <w:color w:val="auto"/>
                <w:vertAlign w:val="superscript"/>
              </w:rPr>
              <w:t>(2)</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193.2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193.2</w:t>
            </w:r>
          </w:p>
        </w:tc>
      </w:tr>
      <w:tr>
        <w:trPr>
          <w:trHeight w:val="129"/>
        </w:trPr>
        <w:tc>
          <w:tcPr>
            <w:tcW w:w="4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22.5</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36.4</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18.3</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91.6</w:t>
            </w:r>
          </w:p>
        </w:tc>
      </w:tr>
      <w:tr>
        <w:trPr>
          <w:trHeight w:val="150"/>
        </w:trPr>
        <w:tc>
          <w:tcPr>
            <w:tcW w:w="4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EBITDA</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341.5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248.3</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443.7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(281.1)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752.4</w:t>
            </w:r>
          </w:p>
        </w:tc>
      </w:tr>
      <w:tr>
        <w:trPr>
          <w:trHeight w:val="125"/>
        </w:trPr>
        <w:tc>
          <w:tcPr>
            <w:tcW w:w="48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Other expense (income), net</w:t>
            </w:r>
          </w:p>
        </w:tc>
        <w:tc>
          <w:tcPr>
            <w:tcW w:w="260" w:type="dxa"/>
            <w:vAlign w:val="bottom"/>
          </w:tcPr>
          <w:p>
            <w:pPr>
              <w:spacing w:after="0"/>
              <w:rPr>
                <w:sz w:val="10"/>
                <w:szCs w:val="1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35.2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(74.3)</w:t>
            </w:r>
          </w:p>
        </w:tc>
      </w:tr>
      <w:tr>
        <w:trPr>
          <w:trHeight w:val="141"/>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12.8</w:t>
            </w:r>
          </w:p>
        </w:tc>
      </w:tr>
      <w:tr>
        <w:trPr>
          <w:trHeight w:val="135"/>
        </w:trPr>
        <w:tc>
          <w:tcPr>
            <w:tcW w:w="4820" w:type="dxa"/>
            <w:vAlign w:val="bottom"/>
          </w:tcPr>
          <w:p>
            <w:pPr>
              <w:ind w:left="160"/>
              <w:spacing w:after="0" w:line="135" w:lineRule="exact"/>
              <w:rPr>
                <w:sz w:val="20"/>
                <w:szCs w:val="20"/>
                <w:color w:val="auto"/>
              </w:rPr>
            </w:pPr>
            <w:r>
              <w:rPr>
                <w:rFonts w:ascii="Times New Roman" w:cs="Times New Roman" w:eastAsia="Times New Roman" w:hAnsi="Times New Roman"/>
                <w:sz w:val="10"/>
                <w:szCs w:val="10"/>
                <w:color w:val="auto"/>
              </w:rPr>
              <w:t>Loss on abandonment of assets</w:t>
            </w:r>
            <w:r>
              <w:rPr>
                <w:rFonts w:ascii="Times New Roman" w:cs="Times New Roman" w:eastAsia="Times New Roman" w:hAnsi="Times New Roman"/>
                <w:sz w:val="12"/>
                <w:szCs w:val="12"/>
                <w:color w:val="auto"/>
                <w:vertAlign w:val="superscript"/>
              </w:rPr>
              <w:t>(3)</w:t>
            </w:r>
          </w:p>
        </w:tc>
        <w:tc>
          <w:tcPr>
            <w:tcW w:w="26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w:t>
            </w:r>
          </w:p>
        </w:tc>
      </w:tr>
      <w:tr>
        <w:trPr>
          <w:trHeight w:val="135"/>
        </w:trPr>
        <w:tc>
          <w:tcPr>
            <w:tcW w:w="48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0"/>
                <w:szCs w:val="10"/>
                <w:color w:val="auto"/>
              </w:rPr>
              <w:t>Digital transformation costs</w:t>
            </w:r>
            <w:r>
              <w:rPr>
                <w:rFonts w:ascii="Times New Roman" w:cs="Times New Roman" w:eastAsia="Times New Roman" w:hAnsi="Times New Roman"/>
                <w:sz w:val="12"/>
                <w:szCs w:val="12"/>
                <w:color w:val="auto"/>
                <w:vertAlign w:val="superscript"/>
              </w:rPr>
              <w:t>(4)</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12.1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12.1</w:t>
            </w:r>
          </w:p>
        </w:tc>
      </w:tr>
      <w:tr>
        <w:trPr>
          <w:trHeight w:val="135"/>
        </w:trPr>
        <w:tc>
          <w:tcPr>
            <w:tcW w:w="4820" w:type="dxa"/>
            <w:vAlign w:val="bottom"/>
          </w:tcPr>
          <w:p>
            <w:pPr>
              <w:ind w:left="160"/>
              <w:spacing w:after="0" w:line="135" w:lineRule="exact"/>
              <w:rPr>
                <w:sz w:val="20"/>
                <w:szCs w:val="20"/>
                <w:color w:val="auto"/>
              </w:rPr>
            </w:pPr>
            <w:r>
              <w:rPr>
                <w:rFonts w:ascii="Times New Roman" w:cs="Times New Roman" w:eastAsia="Times New Roman" w:hAnsi="Times New Roman"/>
                <w:sz w:val="10"/>
                <w:szCs w:val="10"/>
                <w:color w:val="auto"/>
              </w:rPr>
              <w:t>Restructuring costs</w:t>
            </w:r>
            <w:r>
              <w:rPr>
                <w:rFonts w:ascii="Times New Roman" w:cs="Times New Roman" w:eastAsia="Times New Roman" w:hAnsi="Times New Roman"/>
                <w:sz w:val="12"/>
                <w:szCs w:val="12"/>
                <w:color w:val="auto"/>
                <w:vertAlign w:val="superscript"/>
              </w:rPr>
              <w:t>(5)</w:t>
            </w:r>
          </w:p>
        </w:tc>
        <w:tc>
          <w:tcPr>
            <w:tcW w:w="26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w:t>
            </w:r>
          </w:p>
        </w:tc>
      </w:tr>
      <w:tr>
        <w:trPr>
          <w:trHeight w:val="135"/>
        </w:trPr>
        <w:tc>
          <w:tcPr>
            <w:tcW w:w="48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0"/>
                <w:szCs w:val="10"/>
                <w:color w:val="auto"/>
              </w:rPr>
              <w:t>Cloud computing arrangement amortization</w:t>
            </w:r>
            <w:r>
              <w:rPr>
                <w:rFonts w:ascii="Times New Roman" w:cs="Times New Roman" w:eastAsia="Times New Roman" w:hAnsi="Times New Roman"/>
                <w:sz w:val="12"/>
                <w:szCs w:val="12"/>
                <w:color w:val="auto"/>
                <w:vertAlign w:val="superscript"/>
              </w:rPr>
              <w:t>(6)</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5.9</w:t>
            </w:r>
          </w:p>
        </w:tc>
      </w:tr>
      <w:tr>
        <w:trPr>
          <w:trHeight w:val="135"/>
        </w:trPr>
        <w:tc>
          <w:tcPr>
            <w:tcW w:w="4820" w:type="dxa"/>
            <w:vAlign w:val="bottom"/>
          </w:tcPr>
          <w:p>
            <w:pPr>
              <w:ind w:left="160"/>
              <w:spacing w:after="0" w:line="135" w:lineRule="exact"/>
              <w:rPr>
                <w:sz w:val="20"/>
                <w:szCs w:val="20"/>
                <w:color w:val="auto"/>
              </w:rPr>
            </w:pPr>
            <w:r>
              <w:rPr>
                <w:rFonts w:ascii="Times New Roman" w:cs="Times New Roman" w:eastAsia="Times New Roman" w:hAnsi="Times New Roman"/>
                <w:sz w:val="10"/>
                <w:szCs w:val="10"/>
                <w:color w:val="auto"/>
              </w:rPr>
              <w:t>Excise taxes on excess pension plan assets</w:t>
            </w:r>
            <w:r>
              <w:rPr>
                <w:rFonts w:ascii="Times New Roman" w:cs="Times New Roman" w:eastAsia="Times New Roman" w:hAnsi="Times New Roman"/>
                <w:sz w:val="12"/>
                <w:szCs w:val="12"/>
                <w:color w:val="auto"/>
                <w:vertAlign w:val="superscript"/>
              </w:rPr>
              <w:t>(7)</w:t>
            </w:r>
          </w:p>
        </w:tc>
        <w:tc>
          <w:tcPr>
            <w:tcW w:w="26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w:t>
            </w:r>
          </w:p>
        </w:tc>
      </w:tr>
      <w:tr>
        <w:trPr>
          <w:trHeight w:val="144"/>
        </w:trPr>
        <w:tc>
          <w:tcPr>
            <w:tcW w:w="4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Adjusted EBITDA</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351.9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286.8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342.9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(241.1)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740.5</w:t>
            </w:r>
          </w:p>
        </w:tc>
      </w:tr>
      <w:tr>
        <w:trPr>
          <w:trHeight w:val="121"/>
        </w:trPr>
        <w:tc>
          <w:tcPr>
            <w:tcW w:w="482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Adjusted EBITDA margin %</w:t>
            </w:r>
          </w:p>
        </w:tc>
        <w:tc>
          <w:tcPr>
            <w:tcW w:w="2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8.4 %</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7.9 %</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11.3 %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6.8 %</w:t>
            </w:r>
          </w:p>
        </w:tc>
      </w:tr>
    </w:tbl>
    <w:p>
      <w:pPr>
        <w:spacing w:after="0" w:line="40" w:lineRule="exact"/>
        <w:rPr>
          <w:sz w:val="20"/>
          <w:szCs w:val="20"/>
          <w:color w:val="auto"/>
        </w:rPr>
      </w:pPr>
    </w:p>
    <w:p>
      <w:pPr>
        <w:ind w:left="180" w:right="20" w:hanging="158"/>
        <w:spacing w:after="0" w:line="232" w:lineRule="auto"/>
        <w:tabs>
          <w:tab w:leader="none" w:pos="114" w:val="left"/>
        </w:tabs>
        <w:numPr>
          <w:ilvl w:val="0"/>
          <w:numId w:val="20"/>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In the first quarter of 2025, a portion of the EES reportable segment was moved to the CSS reportable segment as a result of operational realignment. As a result, the reportable segment financial information for the six months ended June 30, 2024 has been recast to conform to the current year presentation. The recast does not impact previously reported condensed consolidated results.</w:t>
      </w:r>
    </w:p>
    <w:p>
      <w:pPr>
        <w:spacing w:after="0" w:line="24" w:lineRule="exact"/>
        <w:rPr>
          <w:rFonts w:ascii="Times New Roman" w:cs="Times New Roman" w:eastAsia="Times New Roman" w:hAnsi="Times New Roman"/>
          <w:sz w:val="11"/>
          <w:szCs w:val="11"/>
          <w:color w:val="auto"/>
          <w:vertAlign w:val="superscript"/>
        </w:rPr>
      </w:pPr>
    </w:p>
    <w:p>
      <w:pPr>
        <w:ind w:left="120" w:hanging="98"/>
        <w:spacing w:after="0"/>
        <w:tabs>
          <w:tab w:leader="none" w:pos="12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reportable segments do not incur income taxes and interest expense as these costs are centrally controlled through the Corporate tax and treasury functions.</w:t>
      </w:r>
    </w:p>
    <w:p>
      <w:pPr>
        <w:spacing w:after="0" w:line="21" w:lineRule="exact"/>
        <w:rPr>
          <w:rFonts w:ascii="Times New Roman" w:cs="Times New Roman" w:eastAsia="Times New Roman" w:hAnsi="Times New Roman"/>
          <w:sz w:val="12"/>
          <w:szCs w:val="12"/>
          <w:color w:val="auto"/>
          <w:vertAlign w:val="superscript"/>
        </w:rPr>
      </w:pPr>
    </w:p>
    <w:p>
      <w:pPr>
        <w:ind w:left="180" w:right="20" w:hanging="158"/>
        <w:spacing w:after="0"/>
        <w:tabs>
          <w:tab w:leader="none" w:pos="114" w:val="left"/>
        </w:tabs>
        <w:numPr>
          <w:ilvl w:val="0"/>
          <w:numId w:val="20"/>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85" w:lineRule="exact"/>
        <w:rPr>
          <w:rFonts w:ascii="Times New Roman" w:cs="Times New Roman" w:eastAsia="Times New Roman" w:hAnsi="Times New Roman"/>
          <w:sz w:val="11"/>
          <w:szCs w:val="11"/>
          <w:color w:val="auto"/>
          <w:vertAlign w:val="superscript"/>
        </w:rPr>
      </w:pPr>
    </w:p>
    <w:p>
      <w:pPr>
        <w:ind w:left="120" w:hanging="98"/>
        <w:spacing w:after="0" w:line="219" w:lineRule="auto"/>
        <w:tabs>
          <w:tab w:leader="none" w:pos="12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Digital transformation costs include costs associated with certain digital transformation initiatives.</w:t>
      </w:r>
    </w:p>
    <w:p>
      <w:pPr>
        <w:spacing w:after="0" w:line="21" w:lineRule="exact"/>
        <w:rPr>
          <w:rFonts w:ascii="Times New Roman" w:cs="Times New Roman" w:eastAsia="Times New Roman" w:hAnsi="Times New Roman"/>
          <w:sz w:val="12"/>
          <w:szCs w:val="12"/>
          <w:color w:val="auto"/>
          <w:vertAlign w:val="superscript"/>
        </w:rPr>
      </w:pPr>
    </w:p>
    <w:p>
      <w:pPr>
        <w:ind w:left="120" w:hanging="98"/>
        <w:spacing w:after="0" w:line="197" w:lineRule="auto"/>
        <w:tabs>
          <w:tab w:leader="none" w:pos="12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Restructuring costs include severance costs incurred pursuant to an ongoing restructuring plan.</w:t>
      </w:r>
    </w:p>
    <w:p>
      <w:pPr>
        <w:spacing w:after="0" w:line="21" w:lineRule="exact"/>
        <w:rPr>
          <w:rFonts w:ascii="Times New Roman" w:cs="Times New Roman" w:eastAsia="Times New Roman" w:hAnsi="Times New Roman"/>
          <w:sz w:val="12"/>
          <w:szCs w:val="12"/>
          <w:color w:val="auto"/>
          <w:vertAlign w:val="superscript"/>
        </w:rPr>
      </w:pPr>
    </w:p>
    <w:p>
      <w:pPr>
        <w:ind w:left="120" w:hanging="98"/>
        <w:spacing w:after="0" w:line="197" w:lineRule="auto"/>
        <w:tabs>
          <w:tab w:leader="none" w:pos="12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21" w:lineRule="exact"/>
        <w:rPr>
          <w:rFonts w:ascii="Times New Roman" w:cs="Times New Roman" w:eastAsia="Times New Roman" w:hAnsi="Times New Roman"/>
          <w:sz w:val="12"/>
          <w:szCs w:val="12"/>
          <w:color w:val="auto"/>
          <w:vertAlign w:val="superscript"/>
        </w:rPr>
      </w:pPr>
    </w:p>
    <w:p>
      <w:pPr>
        <w:ind w:left="120" w:hanging="98"/>
        <w:spacing w:after="0" w:line="197" w:lineRule="auto"/>
        <w:tabs>
          <w:tab w:leader="none" w:pos="12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Excise taxes on excess pension plan assets represent the excise taxes applicable to the excess pension plan assets following the final settlement of the Company's U.S. pension plan.</w:t>
      </w: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960"/>
          </w:cols>
          <w:pgMar w:left="300" w:top="128" w:right="6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3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0"/>
          <w:szCs w:val="10"/>
          <w:color w:val="auto"/>
        </w:rPr>
        <w:t>Note: Adjusted EBITDA and Adjusted EBITDA margin % are non-GAAP financial measures that provide indicators of the Company's performance and its ability to meet debt service requirements. For the six months ended June 30, 2025, Adjusted EBITDA is defined as earnings before interest, taxes, depreciation and amortization before other non-operating expenses (income), non-cash stock-based compensation expense, digital transformation costs, cloud computing arrangement amortization, and restructuring costs. For the six months ended June 30, 2024, Adjusted EBITDA is defined as earnings before interest, taxes, depreciation and amortization before other non-operating expenses (income), non-cash stock-based compensation expense, loss on abandonment of assets, digital transformation costs, restructuring costs, cloud computing arrangement amortization, and excise taxes on excess pension plan assets related to the final settlement of the Anixter Inc. Pension Plan..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128" w:right="299" w:bottom="1440" w:gutter="0" w:footer="0" w:header="0"/>
        </w:sectPr>
      </w:pPr>
    </w:p>
    <w:bookmarkStart w:id="21" w:name="page22"/>
    <w:bookmarkEnd w:id="21"/>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RECONCILIATION OF NON-GAAP FINANCIAL MEASURES</w:t>
      </w:r>
    </w:p>
    <w:p>
      <w:pPr>
        <w:spacing w:after="0" w:line="1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353"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1"/>
          <w:szCs w:val="11"/>
          <w:b w:val="1"/>
          <w:bCs w:val="1"/>
          <w:color w:val="auto"/>
        </w:rPr>
        <w:t>Twelve Months Ended</w:t>
      </w:r>
    </w:p>
    <w:p>
      <w:pPr>
        <w:sectPr>
          <w:pgSz w:w="11900" w:h="16838" w:orient="portrait"/>
          <w:cols w:equalWidth="0" w:num="1">
            <w:col w:w="11308"/>
          </w:cols>
          <w:pgMar w:left="292" w:top="128" w:right="299" w:bottom="1440" w:gutter="0" w:footer="0" w:header="0"/>
        </w:sectPr>
      </w:pPr>
    </w:p>
    <w:p>
      <w:pPr>
        <w:spacing w:after="0" w:line="135"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1"/>
          <w:szCs w:val="11"/>
          <w:b w:val="1"/>
          <w:bCs w:val="1"/>
          <w:color w:val="auto"/>
        </w:rPr>
        <w:t>Financial Leverage:</w:t>
      </w:r>
    </w:p>
    <w:p>
      <w:pPr>
        <w:spacing w:after="0" w:line="20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Net income attributable to common stockholders</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Net income attributable to noncontrolling interests</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Gain on redemption of Series A Preferred Stock</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Preferred stock dividends</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Provision for income taxes</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Interest expense, net</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Depreciation and amortization</w:t>
      </w:r>
    </w:p>
    <w:p>
      <w:pPr>
        <w:spacing w:after="0" w:line="25"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1"/>
          <w:szCs w:val="11"/>
          <w:b w:val="1"/>
          <w:bCs w:val="1"/>
          <w:color w:val="auto"/>
        </w:rPr>
        <w:t>EBITDA</w:t>
      </w:r>
    </w:p>
    <w:p>
      <w:pPr>
        <w:spacing w:after="0" w:line="2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Other income, net</w:t>
      </w:r>
    </w:p>
    <w:p>
      <w:pPr>
        <w:spacing w:after="0" w:line="1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Stock-based compensation expense</w:t>
      </w:r>
    </w:p>
    <w:p>
      <w:pPr>
        <w:spacing w:after="0" w:line="10"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1"/>
          <w:szCs w:val="11"/>
          <w:color w:val="auto"/>
        </w:rPr>
        <w:t>Digital transformation costs</w:t>
      </w:r>
      <w:r>
        <w:rPr>
          <w:rFonts w:ascii="Times New Roman" w:cs="Times New Roman" w:eastAsia="Times New Roman" w:hAnsi="Times New Roman"/>
          <w:sz w:val="14"/>
          <w:szCs w:val="14"/>
          <w:color w:val="auto"/>
          <w:vertAlign w:val="superscript"/>
        </w:rPr>
        <w:t>(1)</w:t>
      </w:r>
    </w:p>
    <w:p>
      <w:pPr>
        <w:ind w:left="548"/>
        <w:spacing w:after="0" w:line="214" w:lineRule="auto"/>
        <w:rPr>
          <w:sz w:val="20"/>
          <w:szCs w:val="20"/>
          <w:color w:val="auto"/>
        </w:rPr>
      </w:pPr>
      <w:r>
        <w:rPr>
          <w:rFonts w:ascii="Times New Roman" w:cs="Times New Roman" w:eastAsia="Times New Roman" w:hAnsi="Times New Roman"/>
          <w:sz w:val="11"/>
          <w:szCs w:val="11"/>
          <w:color w:val="auto"/>
        </w:rPr>
        <w:t>Restructuring costs</w:t>
      </w:r>
      <w:r>
        <w:rPr>
          <w:rFonts w:ascii="Times New Roman" w:cs="Times New Roman" w:eastAsia="Times New Roman" w:hAnsi="Times New Roman"/>
          <w:sz w:val="14"/>
          <w:szCs w:val="14"/>
          <w:color w:val="auto"/>
          <w:vertAlign w:val="superscript"/>
        </w:rPr>
        <w:t>(2)</w:t>
      </w:r>
    </w:p>
    <w:p>
      <w:pPr>
        <w:ind w:left="548"/>
        <w:spacing w:after="0" w:line="215" w:lineRule="auto"/>
        <w:rPr>
          <w:sz w:val="20"/>
          <w:szCs w:val="20"/>
          <w:color w:val="auto"/>
        </w:rPr>
      </w:pPr>
      <w:r>
        <w:rPr>
          <w:rFonts w:ascii="Times New Roman" w:cs="Times New Roman" w:eastAsia="Times New Roman" w:hAnsi="Times New Roman"/>
          <w:sz w:val="11"/>
          <w:szCs w:val="11"/>
          <w:color w:val="auto"/>
        </w:rPr>
        <w:t>Cloud computing arrangement amortization</w:t>
      </w:r>
      <w:r>
        <w:rPr>
          <w:rFonts w:ascii="Times New Roman" w:cs="Times New Roman" w:eastAsia="Times New Roman" w:hAnsi="Times New Roman"/>
          <w:sz w:val="14"/>
          <w:szCs w:val="14"/>
          <w:color w:val="auto"/>
          <w:vertAlign w:val="superscript"/>
        </w:rPr>
        <w:t>(3)</w:t>
      </w:r>
    </w:p>
    <w:p>
      <w:pPr>
        <w:ind w:left="548"/>
        <w:spacing w:after="0" w:line="215" w:lineRule="auto"/>
        <w:rPr>
          <w:sz w:val="20"/>
          <w:szCs w:val="20"/>
          <w:color w:val="auto"/>
        </w:rPr>
      </w:pPr>
      <w:r>
        <w:rPr>
          <w:rFonts w:ascii="Times New Roman" w:cs="Times New Roman" w:eastAsia="Times New Roman" w:hAnsi="Times New Roman"/>
          <w:sz w:val="11"/>
          <w:szCs w:val="11"/>
          <w:color w:val="auto"/>
        </w:rPr>
        <w:t>Loss on abandonment of assets</w:t>
      </w:r>
      <w:r>
        <w:rPr>
          <w:rFonts w:ascii="Times New Roman" w:cs="Times New Roman" w:eastAsia="Times New Roman" w:hAnsi="Times New Roman"/>
          <w:sz w:val="14"/>
          <w:szCs w:val="14"/>
          <w:color w:val="auto"/>
          <w:vertAlign w:val="superscript"/>
        </w:rPr>
        <w:t>(4)</w:t>
      </w:r>
    </w:p>
    <w:p>
      <w:pPr>
        <w:ind w:left="548"/>
        <w:spacing w:after="0" w:line="231" w:lineRule="auto"/>
        <w:rPr>
          <w:sz w:val="20"/>
          <w:szCs w:val="20"/>
          <w:color w:val="auto"/>
        </w:rPr>
      </w:pPr>
      <w:r>
        <w:rPr>
          <w:rFonts w:ascii="Times New Roman" w:cs="Times New Roman" w:eastAsia="Times New Roman" w:hAnsi="Times New Roman"/>
          <w:sz w:val="11"/>
          <w:szCs w:val="11"/>
          <w:color w:val="auto"/>
        </w:rPr>
        <w:t>Excise taxes on excess pension plan assets</w:t>
      </w:r>
      <w:r>
        <w:rPr>
          <w:rFonts w:ascii="Times New Roman" w:cs="Times New Roman" w:eastAsia="Times New Roman" w:hAnsi="Times New Roman"/>
          <w:sz w:val="14"/>
          <w:szCs w:val="14"/>
          <w:color w:val="auto"/>
          <w:vertAlign w:val="superscript"/>
        </w:rPr>
        <w:t>(5)</w:t>
      </w:r>
    </w:p>
    <w:p>
      <w:pPr>
        <w:ind w:left="708"/>
        <w:spacing w:after="0"/>
        <w:rPr>
          <w:sz w:val="20"/>
          <w:szCs w:val="20"/>
          <w:color w:val="auto"/>
        </w:rPr>
      </w:pPr>
      <w:r>
        <w:rPr>
          <w:rFonts w:ascii="Times New Roman" w:cs="Times New Roman" w:eastAsia="Times New Roman" w:hAnsi="Times New Roman"/>
          <w:sz w:val="11"/>
          <w:szCs w:val="11"/>
          <w:b w:val="1"/>
          <w:bCs w:val="1"/>
          <w:color w:val="auto"/>
        </w:rPr>
        <w:t>Adjusted EBITDA</w:t>
      </w:r>
    </w:p>
    <w:p>
      <w:pPr>
        <w:spacing w:after="0" w:line="200" w:lineRule="exact"/>
        <w:rPr>
          <w:sz w:val="20"/>
          <w:szCs w:val="20"/>
          <w:color w:val="auto"/>
        </w:rPr>
      </w:pPr>
    </w:p>
    <w:p>
      <w:pPr>
        <w:spacing w:after="0" w:line="238"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0"/>
          <w:szCs w:val="10"/>
          <w:color w:val="auto"/>
        </w:rPr>
        <w:t>Short-term debt and current portion of long-term debt, net</w:t>
      </w:r>
    </w:p>
    <w:p>
      <w:pPr>
        <w:spacing w:after="0" w:line="29"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1"/>
          <w:szCs w:val="11"/>
          <w:color w:val="auto"/>
        </w:rPr>
        <w:t>Long-term debt, net</w:t>
      </w:r>
    </w:p>
    <w:p>
      <w:pPr>
        <w:spacing w:after="0" w:line="10"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1"/>
          <w:szCs w:val="11"/>
          <w:color w:val="auto"/>
        </w:rPr>
        <w:t>Debt issuance costs and debt discount</w:t>
      </w:r>
      <w:r>
        <w:rPr>
          <w:rFonts w:ascii="Times New Roman" w:cs="Times New Roman" w:eastAsia="Times New Roman" w:hAnsi="Times New Roman"/>
          <w:sz w:val="14"/>
          <w:szCs w:val="14"/>
          <w:color w:val="auto"/>
          <w:vertAlign w:val="superscript"/>
        </w:rPr>
        <w:t>(6)</w:t>
      </w:r>
    </w:p>
    <w:p>
      <w:pPr>
        <w:ind w:left="528"/>
        <w:spacing w:after="0" w:line="197" w:lineRule="auto"/>
        <w:rPr>
          <w:sz w:val="20"/>
          <w:szCs w:val="20"/>
          <w:color w:val="auto"/>
        </w:rPr>
      </w:pPr>
      <w:r>
        <w:rPr>
          <w:rFonts w:ascii="Times New Roman" w:cs="Times New Roman" w:eastAsia="Times New Roman" w:hAnsi="Times New Roman"/>
          <w:sz w:val="11"/>
          <w:szCs w:val="11"/>
          <w:color w:val="auto"/>
        </w:rPr>
        <w:t>Fair value adjustments to the Anixter Senior Notes</w:t>
      </w:r>
      <w:r>
        <w:rPr>
          <w:rFonts w:ascii="Times New Roman" w:cs="Times New Roman" w:eastAsia="Times New Roman" w:hAnsi="Times New Roman"/>
          <w:sz w:val="14"/>
          <w:szCs w:val="14"/>
          <w:color w:val="auto"/>
          <w:vertAlign w:val="superscript"/>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32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2"/>
          </w:tcPr>
          <w:p>
            <w:pPr>
              <w:jc w:val="center"/>
              <w:ind w:right="400"/>
              <w:spacing w:after="0" w:line="101"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26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center"/>
              <w:ind w:right="206"/>
              <w:spacing w:after="0" w:line="101" w:lineRule="exact"/>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43"/>
        </w:trPr>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301"/>
        </w:trPr>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634.2</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660.2</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44"/>
        </w:trPr>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231.6</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364.9</w:t>
            </w:r>
          </w:p>
        </w:tc>
      </w:tr>
      <w:tr>
        <w:trPr>
          <w:trHeight w:val="146"/>
        </w:trPr>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188.4</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183.2</w:t>
            </w:r>
          </w:p>
        </w:tc>
      </w:tr>
      <w:tr>
        <w:trPr>
          <w:trHeight w:val="131"/>
        </w:trPr>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1,413.6</w:t>
            </w:r>
          </w:p>
        </w:tc>
        <w:tc>
          <w:tcPr>
            <w:tcW w:w="8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1,499.1</w:t>
            </w:r>
          </w:p>
        </w:tc>
      </w:tr>
      <w:tr>
        <w:trPr>
          <w:trHeight w:val="144"/>
        </w:trPr>
        <w:tc>
          <w:tcPr>
            <w:tcW w:w="3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r>
      <w:tr>
        <w:trPr>
          <w:trHeight w:val="144"/>
        </w:trPr>
        <w:tc>
          <w:tcPr>
            <w:tcW w:w="32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r>
      <w:tr>
        <w:trPr>
          <w:trHeight w:val="146"/>
        </w:trPr>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17"/>
        </w:trPr>
        <w:tc>
          <w:tcPr>
            <w:tcW w:w="320" w:type="dxa"/>
            <w:vAlign w:val="bottom"/>
            <w:tcBorders>
              <w:bottom w:val="single" w:sz="8" w:color="auto"/>
            </w:tcBorders>
          </w:tcPr>
          <w:p>
            <w:pPr>
              <w:jc w:val="right"/>
              <w:ind w:right="2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1,473.6</w:t>
            </w: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ind w:right="1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1,509.1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9"/>
        </w:trPr>
        <w:tc>
          <w:tcPr>
            <w:tcW w:w="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126"/>
              <w:spacing w:after="0" w:line="120" w:lineRule="exact"/>
              <w:rPr>
                <w:sz w:val="20"/>
                <w:szCs w:val="20"/>
                <w:color w:val="auto"/>
              </w:rPr>
            </w:pPr>
            <w:r>
              <w:rPr>
                <w:rFonts w:ascii="Times New Roman" w:cs="Times New Roman" w:eastAsia="Times New Roman" w:hAnsi="Times New Roman"/>
                <w:sz w:val="11"/>
                <w:szCs w:val="11"/>
                <w:b w:val="1"/>
                <w:bCs w:val="1"/>
                <w:color w:val="auto"/>
              </w:rPr>
              <w:t>As of</w:t>
            </w:r>
          </w:p>
        </w:tc>
        <w:tc>
          <w:tcPr>
            <w:tcW w:w="1280" w:type="dxa"/>
            <w:vAlign w:val="bottom"/>
            <w:tcBorders>
              <w:bottom w:val="single" w:sz="8" w:color="auto"/>
            </w:tcBorders>
          </w:tcPr>
          <w:p>
            <w:pPr>
              <w:spacing w:after="0"/>
              <w:rPr>
                <w:sz w:val="10"/>
                <w:szCs w:val="10"/>
                <w:color w:val="auto"/>
              </w:rPr>
            </w:pPr>
          </w:p>
        </w:tc>
      </w:tr>
      <w:tr>
        <w:trPr>
          <w:trHeight w:val="98"/>
        </w:trPr>
        <w:tc>
          <w:tcPr>
            <w:tcW w:w="320" w:type="dxa"/>
            <w:vAlign w:val="bottom"/>
          </w:tcPr>
          <w:p>
            <w:pPr>
              <w:spacing w:after="0"/>
              <w:rPr>
                <w:sz w:val="8"/>
                <w:szCs w:val="8"/>
                <w:color w:val="auto"/>
              </w:rPr>
            </w:pPr>
          </w:p>
        </w:tc>
        <w:tc>
          <w:tcPr>
            <w:tcW w:w="1300" w:type="dxa"/>
            <w:vAlign w:val="bottom"/>
            <w:gridSpan w:val="2"/>
          </w:tcPr>
          <w:p>
            <w:pPr>
              <w:jc w:val="center"/>
              <w:ind w:right="400"/>
              <w:spacing w:after="0" w:line="98" w:lineRule="exact"/>
              <w:rPr>
                <w:sz w:val="20"/>
                <w:szCs w:val="20"/>
                <w:color w:val="auto"/>
              </w:rPr>
            </w:pPr>
            <w:r>
              <w:rPr>
                <w:rFonts w:ascii="Times New Roman" w:cs="Times New Roman" w:eastAsia="Times New Roman" w:hAnsi="Times New Roman"/>
                <w:sz w:val="11"/>
                <w:szCs w:val="11"/>
                <w:b w:val="1"/>
                <w:bCs w:val="1"/>
                <w:color w:val="auto"/>
                <w:w w:val="97"/>
              </w:rPr>
              <w:t>June 30,</w:t>
            </w:r>
          </w:p>
        </w:tc>
        <w:tc>
          <w:tcPr>
            <w:tcW w:w="260" w:type="dxa"/>
            <w:vAlign w:val="bottom"/>
          </w:tcPr>
          <w:p>
            <w:pPr>
              <w:spacing w:after="0"/>
              <w:rPr>
                <w:sz w:val="8"/>
                <w:szCs w:val="8"/>
                <w:color w:val="auto"/>
              </w:rPr>
            </w:pPr>
          </w:p>
        </w:tc>
        <w:tc>
          <w:tcPr>
            <w:tcW w:w="1280" w:type="dxa"/>
            <w:vAlign w:val="bottom"/>
          </w:tcPr>
          <w:p>
            <w:pPr>
              <w:jc w:val="center"/>
              <w:ind w:right="206"/>
              <w:spacing w:after="0" w:line="98" w:lineRule="exact"/>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43"/>
        </w:trPr>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30"/>
        </w:trPr>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5,641.2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5,045.5</w:t>
            </w:r>
          </w:p>
        </w:tc>
      </w:tr>
      <w:tr>
        <w:trPr>
          <w:trHeight w:val="144"/>
        </w:trPr>
        <w:tc>
          <w:tcPr>
            <w:tcW w:w="3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w:t>
            </w:r>
          </w:p>
        </w:tc>
      </w:tr>
      <w:tr>
        <w:trPr>
          <w:trHeight w:val="144"/>
        </w:trPr>
        <w:tc>
          <w:tcPr>
            <w:tcW w:w="32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-2111375</wp:posOffset>
            </wp:positionV>
            <wp:extent cx="6703695"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-1928495</wp:posOffset>
            </wp:positionV>
            <wp:extent cx="6703695"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-1745615</wp:posOffset>
            </wp:positionV>
            <wp:extent cx="6703695"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-1562735</wp:posOffset>
            </wp:positionV>
            <wp:extent cx="6703695"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-1374140</wp:posOffset>
            </wp:positionV>
            <wp:extent cx="6703695"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-1191260</wp:posOffset>
            </wp:positionV>
            <wp:extent cx="6703695"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-1008380</wp:posOffset>
            </wp:positionV>
            <wp:extent cx="6703695"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-825500</wp:posOffset>
            </wp:positionV>
            <wp:extent cx="6703695"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3695" cy="9144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-368300</wp:posOffset>
            </wp:positionV>
            <wp:extent cx="6703695" cy="97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3695" cy="971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-179705</wp:posOffset>
            </wp:positionV>
            <wp:extent cx="6703695"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3695" cy="9144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7048" w:space="720"/>
            <w:col w:w="3540"/>
          </w:cols>
          <w:pgMar w:left="292" w:top="128" w:right="299" w:bottom="1440" w:gutter="0" w:footer="0" w:header="0"/>
          <w:type w:val="continuous"/>
        </w:sectPr>
      </w:pPr>
    </w:p>
    <w:tbl>
      <w:tblPr>
        <w:tblLayout w:type="fixed"/>
        <w:tblInd w:w="368" w:type="dxa"/>
        <w:tblCellMar>
          <w:top w:w="0" w:type="dxa"/>
          <w:left w:w="0" w:type="dxa"/>
          <w:bottom w:w="0" w:type="dxa"/>
          <w:right w:w="0" w:type="dxa"/>
        </w:tblCellMar>
      </w:tblPr>
      <w:tr>
        <w:trPr>
          <w:trHeight w:val="135"/>
        </w:trPr>
        <w:tc>
          <w:tcPr>
            <w:tcW w:w="7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debt</w:t>
            </w:r>
          </w:p>
        </w:tc>
        <w:tc>
          <w:tcPr>
            <w:tcW w:w="6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5,723.0</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5,112.1</w:t>
            </w:r>
          </w:p>
        </w:tc>
      </w:tr>
      <w:tr>
        <w:trPr>
          <w:trHeight w:val="142"/>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1"/>
                <w:szCs w:val="11"/>
                <w:color w:val="auto"/>
              </w:rPr>
              <w:t>Less: Cash and cash equivalents</w:t>
            </w: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667.0</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702.6</w:t>
            </w:r>
          </w:p>
        </w:tc>
      </w:tr>
      <w:tr>
        <w:trPr>
          <w:trHeight w:val="151"/>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debt, net of cash</w:t>
            </w: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5,056.0</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4,409.5</w:t>
            </w:r>
          </w:p>
        </w:tc>
      </w:tr>
      <w:tr>
        <w:trPr>
          <w:trHeight w:val="162"/>
        </w:trPr>
        <w:tc>
          <w:tcPr>
            <w:tcW w:w="7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Financial leverage ratio</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r>
    </w:tbl>
    <w:p>
      <w:pPr>
        <w:spacing w:after="0" w:line="69" w:lineRule="exact"/>
        <w:rPr>
          <w:sz w:val="20"/>
          <w:szCs w:val="20"/>
          <w:color w:val="auto"/>
        </w:rPr>
      </w:pPr>
    </w:p>
    <w:p>
      <w:pPr>
        <w:ind w:left="148" w:hanging="148"/>
        <w:spacing w:after="0"/>
        <w:tabs>
          <w:tab w:leader="none" w:pos="148"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Digital transformation costs include costs associated with certain digital transformation initiatives.</w:t>
      </w:r>
    </w:p>
    <w:p>
      <w:pPr>
        <w:spacing w:after="0" w:line="33"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Restructuring costs include severance costs incurred pursuant to an ongoing restructuring plan.</w:t>
      </w:r>
    </w:p>
    <w:p>
      <w:pPr>
        <w:spacing w:after="0" w:line="33"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42" w:lineRule="exact"/>
        <w:rPr>
          <w:rFonts w:ascii="Times New Roman" w:cs="Times New Roman" w:eastAsia="Times New Roman" w:hAnsi="Times New Roman"/>
          <w:sz w:val="14"/>
          <w:szCs w:val="14"/>
          <w:color w:val="auto"/>
          <w:vertAlign w:val="superscript"/>
        </w:rPr>
      </w:pPr>
    </w:p>
    <w:p>
      <w:pPr>
        <w:ind w:left="168" w:right="20" w:hanging="168"/>
        <w:spacing w:after="0" w:line="212" w:lineRule="auto"/>
        <w:tabs>
          <w:tab w:leader="none" w:pos="160"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10" w:lineRule="exact"/>
        <w:rPr>
          <w:rFonts w:ascii="Times New Roman" w:cs="Times New Roman" w:eastAsia="Times New Roman" w:hAnsi="Times New Roman"/>
          <w:sz w:val="14"/>
          <w:szCs w:val="14"/>
          <w:color w:val="auto"/>
          <w:vertAlign w:val="superscript"/>
        </w:rPr>
      </w:pPr>
    </w:p>
    <w:p>
      <w:pPr>
        <w:ind w:left="148" w:hanging="148"/>
        <w:spacing w:after="0"/>
        <w:tabs>
          <w:tab w:leader="none" w:pos="148"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Excise taxes on excess pension plan assets represent the excise taxes applicable to the excess pension plan assets following the final settlement of the Company's U.S. pension plan.</w:t>
      </w:r>
    </w:p>
    <w:p>
      <w:pPr>
        <w:spacing w:after="0" w:line="33" w:lineRule="exact"/>
        <w:rPr>
          <w:rFonts w:ascii="Times New Roman" w:cs="Times New Roman" w:eastAsia="Times New Roman" w:hAnsi="Times New Roman"/>
          <w:sz w:val="14"/>
          <w:szCs w:val="14"/>
          <w:color w:val="auto"/>
          <w:vertAlign w:val="superscript"/>
        </w:rPr>
      </w:pPr>
    </w:p>
    <w:p>
      <w:pPr>
        <w:ind w:left="148" w:hanging="148"/>
        <w:spacing w:after="0" w:line="191" w:lineRule="auto"/>
        <w:tabs>
          <w:tab w:leader="none" w:pos="148"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Debt is presented in the condensed consolidated balance sheets net of debt issuance and debt discount costs, and includes adjustments to record the long-term debt assumed in the merger with Anixter at its acquisition date fair value.</w:t>
      </w:r>
    </w:p>
    <w:p>
      <w:pPr>
        <w:spacing w:after="0" w:line="89"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0"/>
          <w:szCs w:val="10"/>
          <w:color w:val="auto"/>
        </w:rPr>
        <w:t>Note: Financial leverage ratio is a non-GAAP measure of the use of debt. Financial leverage ratio is calculated by dividing total debt, excluding debt issuance costs, debt discount and fair value adjustments, net of cash, by adjusted EBITDA. EBITDA is defined as the trailing twelve months earnings before interest, taxes, depreciation and amortization. Adjusted EBITDA is defined as the trailing twelve months EBITDA before other non-operating income, non-cash stock-based compensation expense, digital transformation costs, restructuring costs, cloud computing arrangement amortization, loss on abandonment of assets, and excise taxes on excess pension plan assets related to the final settlement of the Anixter Inc. Pension Plan.</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8"/>
          </w:cols>
          <w:pgMar w:left="292" w:top="128" w:right="29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WESCO INTERNATIONAL,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MEASURES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millions, except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(Unaudited)</w:t>
      </w:r>
    </w:p>
    <w:p>
      <w:pPr>
        <w:spacing w:after="0" w:line="200" w:lineRule="exact"/>
        <w:rPr>
          <w:sz w:val="20"/>
          <w:szCs w:val="20"/>
          <w:color w:val="auto"/>
        </w:rPr>
      </w:pP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5"/>
          </w:tcPr>
          <w:p>
            <w:pPr>
              <w:ind w:left="6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Pr>
          <w:p>
            <w:pPr>
              <w:spacing w:after="0"/>
              <w:rPr>
                <w:sz w:val="13"/>
                <w:szCs w:val="13"/>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42"/>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June 30, 2024</w:t>
            </w:r>
          </w:p>
        </w:tc>
      </w:tr>
      <w:tr>
        <w:trPr>
          <w:trHeight w:val="160"/>
        </w:trPr>
        <w:tc>
          <w:tcPr>
            <w:tcW w:w="4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 provided by (used in) operations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107.8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(223.8)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135.8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522.5</w:t>
            </w: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Less: Capital expenditures</w:t>
            </w:r>
          </w:p>
        </w:tc>
        <w:tc>
          <w:tcPr>
            <w:tcW w:w="220" w:type="dxa"/>
            <w:vAlign w:val="bottom"/>
          </w:tcPr>
          <w:p>
            <w:pPr>
              <w:spacing w:after="0"/>
              <w:rPr>
                <w:sz w:val="13"/>
                <w:szCs w:val="13"/>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(41.2)</w:t>
            </w:r>
          </w:p>
        </w:tc>
      </w:tr>
      <w:tr>
        <w:trPr>
          <w:trHeight w:val="15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 Other adjustments</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16.0</w:t>
            </w:r>
          </w:p>
        </w:tc>
      </w:tr>
      <w:tr>
        <w:trPr>
          <w:trHeight w:val="158"/>
        </w:trPr>
        <w:tc>
          <w:tcPr>
            <w:tcW w:w="4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Free cash flow</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86.5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(234.1)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95.9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497.3</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Percentage of adjusted net income</w:t>
            </w: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159.1 %</w:t>
            </w:r>
          </w:p>
        </w:tc>
      </w:tr>
    </w:tbl>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1"/>
          <w:szCs w:val="11"/>
          <w:color w:val="auto"/>
        </w:rPr>
        <w:t>Note: Free cash flow is a non-GAAP financial measure of liquidity. Capital expenditures are deducted from operating cash flow to determine free cash flow. Free cash flow is available to fund investing and financing activities. For the three and six months ended June 30, 2025 and 2024, the Company paid for certain costs related to digital transformation and restructuring. Such expenditures have been added back to operating cash flow to determine free cash flow for such periods. Our calculation of free cash flow may not be comparable to similar measures used by other companies.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300"/>
          </w:cols>
          <w:pgMar w:left="300" w:top="128" w:right="299" w:bottom="1440"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2025-07-31T05:24:02Z</dcterms:created>
  <dcterms:modified xsi:type="dcterms:W3CDTF">2025-07-31T05:24:02Z</dcterms:modified>
</cp:coreProperties>
</file>