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6" w:lineRule="exact"/>
        <w:rPr>
          <w:sz w:val="24"/>
          <w:szCs w:val="24"/>
          <w:color w:val="auto"/>
        </w:rPr>
      </w:pPr>
    </w:p>
    <w:p>
      <w:pPr>
        <w:ind w:left="560" w:hanging="437"/>
        <w:spacing w:after="0"/>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560" w:hanging="437"/>
        <w:spacing w:after="0"/>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5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2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001-14989</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60" w:type="dxa"/>
            <w:vAlign w:val="bottom"/>
            <w:gridSpan w:val="8"/>
          </w:tcPr>
          <w:p>
            <w:pPr>
              <w:jc w:val="center"/>
              <w:ind w:right="3199"/>
              <w:spacing w:after="0"/>
              <w:rPr>
                <w:sz w:val="20"/>
                <w:szCs w:val="20"/>
                <w:color w:val="auto"/>
              </w:rPr>
            </w:pPr>
            <w:r>
              <w:rPr>
                <w:rFonts w:ascii="Times New Roman" w:cs="Times New Roman" w:eastAsia="Times New Roman" w:hAnsi="Times New Roman"/>
                <w:sz w:val="36"/>
                <w:szCs w:val="36"/>
                <w:b w:val="1"/>
                <w:bCs w:val="1"/>
                <w:color w:val="auto"/>
                <w:w w:val="99"/>
              </w:rPr>
              <w:t>WESCO International, Inc.</w:t>
            </w:r>
          </w:p>
        </w:tc>
        <w:tc>
          <w:tcPr>
            <w:tcW w:w="0" w:type="dxa"/>
            <w:vAlign w:val="bottom"/>
          </w:tcPr>
          <w:p>
            <w:pPr>
              <w:spacing w:after="0"/>
              <w:rPr>
                <w:sz w:val="1"/>
                <w:szCs w:val="1"/>
                <w:color w:val="auto"/>
              </w:rPr>
            </w:pPr>
          </w:p>
        </w:tc>
      </w:tr>
      <w:tr>
        <w:trPr>
          <w:trHeight w:val="254"/>
        </w:trPr>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520" w:type="dxa"/>
            <w:vAlign w:val="bottom"/>
            <w:gridSpan w:val="7"/>
          </w:tcPr>
          <w:p>
            <w:pPr>
              <w:jc w:val="center"/>
              <w:ind w:right="36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40" w:type="dxa"/>
            <w:vAlign w:val="bottom"/>
          </w:tcPr>
          <w:p>
            <w:pPr>
              <w:jc w:val="right"/>
              <w:ind w:right="2159"/>
              <w:spacing w:after="0"/>
              <w:rPr>
                <w:sz w:val="20"/>
                <w:szCs w:val="20"/>
                <w:color w:val="auto"/>
              </w:rPr>
            </w:pPr>
            <w:r>
              <w:rPr>
                <w:rFonts w:ascii="Times New Roman" w:cs="Times New Roman" w:eastAsia="Times New Roman" w:hAnsi="Times New Roman"/>
                <w:sz w:val="16"/>
                <w:szCs w:val="16"/>
                <w:b w:val="1"/>
                <w:bCs w:val="1"/>
                <w:color w:val="auto"/>
              </w:rPr>
              <w:t>25-1723342</w:t>
            </w:r>
          </w:p>
        </w:tc>
        <w:tc>
          <w:tcPr>
            <w:tcW w:w="0" w:type="dxa"/>
            <w:vAlign w:val="bottom"/>
          </w:tcPr>
          <w:p>
            <w:pPr>
              <w:spacing w:after="0"/>
              <w:rPr>
                <w:sz w:val="1"/>
                <w:szCs w:val="1"/>
                <w:color w:val="auto"/>
              </w:rPr>
            </w:pPr>
          </w:p>
        </w:tc>
      </w:tr>
      <w:tr>
        <w:trPr>
          <w:trHeight w:val="168"/>
        </w:trPr>
        <w:tc>
          <w:tcPr>
            <w:tcW w:w="3720" w:type="dxa"/>
            <w:vAlign w:val="bottom"/>
            <w:gridSpan w:val="4"/>
          </w:tcPr>
          <w:p>
            <w:pPr>
              <w:jc w:val="center"/>
              <w:ind w:left="1438"/>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jc w:val="center"/>
              <w:ind w:right="1339"/>
              <w:spacing w:after="0" w:line="168"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37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40" w:type="dxa"/>
            <w:vAlign w:val="bottom"/>
          </w:tcPr>
          <w:p>
            <w:pPr>
              <w:jc w:val="center"/>
              <w:ind w:right="131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22"/>
        </w:trPr>
        <w:tc>
          <w:tcPr>
            <w:tcW w:w="37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b w:val="1"/>
                <w:bCs w:val="1"/>
                <w:color w:val="auto"/>
              </w:rPr>
              <w:t>225 West Station Square Drive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vMerge w:val="restart"/>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15219</w:t>
            </w: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Suite 700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gridSpan w:val="4"/>
          </w:tcPr>
          <w:p>
            <w:pPr>
              <w:ind w:left="1820"/>
              <w:spacing w:after="0"/>
              <w:rPr>
                <w:sz w:val="20"/>
                <w:szCs w:val="20"/>
                <w:color w:val="auto"/>
              </w:rPr>
            </w:pPr>
            <w:r>
              <w:rPr>
                <w:rFonts w:ascii="Times New Roman" w:cs="Times New Roman" w:eastAsia="Times New Roman" w:hAnsi="Times New Roman"/>
                <w:sz w:val="16"/>
                <w:szCs w:val="16"/>
                <w:b w:val="1"/>
                <w:bCs w:val="1"/>
                <w:color w:val="auto"/>
              </w:rPr>
              <w:t>Pittsburgh, Pennsylvania</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40" w:type="dxa"/>
            <w:vAlign w:val="bottom"/>
          </w:tcPr>
          <w:p>
            <w:pPr>
              <w:jc w:val="center"/>
              <w:ind w:right="131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16"/>
        </w:trPr>
        <w:tc>
          <w:tcPr>
            <w:tcW w:w="7400" w:type="dxa"/>
            <w:vAlign w:val="bottom"/>
            <w:gridSpan w:val="10"/>
          </w:tcPr>
          <w:p>
            <w:pPr>
              <w:jc w:val="center"/>
              <w:ind w:right="21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gridSpan w:val="4"/>
          </w:tcPr>
          <w:p>
            <w:pPr>
              <w:jc w:val="center"/>
              <w:ind w:left="896"/>
              <w:spacing w:after="0"/>
              <w:rPr>
                <w:sz w:val="20"/>
                <w:szCs w:val="20"/>
                <w:color w:val="auto"/>
              </w:rPr>
            </w:pPr>
            <w:r>
              <w:rPr>
                <w:rFonts w:ascii="Times New Roman" w:cs="Times New Roman" w:eastAsia="Times New Roman" w:hAnsi="Times New Roman"/>
                <w:sz w:val="16"/>
                <w:szCs w:val="16"/>
                <w:b w:val="1"/>
                <w:bCs w:val="1"/>
                <w:color w:val="auto"/>
              </w:rPr>
              <w:t>(412) 454-2200</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gridSpan w:val="6"/>
          </w:tcPr>
          <w:p>
            <w:pPr>
              <w:jc w:val="center"/>
              <w:ind w:left="56"/>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9040" w:type="dxa"/>
            <w:vAlign w:val="bottom"/>
            <w:gridSpan w:val="10"/>
          </w:tcPr>
          <w:p>
            <w:pPr>
              <w:jc w:val="center"/>
              <w:ind w:right="21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317"/>
        </w:trPr>
        <w:tc>
          <w:tcPr>
            <w:tcW w:w="2200" w:type="dxa"/>
            <w:vAlign w:val="bottom"/>
          </w:tcPr>
          <w:p>
            <w:pPr>
              <w:spacing w:after="0"/>
              <w:rPr>
                <w:sz w:val="24"/>
                <w:szCs w:val="24"/>
                <w:color w:val="auto"/>
              </w:rPr>
            </w:pPr>
          </w:p>
        </w:tc>
        <w:tc>
          <w:tcPr>
            <w:tcW w:w="9040" w:type="dxa"/>
            <w:vAlign w:val="bottom"/>
            <w:gridSpan w:val="10"/>
          </w:tcPr>
          <w:p>
            <w:pPr>
              <w:jc w:val="center"/>
              <w:ind w:right="20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40"/>
        </w:trPr>
        <w:tc>
          <w:tcPr>
            <w:tcW w:w="3720" w:type="dxa"/>
            <w:vAlign w:val="bottom"/>
            <w:gridSpan w:val="4"/>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3720" w:type="dxa"/>
            <w:vAlign w:val="bottom"/>
            <w:tcBorders>
              <w:top w:val="single" w:sz="8" w:color="auto"/>
            </w:tcBorders>
            <w:gridSpan w:val="4"/>
          </w:tcPr>
          <w:p>
            <w:pPr>
              <w:jc w:val="center"/>
              <w:ind w:left="698"/>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WCC</w:t>
            </w:r>
          </w:p>
        </w:tc>
        <w:tc>
          <w:tcPr>
            <w:tcW w:w="1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600" w:val="left"/>
        </w:tabs>
        <w:rPr>
          <w:sz w:val="20"/>
          <w:szCs w:val="20"/>
          <w:color w:val="auto"/>
        </w:rPr>
      </w:pPr>
      <w:r>
        <w:rPr>
          <w:rFonts w:ascii="Times New Roman" w:cs="Times New Roman" w:eastAsia="Times New Roman" w:hAnsi="Times New Roman"/>
          <w:sz w:val="18"/>
          <w:szCs w:val="18"/>
          <w:color w:val="auto"/>
        </w:rPr>
        <w:t>requirements for at least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jc w:val="both"/>
        <w:ind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283"/>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left="20" w:right="920" w:firstLine="243"/>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840"/>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2026, 48,704,892 shares of common stock, $0.01 par value,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1040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05"/>
        </w:trPr>
        <w:tc>
          <w:tcPr>
            <w:tcW w:w="260" w:type="dxa"/>
            <w:vAlign w:val="bottom"/>
          </w:tcPr>
          <w:p>
            <w:pPr>
              <w:spacing w:after="0"/>
              <w:rPr>
                <w:sz w:val="24"/>
                <w:szCs w:val="24"/>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8020" w:type="dxa"/>
            <w:vAlign w:val="bottom"/>
            <w:gridSpan w:val="4"/>
          </w:tcPr>
          <w:p>
            <w:pPr>
              <w:spacing w:after="0"/>
              <w:rPr>
                <w:sz w:val="24"/>
                <w:szCs w:val="24"/>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2</w:t>
            </w:r>
          </w:p>
        </w:tc>
        <w:tc>
          <w:tcPr>
            <w:tcW w:w="3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7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Pr>
          <w:p>
            <w:pPr>
              <w:spacing w:after="0"/>
              <w:rPr>
                <w:sz w:val="24"/>
                <w:szCs w:val="24"/>
                <w:color w:val="auto"/>
              </w:rPr>
            </w:pPr>
          </w:p>
        </w:tc>
        <w:tc>
          <w:tcPr>
            <w:tcW w:w="518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66"/>
        </w:trPr>
        <w:tc>
          <w:tcPr>
            <w:tcW w:w="1040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5"/>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4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5"/>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4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518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94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5"/>
        </w:trPr>
        <w:tc>
          <w:tcPr>
            <w:tcW w:w="2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940" w:type="dxa"/>
            <w:vAlign w:val="bottom"/>
            <w:gridSpan w:val="7"/>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925"/>
        </w:trPr>
        <w:tc>
          <w:tcPr>
            <w:tcW w:w="2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80" w:type="dxa"/>
            <w:vAlign w:val="bottom"/>
            <w:gridSpan w:val="7"/>
          </w:tcPr>
          <w:p>
            <w:pPr>
              <w:jc w:val="right"/>
              <w:ind w:right="1640"/>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1" w:lineRule="exact"/>
        <w:rPr>
          <w:sz w:val="20"/>
          <w:szCs w:val="20"/>
          <w:color w:val="auto"/>
        </w:rPr>
      </w:pPr>
    </w:p>
    <w:p>
      <w:pPr>
        <w:ind w:right="120" w:firstLine="243"/>
        <w:spacing w:after="0" w:line="273" w:lineRule="auto"/>
        <w:rPr>
          <w:sz w:val="20"/>
          <w:szCs w:val="20"/>
          <w:color w:val="auto"/>
        </w:rPr>
      </w:pPr>
      <w:r>
        <w:rPr>
          <w:rFonts w:ascii="Times New Roman" w:cs="Times New Roman" w:eastAsia="Times New Roman" w:hAnsi="Times New Roman"/>
          <w:sz w:val="18"/>
          <w:szCs w:val="18"/>
          <w:color w:val="auto"/>
        </w:rPr>
        <w:t>The interim financial information required by this item is set forth in the unaudited Condensed Consolidated Financial Statements and Notes thereto in this Quarterly Report on Form 10-Q, as follows:</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72"/>
        </w:trPr>
        <w:tc>
          <w:tcPr>
            <w:tcW w:w="3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1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80" w:type="dxa"/>
            <w:vAlign w:val="bottom"/>
          </w:tcPr>
          <w:p>
            <w:pPr>
              <w:spacing w:after="0"/>
              <w:rPr>
                <w:sz w:val="24"/>
                <w:szCs w:val="24"/>
                <w:color w:val="auto"/>
              </w:rPr>
            </w:pPr>
          </w:p>
        </w:tc>
      </w:tr>
      <w:tr>
        <w:trPr>
          <w:trHeight w:val="209"/>
        </w:trPr>
        <w:tc>
          <w:tcPr>
            <w:tcW w:w="6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(unaudited)</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80" w:type="dxa"/>
            <w:vAlign w:val="bottom"/>
          </w:tcPr>
          <w:p>
            <w:pPr>
              <w:spacing w:after="0"/>
              <w:rPr>
                <w:sz w:val="18"/>
                <w:szCs w:val="18"/>
                <w:color w:val="auto"/>
              </w:rPr>
            </w:pPr>
          </w:p>
        </w:tc>
      </w:tr>
      <w:tr>
        <w:trPr>
          <w:trHeight w:val="209"/>
        </w:trPr>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32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80" w:type="dxa"/>
            <w:vAlign w:val="bottom"/>
          </w:tcPr>
          <w:p>
            <w:pPr>
              <w:spacing w:after="0"/>
              <w:rPr>
                <w:sz w:val="18"/>
                <w:szCs w:val="18"/>
                <w:color w:val="auto"/>
              </w:rPr>
            </w:pPr>
          </w:p>
        </w:tc>
      </w:tr>
      <w:tr>
        <w:trPr>
          <w:trHeight w:val="209"/>
        </w:trPr>
        <w:tc>
          <w:tcPr>
            <w:tcW w:w="4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(unaudited)</w:t>
            </w:r>
          </w:p>
        </w:tc>
        <w:tc>
          <w:tcPr>
            <w:tcW w:w="568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80" w:type="dxa"/>
            <w:vAlign w:val="bottom"/>
          </w:tcPr>
          <w:p>
            <w:pPr>
              <w:spacing w:after="0"/>
              <w:rPr>
                <w:sz w:val="18"/>
                <w:szCs w:val="18"/>
                <w:color w:val="auto"/>
              </w:rPr>
            </w:pPr>
          </w:p>
        </w:tc>
      </w:tr>
      <w:tr>
        <w:trPr>
          <w:trHeight w:val="209"/>
        </w:trPr>
        <w:tc>
          <w:tcPr>
            <w:tcW w:w="4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0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60" w:type="dxa"/>
            <w:vAlign w:val="bottom"/>
            <w:vMerge w:val="restart"/>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3"/>
                <w:szCs w:val="13"/>
                <w:color w:val="auto"/>
              </w:rPr>
            </w:pPr>
          </w:p>
        </w:tc>
        <w:tc>
          <w:tcPr>
            <w:tcW w:w="13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151"/>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$67.8 and $63.6 in 2026 and 2025,</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9,456.2</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buildings and equipment, net of accumulated depreciation of $649.3 and $626.1 in 2026 and 2025,</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0" w:type="dxa"/>
            <w:vAlign w:val="bottom"/>
          </w:tcPr>
          <w:p>
            <w:pPr>
              <w:spacing w:after="0"/>
              <w:rPr>
                <w:sz w:val="1"/>
                <w:szCs w:val="1"/>
                <w:color w:val="auto"/>
              </w:rPr>
            </w:pPr>
          </w:p>
        </w:tc>
      </w:tr>
      <w:tr>
        <w:trPr>
          <w:trHeight w:val="23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w:t>
            </w:r>
          </w:p>
        </w:tc>
        <w:tc>
          <w:tcPr>
            <w:tcW w:w="0" w:type="dxa"/>
            <w:vAlign w:val="bottom"/>
          </w:tcPr>
          <w:p>
            <w:pPr>
              <w:spacing w:after="0"/>
              <w:rPr>
                <w:sz w:val="1"/>
                <w:szCs w:val="1"/>
                <w:color w:val="auto"/>
              </w:rPr>
            </w:pPr>
          </w:p>
        </w:tc>
      </w:tr>
      <w:tr>
        <w:trPr>
          <w:trHeight w:val="229"/>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ind w:left="33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debt discount and debt issuance costs of $63.6 and $48.0 in 2026 and 2025, respectively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20,000,000 shares authorized, no shares issued or outstanding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$.01 par value; 210,000,000 shares authorized, 70,162,020 and 70,004,866 shares issued and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48,698,535 and 48,658,333 shares outstanding in 2026 and 2025, respectively</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nonvoting convertible common stock, $.01 par value; 20,000,000 shares authorized, 4,339,431 issued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no shares outstanding in 2026 and 2025, respectively</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25,802,916 and 25,685,964 shares in 2026 and 2025, respectively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WESCO International, Inc. equity</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5,343.7</w:t>
            </w:r>
          </w:p>
        </w:tc>
      </w:tr>
      <w:tr>
        <w:trPr>
          <w:trHeight w:val="229"/>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4,218.1</w:t>
            </w: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29"/>
        </w:trPr>
        <w:tc>
          <w:tcPr>
            <w:tcW w:w="20" w:type="dxa"/>
            <w:vAlign w:val="bottom"/>
          </w:tcPr>
          <w:p>
            <w:pPr>
              <w:spacing w:after="0"/>
              <w:rPr>
                <w:sz w:val="19"/>
                <w:szCs w:val="19"/>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2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29"/>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9"/>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WESCO International, Inc.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20" w:type="dxa"/>
            <w:vAlign w:val="bottom"/>
          </w:tcPr>
          <w:p>
            <w:pPr>
              <w:spacing w:after="0"/>
              <w:rPr>
                <w:sz w:val="19"/>
                <w:szCs w:val="19"/>
                <w:color w:val="auto"/>
              </w:rPr>
            </w:pP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70"/>
        </w:trPr>
        <w:tc>
          <w:tcPr>
            <w:tcW w:w="20" w:type="dxa"/>
            <w:vAlign w:val="bottom"/>
          </w:tcPr>
          <w:p>
            <w:pPr>
              <w:spacing w:after="0"/>
              <w:rPr>
                <w:sz w:val="23"/>
                <w:szCs w:val="23"/>
                <w:color w:val="auto"/>
              </w:rPr>
            </w:pPr>
          </w:p>
        </w:tc>
        <w:tc>
          <w:tcPr>
            <w:tcW w:w="6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0"/>
        </w:trPr>
        <w:tc>
          <w:tcPr>
            <w:tcW w:w="20" w:type="dxa"/>
            <w:vAlign w:val="bottom"/>
          </w:tcPr>
          <w:p>
            <w:pPr>
              <w:spacing w:after="0"/>
              <w:rPr>
                <w:sz w:val="23"/>
                <w:szCs w:val="23"/>
                <w:color w:val="auto"/>
              </w:rPr>
            </w:pPr>
          </w:p>
        </w:tc>
        <w:tc>
          <w:tcPr>
            <w:tcW w:w="6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20" w:type="dxa"/>
            <w:vAlign w:val="bottom"/>
          </w:tcPr>
          <w:p>
            <w:pPr>
              <w:spacing w:after="0"/>
              <w:rPr>
                <w:sz w:val="19"/>
                <w:szCs w:val="19"/>
                <w:color w:val="auto"/>
              </w:rPr>
            </w:pPr>
          </w:p>
        </w:tc>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 plan adjustments, net of tax</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2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2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8"/>
        </w:trPr>
        <w:tc>
          <w:tcPr>
            <w:tcW w:w="20" w:type="dxa"/>
            <w:vAlign w:val="bottom"/>
          </w:tcPr>
          <w:p>
            <w:pPr>
              <w:spacing w:after="0"/>
              <w:rPr>
                <w:sz w:val="21"/>
                <w:szCs w:val="21"/>
                <w:color w:val="auto"/>
              </w:rPr>
            </w:pPr>
          </w:p>
        </w:tc>
        <w:tc>
          <w:tcPr>
            <w:tcW w:w="6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17" w:right="10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Cloud computing arrangement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payments, net of cash acquired</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short-term debt,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taxes related to net-share settlement of equity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common stock dividends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20"/>
          </w:cols>
          <w:pgMar w:left="320" w:top="117" w:right="35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3"/>
                <w:szCs w:val="13"/>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6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8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70,004,866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5,513.4</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(1,590.3)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(25,685,964)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$ 5,026.4</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2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March</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70,162,020</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1,515.3</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5,635.8</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(1,622.6)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(25,802,916)</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$ 5,097.9</w:t>
            </w:r>
          </w:p>
        </w:tc>
        <w:tc>
          <w:tcPr>
            <w:tcW w:w="0" w:type="dxa"/>
            <w:vAlign w:val="bottom"/>
          </w:tcPr>
          <w:p>
            <w:pPr>
              <w:spacing w:after="0"/>
              <w:rPr>
                <w:sz w:val="1"/>
                <w:szCs w:val="1"/>
                <w:color w:val="auto"/>
              </w:rPr>
            </w:pPr>
          </w:p>
        </w:tc>
      </w:tr>
      <w:tr>
        <w:trPr>
          <w:trHeight w:val="200"/>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3"/>
                <w:szCs w:val="13"/>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1"/>
                <w:szCs w:val="11"/>
                <w:color w:val="auto"/>
              </w:rPr>
            </w:pPr>
          </w:p>
        </w:tc>
        <w:tc>
          <w:tcPr>
            <w:tcW w:w="12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1"/>
        </w:trPr>
        <w:tc>
          <w:tcPr>
            <w:tcW w:w="128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8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69,627,398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4,339,431</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4,960.7</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(1,495.1)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(25,176,234)</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$ 4,965.5</w:t>
            </w:r>
          </w:p>
        </w:tc>
        <w:tc>
          <w:tcPr>
            <w:tcW w:w="0" w:type="dxa"/>
            <w:vAlign w:val="bottom"/>
          </w:tcPr>
          <w:p>
            <w:pPr>
              <w:spacing w:after="0"/>
              <w:rPr>
                <w:sz w:val="1"/>
                <w:szCs w:val="1"/>
                <w:color w:val="auto"/>
              </w:rPr>
            </w:pPr>
          </w:p>
        </w:tc>
      </w:tr>
      <w:tr>
        <w:trPr>
          <w:trHeight w:val="194"/>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Pr>
          <w:p>
            <w:pPr>
              <w:spacing w:after="0"/>
              <w:rPr>
                <w:sz w:val="11"/>
                <w:szCs w:val="11"/>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257,230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5"/>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March</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69,795,165</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4,339,431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2,049.5</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5,037.8</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(1,521.3)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(25,334,515)</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$ 5,030.1</w:t>
            </w:r>
          </w:p>
        </w:tc>
        <w:tc>
          <w:tcPr>
            <w:tcW w:w="0" w:type="dxa"/>
            <w:vAlign w:val="bottom"/>
          </w:tcPr>
          <w:p>
            <w:pPr>
              <w:spacing w:after="0"/>
              <w:rPr>
                <w:sz w:val="1"/>
                <w:szCs w:val="1"/>
                <w:color w:val="auto"/>
              </w:rPr>
            </w:pPr>
          </w:p>
        </w:tc>
      </w:tr>
      <w:tr>
        <w:trPr>
          <w:trHeight w:val="201"/>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40"/>
          </w:cols>
          <w:pgMar w:left="320" w:top="117" w:right="339"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87630</wp:posOffset>
            </wp:positionV>
            <wp:extent cx="33655" cy="10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87630</wp:posOffset>
            </wp:positionV>
            <wp:extent cx="34290" cy="10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1016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operating segments comprising three strategic business units consisting of Electrical &amp; Electronic Solutions (“EES”), Communications &amp; Security Solutions (“CSS”) and Utility &amp; Broadband Solutions (“UBS”).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Wesco have been prepared in accordance with Rule 10-01 of Regulation S-X of the Securities and Exchange Commission (the “SEC”). The unaudited condensed consolidated financial information should be read in conjunction with the audited Consolidated Financial Statements and Notes thereto included in WESCO International, Inc.’s Annual Report on Form 10-K for the year ended December 31, 2025, as filed with the SEC on February 13, 2026. The Condensed Consolidated Balance Sheet at December 31, 2025 was derived from the audited Consolidated Financial Statements as of that date, but does not include all the disclosures required by accounting principles generally accepted in the United States of America.</w:t>
      </w:r>
    </w:p>
    <w:p>
      <w:pPr>
        <w:spacing w:after="0" w:line="7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Balance Sheet as of March 31, 2026, the unaudited Condensed Consolidated Statements of Income and Comprehensive Income, the unaudited Condensed Consolidated Statements of Equity, and the unaudited Condensed Consolidated Statements of Cash Flows for the three months ended March 31, 2026 and 2025, respectively, in the opinion of management, have been prepared on the same basis as the audited Consolidated Financial Statements and include all adjustments necessary for the fair statement of the results of the interim periods presented herein. All adjustments reflected in the unaudited condensed consolidated financial information are of a normal recurring nature unless indicated. The results for the interim periods presented herein are not necessarily indicative of the results to be expected for the full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Statement of Cash Flows for the three months ended March 31, 2025, includes certain reclassifications to previously reported amounts to conform to the current period's presentation. Such reclassifications had no impact on the totals of operating, investing and financing cash flow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is intended to enhance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should be applied prospectively; however, retrospective application is permitted. Management is currently evaluating the impact that this accounting standard will have on its consolidated financial statements and notes thereto.</w:t>
      </w:r>
    </w:p>
    <w:p>
      <w:pPr>
        <w:spacing w:after="0" w:line="74"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is intended to modernize and simplify the guidance for capitalizing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internal-use software by removing the stage-based approach and aligning the disclosure requirements with those for other long-lived assets. The amendments in this ASU are effective for annual periods beginning after December 15, 2027 and may be applied prospectively, retrospectively, or using a modified prospective approach. Early adoption is permitted. Management is currently evaluating the timing of the adoption of this accounting standard and the impact that it will have on its consolidated financial statements and notes thereto.</w:t>
      </w:r>
    </w:p>
    <w:p>
      <w:pPr>
        <w:spacing w:after="0" w:line="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groups with future effective dates are either not applicable or are not expected to be material to Wesco’s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75"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Wesco distributes products and provides services to customers globally in various end markets within its business segments. The segments operate in the United States, Canada and various other countries.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disaggregates Wesco’s Net sales by geography for the periods presented:</w:t>
      </w:r>
    </w:p>
    <w:p>
      <w:pPr>
        <w:spacing w:after="0" w:line="160" w:lineRule="exact"/>
        <w:rPr>
          <w:sz w:val="20"/>
          <w:szCs w:val="20"/>
          <w:color w:val="auto"/>
        </w:rPr>
      </w:pPr>
    </w:p>
    <w:tbl>
      <w:tblPr>
        <w:tblLayout w:type="fixed"/>
        <w:tblInd w:w="224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3"/>
        </w:trPr>
        <w:tc>
          <w:tcPr>
            <w:tcW w:w="4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11"/>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29"/>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International</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r>
      <w:tr>
        <w:trPr>
          <w:trHeight w:val="223"/>
        </w:trPr>
        <w:tc>
          <w:tcPr>
            <w:tcW w:w="430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Total by geography</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5,343.7</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individual country's net sales are greater than 10% of total Net sales.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Wesco attributes revenues from external customers to individual countries on the basis of point of sale.</w:t>
      </w:r>
    </w:p>
    <w:p>
      <w:pPr>
        <w:spacing w:after="0" w:line="8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Revenue associated with these arrangements is generally recognized within a year or less from the date of the advance billing or payment receipt. At March 31, 2026, December 31, 2025 and December 31, 2024, $167.0 million, $151.4 million and $141.8 million, respectively, of deferred revenue was recorded as a component of Other current liabilities in the Condensed Consolidated Balance Sheets. The Company recognized $51.2 million and $57.4 million of revenue during the three months ended March 31, 2026 and 2025, respectively, that was included in the deferred revenue balance as of December 31, 2025 and 2024, respectively.</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by approximately $115.2 million and $113.0 million, for the three months ended March 31, 2026 and 2025, respectively. As of March 31, 2026 and December 31, 2025, the Company's estimated product return obligation was $37.4 million and $33.7 million, respectively.</w:t>
      </w:r>
    </w:p>
    <w:p>
      <w:pPr>
        <w:spacing w:after="0" w:line="7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Billings to customers for shipping and handling are recognized in Net sales. Wesco has elected to recognize shipping and handling costs as a fulfillment cost. Shipping and handling costs recorded as a component of Selling, general and administrative expenses totaled $88.8 million and $76.5 million for the three months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Software Solutions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January 2, 2025, the Company acquired 100% of the equity securities of Industrial Software Solutions I, Inc. and Industrial Software Solutions ULC (collectively, “ISS”), an industrial automation consulting company, software distributor, and AVEVA Select Partner, for total cash consideration of $36.3 million, net of cash acquired. The assets acquired primarily included distribution agreement and customer relationship intangible assets, with fair values of $10.6 million and $5.0 million, respectively, with the excess of $20.1 million primarily allocated to Goodwill in the Company’s EES reportable segment.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the carrying value of goodwill by reportable segment, which correspond to our reporting units, for the period presented:</w:t>
      </w:r>
    </w:p>
    <w:p>
      <w:pPr>
        <w:spacing w:after="0" w:line="90"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EES</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CSS</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UBS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4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2026</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w:t>
            </w:r>
          </w:p>
        </w:tc>
      </w:tr>
      <w:tr>
        <w:trPr>
          <w:trHeight w:val="229"/>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March 31, 2026</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intangible assets are as follows:</w:t>
      </w:r>
    </w:p>
    <w:p>
      <w:pPr>
        <w:spacing w:after="0" w:line="160"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140" w:type="dxa"/>
            <w:vAlign w:val="bottom"/>
            <w:gridSpan w:val="2"/>
          </w:tcPr>
          <w:p>
            <w:pPr>
              <w:jc w:val="right"/>
              <w:ind w:right="12"/>
              <w:spacing w:after="0" w:line="15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right"/>
              <w:ind w:right="32"/>
              <w:spacing w:after="0" w:line="15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4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9 - 20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agreements</w:t>
            </w:r>
          </w:p>
        </w:tc>
        <w:tc>
          <w:tcPr>
            <w:tcW w:w="12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5 and 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Technology know-how</w:t>
            </w:r>
          </w:p>
        </w:tc>
        <w:tc>
          <w:tcPr>
            <w:tcW w:w="128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r>
              <w:rPr>
                <w:rFonts w:ascii="Times New Roman" w:cs="Times New Roman" w:eastAsia="Times New Roman" w:hAnsi="Times New Roman"/>
                <w:sz w:val="18"/>
                <w:szCs w:val="18"/>
                <w:u w:val="single" w:color="auto"/>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original cost and related accumulated amortization of fully-amortized intangible assets.</w:t>
      </w:r>
    </w:p>
    <w:p>
      <w:pPr>
        <w:spacing w:after="0" w:line="9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totaled $21.8 million and $22.2 million for the three months ended March 31, 2026 and 2025, respectively.</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remaining estimated amortization expense for intangible assets for the next five years and thereafter:</w:t>
      </w:r>
    </w:p>
    <w:p>
      <w:pPr>
        <w:sectPr>
          <w:pgSz w:w="11900" w:h="16838" w:orient="portrait"/>
          <w:cols w:equalWidth="0" w:num="1">
            <w:col w:w="11240"/>
          </w:cols>
          <w:pgMar w:left="320" w:top="225" w:right="339" w:bottom="1440" w:gutter="0" w:footer="0" w:header="0"/>
        </w:sectPr>
      </w:pPr>
    </w:p>
    <w:p>
      <w:pPr>
        <w:spacing w:after="0" w:line="1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p>
      <w:pPr>
        <w:spacing w:after="0" w:line="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Remaining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-127635</wp:posOffset>
            </wp:positionV>
            <wp:extent cx="37115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11575" cy="146050"/>
                    </a:xfrm>
                    <a:prstGeom prst="rect">
                      <a:avLst/>
                    </a:prstGeom>
                    <a:noFill/>
                  </pic:spPr>
                </pic:pic>
              </a:graphicData>
            </a:graphic>
          </wp:anchor>
        </w:drawing>
      </w:r>
    </w:p>
    <w:p>
      <w:pPr>
        <w:spacing w:after="0" w:line="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7115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11575" cy="146050"/>
                    </a:xfrm>
                    <a:prstGeom prst="rect">
                      <a:avLst/>
                    </a:prstGeom>
                    <a:noFill/>
                  </pic:spPr>
                </pic:pic>
              </a:graphicData>
            </a:graphic>
          </wp:anchor>
        </w:drawing>
      </w:r>
    </w:p>
    <w:p>
      <w:pPr>
        <w:spacing w:after="0" w:line="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7115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146050"/>
                    </a:xfrm>
                    <a:prstGeom prst="rect">
                      <a:avLst/>
                    </a:prstGeom>
                    <a:noFill/>
                  </pic:spPr>
                </pic:pic>
              </a:graphicData>
            </a:graphic>
          </wp:anchor>
        </w:drawing>
      </w:r>
    </w:p>
    <w:p>
      <w:pPr>
        <w:spacing w:after="0" w:line="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2030</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7115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11575" cy="171450"/>
                    </a:xfrm>
                    <a:prstGeom prst="rect">
                      <a:avLst/>
                    </a:prstGeom>
                    <a:noFill/>
                  </pic:spPr>
                </pic:pic>
              </a:graphicData>
            </a:graphic>
          </wp:anchor>
        </w:drawing>
      </w:r>
    </w:p>
    <w:p>
      <w:pPr>
        <w:spacing w:after="0" w:line="3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18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8"/>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4"/>
        </w:trPr>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22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Wesco’s stock-based compensation awards consist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spacing w:after="0" w:line="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Stock options and stock-settled stock appreciation rights vest ratably over a three-year period and terminate on the tenth anniversary of the grant date unless terminated sooner under certain conditions. Restricted stock units awarded under the WESCO International, Inc. 2021 Omnibus Incentive Plan, which was adopted on May 27, 2021,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spacing w:after="0" w:line="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2024 performance-based awards are based on two equally-weighted performance measures: the three-year average growth rate of Wesco’s net income attributable to common stockholders and the three-year cumulative return on net assets. The 2025 and 2026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and 2026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each grant date for the 2025 and 2026 awards was measured using a Monte Carlo simulation.</w:t>
      </w:r>
    </w:p>
    <w:p>
      <w:pPr>
        <w:spacing w:after="0" w:line="8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Wesco granted the following stock options, restricted stock units, and performance-based awards at the following weighted-average fair values: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1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720" w:type="dxa"/>
            <w:vAlign w:val="bottom"/>
          </w:tcPr>
          <w:p>
            <w:pPr>
              <w:spacing w:after="0"/>
              <w:rPr>
                <w:sz w:val="13"/>
                <w:szCs w:val="13"/>
                <w:color w:val="auto"/>
              </w:rPr>
            </w:pPr>
          </w:p>
        </w:tc>
      </w:tr>
      <w:tr>
        <w:trPr>
          <w:trHeight w:val="214"/>
        </w:trPr>
        <w:tc>
          <w:tcPr>
            <w:tcW w:w="1980" w:type="dxa"/>
            <w:vAlign w:val="bottom"/>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2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granted</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84,476</w:t>
            </w:r>
          </w:p>
        </w:tc>
        <w:tc>
          <w:tcPr>
            <w:tcW w:w="1720" w:type="dxa"/>
            <w:vAlign w:val="bottom"/>
          </w:tcPr>
          <w:p>
            <w:pPr>
              <w:spacing w:after="0"/>
              <w:rPr>
                <w:sz w:val="19"/>
                <w:szCs w:val="19"/>
                <w:color w:val="auto"/>
              </w:rPr>
            </w:pPr>
          </w:p>
        </w:tc>
      </w:tr>
      <w:tr>
        <w:trPr>
          <w:trHeight w:val="229"/>
        </w:trPr>
        <w:tc>
          <w:tcPr>
            <w:tcW w:w="19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720" w:type="dxa"/>
            <w:vAlign w:val="bottom"/>
          </w:tcPr>
          <w:p>
            <w:pPr>
              <w:spacing w:after="0"/>
              <w:rPr>
                <w:sz w:val="19"/>
                <w:szCs w:val="19"/>
                <w:color w:val="auto"/>
              </w:rPr>
            </w:pPr>
          </w:p>
        </w:tc>
      </w:tr>
      <w:tr>
        <w:trPr>
          <w:trHeight w:val="257"/>
        </w:trPr>
        <w:tc>
          <w:tcPr>
            <w:tcW w:w="1980" w:type="dxa"/>
            <w:vAlign w:val="bottom"/>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720" w:type="dxa"/>
            <w:vAlign w:val="bottom"/>
          </w:tcPr>
          <w:p>
            <w:pPr>
              <w:spacing w:after="0"/>
              <w:rPr>
                <w:sz w:val="22"/>
                <w:szCs w:val="22"/>
                <w:color w:val="auto"/>
              </w:rPr>
            </w:pPr>
          </w:p>
        </w:tc>
      </w:tr>
      <w:tr>
        <w:trPr>
          <w:trHeight w:val="230"/>
        </w:trPr>
        <w:tc>
          <w:tcPr>
            <w:tcW w:w="19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215,603</w:t>
            </w:r>
          </w:p>
        </w:tc>
        <w:tc>
          <w:tcPr>
            <w:tcW w:w="1720" w:type="dxa"/>
            <w:vAlign w:val="bottom"/>
          </w:tcPr>
          <w:p>
            <w:pPr>
              <w:spacing w:after="0"/>
              <w:rPr>
                <w:sz w:val="19"/>
                <w:szCs w:val="19"/>
                <w:color w:val="auto"/>
              </w:rPr>
            </w:pPr>
          </w:p>
        </w:tc>
      </w:tr>
      <w:tr>
        <w:trPr>
          <w:trHeight w:val="229"/>
        </w:trPr>
        <w:tc>
          <w:tcPr>
            <w:tcW w:w="198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1720" w:type="dxa"/>
            <w:vAlign w:val="bottom"/>
          </w:tcPr>
          <w:p>
            <w:pPr>
              <w:spacing w:after="0"/>
              <w:rPr>
                <w:sz w:val="19"/>
                <w:szCs w:val="19"/>
                <w:color w:val="auto"/>
              </w:rPr>
            </w:pPr>
          </w:p>
        </w:tc>
      </w:tr>
      <w:tr>
        <w:trPr>
          <w:trHeight w:val="257"/>
        </w:trPr>
        <w:tc>
          <w:tcPr>
            <w:tcW w:w="19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30"/>
        </w:trPr>
        <w:tc>
          <w:tcPr>
            <w:tcW w:w="198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awards granted</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72,302</w:t>
            </w:r>
          </w:p>
        </w:tc>
        <w:tc>
          <w:tcPr>
            <w:tcW w:w="1720" w:type="dxa"/>
            <w:vAlign w:val="bottom"/>
          </w:tcPr>
          <w:p>
            <w:pPr>
              <w:spacing w:after="0"/>
              <w:rPr>
                <w:sz w:val="19"/>
                <w:szCs w:val="19"/>
                <w:color w:val="auto"/>
              </w:rPr>
            </w:pPr>
          </w:p>
        </w:tc>
      </w:tr>
      <w:tr>
        <w:trPr>
          <w:trHeight w:val="234"/>
        </w:trPr>
        <w:tc>
          <w:tcPr>
            <w:tcW w:w="19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720" w:type="dxa"/>
            <w:vAlign w:val="bottom"/>
          </w:tcPr>
          <w:p>
            <w:pPr>
              <w:spacing w:after="0"/>
              <w:rPr>
                <w:sz w:val="20"/>
                <w:szCs w:val="20"/>
                <w:color w:val="auto"/>
              </w:rPr>
            </w:pPr>
          </w:p>
        </w:tc>
      </w:tr>
      <w:tr>
        <w:trPr>
          <w:trHeight w:val="954"/>
        </w:trPr>
        <w:tc>
          <w:tcPr>
            <w:tcW w:w="1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as disclosed in the table above, were estimated using the following weighted-average assumptions in the respective periods:</w:t>
      </w:r>
    </w:p>
    <w:p>
      <w:pPr>
        <w:spacing w:after="0" w:line="151" w:lineRule="exact"/>
        <w:rPr>
          <w:sz w:val="20"/>
          <w:szCs w:val="20"/>
          <w:color w:val="auto"/>
        </w:rPr>
      </w:pPr>
    </w:p>
    <w:tbl>
      <w:tblPr>
        <w:tblLayout w:type="fixed"/>
        <w:tblInd w:w="240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300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3700" w:type="dxa"/>
            <w:vAlign w:val="bottom"/>
          </w:tcPr>
          <w:p>
            <w:pPr>
              <w:spacing w:after="0"/>
              <w:rPr>
                <w:sz w:val="13"/>
                <w:szCs w:val="13"/>
                <w:color w:val="auto"/>
              </w:rPr>
            </w:pPr>
          </w:p>
        </w:tc>
        <w:tc>
          <w:tcPr>
            <w:tcW w:w="1560" w:type="dxa"/>
            <w:vAlign w:val="bottom"/>
            <w:gridSpan w:val="2"/>
          </w:tcPr>
          <w:p>
            <w:pPr>
              <w:ind w:lef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tcPr>
          <w:p>
            <w:pPr>
              <w:jc w:val="right"/>
              <w:ind w:right="27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37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3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the date of grant using the then current fiscal year projected dividend distribution rate.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stock options and related information for the three months ended March 31, 2026:</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202,849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150.42</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 2026, the aggregate intrinsic value of stock options exercised during such period was $0.7 million.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stock-settled stock appreciation rights and related information for the three months ended March 31, 2026:</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346,866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aggregate intrinsic value of stock-settled stock appreciation rights exercised during such period was $14.7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units and related information for the three months ended March 31, 2026:</w:t>
      </w:r>
    </w:p>
    <w:p>
      <w:pPr>
        <w:spacing w:after="0" w:line="194"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220" w:type="dxa"/>
            <w:vAlign w:val="bottom"/>
          </w:tcPr>
          <w:p>
            <w:pPr>
              <w:jc w:val="center"/>
              <w:ind w:right="154"/>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performance-based awards and related information for the three months ended March 31, 2026:</w:t>
      </w:r>
    </w:p>
    <w:p>
      <w:pPr>
        <w:spacing w:after="0" w:line="194"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24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Wesco recognized $16.1 million and $10.2 million of non-cash stock-based compensation expense for the three months ended March 31, 2026 and 2025, respectively, which is included in selling, general and administrative expenses for such periods. As of March 31, 2026, there was $117.7 million of total unrecognized compensation expense related to unvested stock-based compensation arrangements for all awards previously made, which is expected to be recognized as follows:</w:t>
      </w:r>
    </w:p>
    <w:p>
      <w:pPr>
        <w:spacing w:after="0" w:line="115" w:lineRule="exact"/>
        <w:rPr>
          <w:sz w:val="20"/>
          <w:szCs w:val="20"/>
          <w:color w:val="auto"/>
        </w:rPr>
      </w:pPr>
    </w:p>
    <w:tbl>
      <w:tblPr>
        <w:tblLayout w:type="fixed"/>
        <w:tblInd w:w="2820" w:type="dxa"/>
        <w:tblCellMar>
          <w:top w:w="0" w:type="dxa"/>
          <w:left w:w="0" w:type="dxa"/>
          <w:bottom w:w="0" w:type="dxa"/>
          <w:right w:w="0" w:type="dxa"/>
        </w:tblCellMar>
      </w:tblP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020" w:type="dxa"/>
            <w:vAlign w:val="bottom"/>
          </w:tcPr>
          <w:p>
            <w:pPr>
              <w:spacing w:after="0"/>
              <w:rPr>
                <w:sz w:val="18"/>
                <w:szCs w:val="18"/>
                <w:color w:val="auto"/>
              </w:rPr>
            </w:pPr>
          </w:p>
        </w:tc>
        <w:tc>
          <w:tcPr>
            <w:tcW w:w="18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31, 2022, the Company’s Board of Directors adopted a resolution authorizing the repurchase of up to $1 billion of the Company’s common stock and 10.625% Series A Fixed-Rate Reset Cumulative Perpetual Preferred Stock (the “Series A Preferred Stock”). The share repurchase authorization has no expiration date and may be modified, suspended, or terminated at any time without prior notice.</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entered into spot repurchase transactions through a broker to purchase 92,657 and 153,228 shares of its common stock, respectively, in the open market for cash totaling $25.3 million, including excise taxes, in each period. Wesco funded the repurchases with available cash and borrowings under its accounts receivable securitization and revolving credit facilities.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dividends on common stock are declared at the discretion of the Board of Directors. The following table is a summary of cash dividends declared and paid on the Company’s common stock for the three months ended March 31, 2026:</w:t>
      </w:r>
    </w:p>
    <w:p>
      <w:pPr>
        <w:spacing w:after="0" w:line="140"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Dividend Payment (in</w:t>
            </w:r>
          </w:p>
        </w:tc>
      </w:tr>
      <w:tr>
        <w:trPr>
          <w:trHeight w:val="238"/>
        </w:trPr>
        <w:tc>
          <w:tcPr>
            <w:tcW w:w="1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Date Declared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40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20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7"/>
        </w:trPr>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19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c>
          <w:tcPr>
            <w:tcW w:w="1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March 31, 2026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is a summary of cash dividends declared and paid on the Company’s common stock for the three months ended March 31, 2025:</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Dividend Payment (in</w:t>
            </w:r>
          </w:p>
        </w:tc>
      </w:tr>
      <w:tr>
        <w:trPr>
          <w:trHeight w:val="238"/>
        </w:trPr>
        <w:tc>
          <w:tcPr>
            <w:tcW w:w="1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Date Declared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40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20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7"/>
        </w:trPr>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19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c>
          <w:tcPr>
            <w:tcW w:w="1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March 31,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No quarterly cash dividends were paid on the Company’s Series A Preferred Stock during the three months ended March 31, 2026, as the Series A Preferred Stock was redeemed in June 2025. During the three months ended March 31, 2025, the Company's Board of Directors declared and the Company paid quarterly cash dividends of $0.664 per depositary share relating to its Series A Preferred Stock totaling $14.4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4" w:lineRule="exact"/>
        <w:rPr>
          <w:sz w:val="20"/>
          <w:szCs w:val="20"/>
          <w:color w:val="auto"/>
        </w:rPr>
      </w:pPr>
    </w:p>
    <w:tbl>
      <w:tblPr>
        <w:tblLayout w:type="fixed"/>
        <w:tblInd w:w="136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WESCO International,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line="171" w:lineRule="exact"/>
              <w:rPr>
                <w:sz w:val="20"/>
                <w:szCs w:val="20"/>
                <w:color w:val="auto"/>
              </w:rPr>
            </w:pPr>
            <w:r>
              <w:rPr>
                <w:rFonts w:ascii="Times New Roman" w:cs="Times New Roman" w:eastAsia="Times New Roman" w:hAnsi="Times New Roman"/>
                <w:sz w:val="18"/>
                <w:szCs w:val="18"/>
                <w:color w:val="auto"/>
              </w:rPr>
              <w:t>Weighted-average common shares outstanding used in computing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issuable upon exercise of dilutive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64"/>
        </w:trPr>
        <w:tc>
          <w:tcPr>
            <w:tcW w:w="58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and common share equivalents</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in computing diluted earnings per share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share attributable to common stockholders excludes stock-based awards that would have had an antidilutive effect on earnings per share. For the three months ended March 31, 2026 and 2025, there were approximately 0.1 million and 0.5 million antidilutive shares,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Wesco's outstanding indebtedness:</w:t>
      </w:r>
    </w:p>
    <w:p>
      <w:pPr>
        <w:spacing w:after="0" w:line="214"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159"/>
        </w:trPr>
        <w:tc>
          <w:tcPr>
            <w:tcW w:w="6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3"/>
                <w:szCs w:val="13"/>
                <w:color w:val="auto"/>
              </w:rPr>
            </w:pPr>
          </w:p>
        </w:tc>
        <w:tc>
          <w:tcPr>
            <w:tcW w:w="1280" w:type="dxa"/>
            <w:vAlign w:val="bottom"/>
          </w:tcPr>
          <w:p>
            <w:pPr>
              <w:jc w:val="right"/>
              <w:ind w:right="171"/>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2"/>
        </w:trPr>
        <w:tc>
          <w:tcPr>
            <w:tcW w:w="6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176"/>
        </w:trPr>
        <w:tc>
          <w:tcPr>
            <w:tcW w:w="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7.250%</w:t>
            </w:r>
          </w:p>
        </w:tc>
        <w:tc>
          <w:tcPr>
            <w:tcW w:w="5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Notes due 2028, less debt discount of $2.8 and $3.1 in 2026 and</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 respectively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6.625%</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5.500%</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3"/>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5,826.3</w:t>
            </w: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debt and 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5,756.4</w:t>
            </w:r>
          </w:p>
        </w:tc>
      </w:tr>
      <w:tr>
        <w:trPr>
          <w:trHeight w:val="20"/>
        </w:trPr>
        <w:tc>
          <w:tcPr>
            <w:tcW w:w="6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5.250% Senior Notes due 2031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5.500% Senior Notes due 2034</w:t>
      </w:r>
    </w:p>
    <w:p>
      <w:pPr>
        <w:spacing w:after="0" w:line="9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27, 2026, Wesco Distribution, Inc. (“Wesco Distribution”) issued $650 million aggregate principal amount of 5.250% Senior Notes due 2031 (the “2031 Notes”) and $850 million aggregate principal amount of 5.500% Senior Notes due 2034 (the “2034 Notes” and, together with the 2031 Notes, the “2031 and 2034 Notes”). The 2031 and 2034 Notes were issued at prices of 100% of the aggregate principal amounts thereof. Wesco incurred costs related to the issuance of the 2031 and 2034 Notes totaling $8.3 million and $10.8 million, respectively, which were recorded as a reduction to the carrying value of the debt and are being amortized over the respective terms of the notes.</w:t>
      </w:r>
    </w:p>
    <w:p>
      <w:pPr>
        <w:spacing w:after="0" w:line="7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2031 and 2034 Notes were issued pursuant to, and are governed by, an indenture (the “2031 and 2034 Notes Indenture”), dated as of February 27, 2026, among Wesco Distribution, the Company, Anixter Inc., and U.S. Bank Trust Company, National Association, as trustee (the “Trustee”). The 2031 and 2034 Notes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7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intends to use the net proceeds from the issuance of the 2031 and 2034 Notes to redeem all of its outstanding 7.250% senior notes due 2028 (the “2028 Notes”) on June 15, 2026, the date at which Wesco Distribution may redeem the 2028 Notes at a redemption price equal to 100% of the principal amount, and repay a portion of the amounts outstanding under its revolving credit facility (the “Revolving Credit Facility”). Prior to redeeming the 2028 Notes, the Company used the net proceeds to temporarily repay a portion of the outstanding borrowings under its accounts receivable securitization facility (the “Receivables Facility”) and Revolving Credit Facility. The Company intends to subsequently redraw under the Receivables Facility and the Revolving Credit Facility in an aggregate amount sufficient to redeem the 2028 Notes.</w:t>
      </w:r>
    </w:p>
    <w:p>
      <w:pPr>
        <w:spacing w:after="0" w:line="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29, 2026, Wesco Distribution exercised its right to redeem the entire outstanding $1,325 million aggregate principal amount of the 2028 Notes, and U.S. Bank Trust Company, National Association, as successor to U.S. Bank National Association, as trustee under the 2028 Notes Indenture, issued a notice of redemption to registered holders of the 2028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2031 and 2034 Notes are unsecured and unsubordinated obligations of Wesco Distribution and are guaranteed on an unsecured, unsubordinated basis by the Company and Anixter Inc. The 2031 Notes accrue interest at a rate of 5.250% per annum, payable semi-annually in arrears on April 15 and October 15 of each year. The 2031 Notes will mature on April 15, 2031. The 2034 Notes accrue interest at a rate of 5.500% per annum, payable semi-annually in arrears on April 15 and October 15 of each year. The 2034 Notes will mature on April 15, 2034.</w:t>
      </w:r>
    </w:p>
    <w:p>
      <w:pPr>
        <w:spacing w:after="0" w:line="7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Wesco Distribution may redeem all or a part of the 2031 Notes at any time prior to April 15, 2028 by paying a “make-whole” premium plus accrued and unpaid interest, if any, to but excluding the redemption date. In addition, any time prior to April 15, 2028, Wesco Distribution may redeem up to 35% of the original aggregate principal amount of the 2031 Notes with the net cash proceeds from certain equity offerings. At any time between April 15, 2028 and April 14, 2029, Wesco Distribution may redeem all or a part of the 2031 Notes at a redemption price equal to 102.625% of the principal amount. Between April 15, 2029 and April 14, 2030, Wesco Distribution may redeem all or a part of the 2031 Notes at a redemption price equal to 101.3125% of the principal amount. On and after April 15, 2030, Wesco Distribution may redeem all or a part of the 2031 Notes at a redemption price equal to 100% of the principal amount.</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Wesco Distribution may redeem all or a part of the 2034 Notes at any time prior to April 15, 2029 by paying a “make-whole” premium plus accrued and unpaid interest, if any, to but excluding the redemption date. In addition, any time prior to April 15, 2029, Wesco Distribution may redeem up to 35% of the original aggregate principal amount of the 2034 Notes with the net cash proceeds from certain equity offerings. At any time between April 15, 2029 and April 14, 2030, Wesco Distribution may redeem all or a part of the 2034 Notes at a redemption price equal to 102.750% of the principal amount. Between April 15, 2030 and April 14, 2031, Wesco Distribution may redeem all or a part of the 2034 Notes at a redemption price equal to 101.375% of the principal amount. On and after April 15, 2031, Wesco Distribution may redeem all or a part of the 2034 Notes at a redemption price equal to 100% of the principal amount.</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2031 and 2034 Notes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2031 and 2034 Notes receiving investment grade credit ratings.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2031 and 2034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2031 and 2034 Notes Indenture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primarily consist of cash and cash equivalents, accounts receivable, accounts payable, bank overdrafts, outstanding indebtedness, foreign currency forward contracts, and benefit plan assets. Except for benefit plan assets, outstanding indebtedness and foreign currency forward contracts, the carrying value of the Company’s other financial instruments approximates fair value.</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assets of the Company’s various defined benefit plans primarily comprise common/collective/pool funds (i.e., mutual funds). These funds are valued at the net asset value (“NAV”) of shares held in the underlying funds. Investments for which fair value is measured using the NAV per share practical expedient are not classified in the fair value hierarchy.</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carrying value of Wesco’s debt instruments with fixed interest rates was $5,372.2 million and $3,871.9 million as of March 31, 2026 and December 31, 2025, respectively. The estimated fair value of this debt was $5,424.4 million and $4,004.2 million as of March 31, 2026 and December 31, 2025, respectively. The reported carrying values of Wesco’s other debt instruments, including those with variable interest rates, approximated their fair values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as a risk mitigation effort to protect the value of its derivatives.</w:t>
      </w:r>
    </w:p>
    <w:p>
      <w:pPr>
        <w:spacing w:after="0" w:line="7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March 31, 2026 and December 31, 2025, foreign currency forward contracts were revalued at then-current foreign exchange rates with the changes in valuation reflected directly in Other non-operating (income) expense in the Condensed Consolidated Statements of Income and Comprehensive Income offsetting the transaction gain (loss) recorded on foreign currency-denominated accounts. The gross and net notional amounts of foreign currency forward contracts outstanding were approximately $322.5 million and $286.3 million, at March 31, 2026 and December 31, 2025, respectively. While all of the Company’s foreign currency forward contracts are subject to master netting arrangements with its counterparties, assets and liabilities related to these contracts are presented on a gross basis within the Condensed Consolidated Balance Sheets. The gross fair value of assets and liabilities related to foreign currency forward contracts were immaterial.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result in a negative impact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 Recoveries related to previously recognized losses are recorded when realization is probable. Recoveries in excess of recognized losses are deferred until realized or realizable.</w:t>
      </w:r>
    </w:p>
    <w:p>
      <w:pPr>
        <w:spacing w:after="0" w:line="79"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As of March 31, 2026, the Company has a loss contingency of approximately $49.0 million related to a matter in Other current liabilities, along with a corresponding insurance recovery receivable of $48.5 million in Other accounts receivable on the unaudited Condensed Consolidated Balance Sheet. As a result, the Company does not expect to incur a loss other than for the insurance deductible amount, which is not material to the unaudited Condensed Consolidated Financial Statements.</w:t>
      </w:r>
    </w:p>
    <w:p>
      <w:pPr>
        <w:spacing w:after="0" w:line="56"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previously imposed under the International Emergency Economic Powers Act (“IEEPA”) were invalid. The availability, timing, amount, and process for any potential refunds previously paid by the Company is uncertain and subject to further developments. Accordingly, the Company cannot reasonably estimate any potential financial impact at this time, and no related amounts have been recorded in the unaudited Condensed Consolidated Financial Statements as of March 31, 2026. The Company continues to monitor developments and evaluate potential impacts on its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and 2025 was 21.8% and 23.4%, respectively. The decrease in the effective tax rate is largely driven by higher discrete income tax benefits relating to the exercise and vesting of stock-based awards. For the three months ended March 31, 2026 and 2025, the effective tax rate reflects discrete income tax benefits of $7.7 million and $4.7 million, respectively, from the exercise and vesting of stock-based awards. These discrete income tax benefits reduced the effective tax rate in such periods by approximately 3.9 and 3.0 percentage points, respectively.</w:t>
      </w:r>
    </w:p>
    <w:p>
      <w:pPr>
        <w:spacing w:after="0" w:line="7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purchased $1.0 million and $53.3 million, respectively, of transferable clean energy tax credits to reduce its U.S. federal income tax liability. The Company has taken appropriate measures to mitigate the transferee liability associated with these tax credits, including but not limited to conducting due diligence to confirm the eligibility of the underlying projects or production, as applicable, for the tax credits and the eligibility of the tax credits for transfer, obtaining appropriate contractual protections from the sellers, and obtaining tax credit insurance and/or seller guarantees.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effective tax rate, excluding discrete income tax benefits, differs from the federal statutory income tax rate due primarily to state income taxes, nondeductible expenses, and the tax impact of international operations.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adjustments to the Company's assessment of uncertain tax positions since December 31, 2025.</w:t>
      </w:r>
    </w:p>
    <w:p>
      <w:pPr>
        <w:spacing w:after="0" w:line="11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October 2021, one of the Company’s Mexican affiliates received a tax assessment from the Mexican tax authorities related to its 2012 income tax return which was approximately $33.4 million as of December 31, 2025. The Company believed the assessment was without merit and the Company's Mexican affiliate filed an annulment lawsuit in the Mexican Federal Court of Administrative Justice (the “Court”). The Company expected to prevail in this litigation and, accordingly, did not recognize a liability for this assessment in its Consolidated Financial Statements. On April 23, 2026, the Company received the written decision of the Court. The Company is still evaluating the Court's decision. To the extent that the decision is unfavorable to the Company's Mexican affiliate, it will file an appeal for constitutional review of the lower court decision with the Mexican Federal Collegiate Circuit Court. The Company maintains that it ultimately expects to prevail upon final resolution of the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operating segments comprising three strategic business units: EES, CSS and UBS. These operating segments are equivalent to the Company’s reportable segments. The President and Chief Executive Officer serves as the Company’s Chief Operating Decision Maker (“CODM”). The CODM evaluates the performance of the Company’s reportable segments based on Adjusted earnings before interest, taxes, depreciation and amortization (“Adjusted EBITDA”), which is the Company’s measure of segment profit or loss.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incurs corporate costs primarily related to treasury, tax, information technology, finance, legal and other centralized functions. The Company also has various corporate assets. Segment assets may not include jointly used assets, but segment results include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reportable segments and reconcile Adjusted EBITDA by segment to income before income taxes on a consolidated basis for the periods presented: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180" w:type="dxa"/>
            <w:vAlign w:val="bottom"/>
          </w:tcPr>
          <w:p>
            <w:pPr>
              <w:spacing w:after="0"/>
              <w:rPr>
                <w:sz w:val="13"/>
                <w:szCs w:val="13"/>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3"/>
                <w:szCs w:val="13"/>
                <w:color w:val="auto"/>
              </w:rPr>
            </w:pPr>
          </w:p>
        </w:tc>
        <w:tc>
          <w:tcPr>
            <w:tcW w:w="12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2,478.9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6,080.1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4,788.3</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bl>
    <w:p>
      <w:pPr>
        <w:ind w:left="440" w:hanging="158"/>
        <w:spacing w:after="0" w:line="233" w:lineRule="auto"/>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Selling, general and administrative payroll expenses include salaries, benefits, commissions, incentives, temporary labor, and other payroll expenses.</w:t>
      </w:r>
    </w:p>
    <w:p>
      <w:pPr>
        <w:spacing w:after="0" w:line="50" w:lineRule="exact"/>
        <w:rPr>
          <w:rFonts w:ascii="Times New Roman" w:cs="Times New Roman" w:eastAsia="Times New Roman" w:hAnsi="Times New Roman"/>
          <w:sz w:val="20"/>
          <w:szCs w:val="20"/>
          <w:color w:val="auto"/>
          <w:vertAlign w:val="superscript"/>
        </w:rPr>
      </w:pPr>
    </w:p>
    <w:p>
      <w:pPr>
        <w:ind w:left="520" w:right="40" w:hanging="238"/>
        <w:spacing w:after="0"/>
        <w:tabs>
          <w:tab w:leader="none" w:pos="439"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 allocated expenses (which includes employee-related allocations), transportation costs, facility costs (including rent and utilities), employee expenses (including travel and entertainment), credit losses, real estate and personal property taxes, supplies, professional and consulting fees, and sales promotion expenses.</w:t>
      </w:r>
    </w:p>
    <w:p>
      <w:pPr>
        <w:spacing w:after="0" w:line="167" w:lineRule="exact"/>
        <w:rPr>
          <w:rFonts w:ascii="Times New Roman" w:cs="Times New Roman" w:eastAsia="Times New Roman" w:hAnsi="Times New Roman"/>
          <w:sz w:val="20"/>
          <w:szCs w:val="20"/>
          <w:color w:val="auto"/>
          <w:vertAlign w:val="superscript"/>
        </w:rPr>
      </w:pPr>
    </w:p>
    <w:p>
      <w:pPr>
        <w:ind w:left="440" w:hanging="158"/>
        <w:spacing w:after="0"/>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Selling, general and administrative payroll expenses, as this is an adjustment to calculate Adjusted EBITDA.</w:t>
      </w:r>
    </w:p>
    <w:p>
      <w:pPr>
        <w:spacing w:after="0" w:line="50"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-817880</wp:posOffset>
            </wp:positionV>
            <wp:extent cx="8826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180" w:type="dxa"/>
            <w:vAlign w:val="bottom"/>
          </w:tcPr>
          <w:p>
            <w:pPr>
              <w:spacing w:after="0"/>
              <w:rPr>
                <w:sz w:val="13"/>
                <w:szCs w:val="13"/>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3"/>
                <w:szCs w:val="13"/>
                <w:color w:val="auto"/>
              </w:rPr>
            </w:pPr>
          </w:p>
        </w:tc>
        <w:tc>
          <w:tcPr>
            <w:tcW w:w="12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2,000.3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5,343.7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4,218.1</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bl>
    <w:p>
      <w:pPr>
        <w:ind w:left="440" w:hanging="158"/>
        <w:spacing w:after="0" w:line="233" w:lineRule="auto"/>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Selling, general and administrative payroll expenses include salaries, benefits, commissions, incentives, temporary labor, and other payroll expenses.</w:t>
      </w:r>
    </w:p>
    <w:p>
      <w:pPr>
        <w:spacing w:after="0" w:line="50" w:lineRule="exact"/>
        <w:rPr>
          <w:rFonts w:ascii="Times New Roman" w:cs="Times New Roman" w:eastAsia="Times New Roman" w:hAnsi="Times New Roman"/>
          <w:sz w:val="20"/>
          <w:szCs w:val="20"/>
          <w:color w:val="auto"/>
          <w:vertAlign w:val="superscript"/>
        </w:rPr>
      </w:pPr>
    </w:p>
    <w:p>
      <w:pPr>
        <w:ind w:left="520" w:right="40" w:hanging="238"/>
        <w:spacing w:after="0" w:line="238" w:lineRule="auto"/>
        <w:tabs>
          <w:tab w:leader="none" w:pos="43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ind w:left="440" w:hanging="158"/>
        <w:spacing w:after="0"/>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Selling, general and administrative payroll expenses, as this is an adjustment to calculate Adjusted EBITDA.</w:t>
      </w:r>
    </w:p>
    <w:p>
      <w:pPr>
        <w:spacing w:after="0" w:line="50"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-817880</wp:posOffset>
            </wp:positionV>
            <wp:extent cx="882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Other (income) expense, net by reportable segment for the periods presented, which primarily consists of net foreign currency (gains) losses:</w:t>
      </w:r>
    </w:p>
    <w:p>
      <w:pPr>
        <w:spacing w:after="0" w:line="15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Pr>
          <w:p>
            <w:pPr>
              <w:spacing w:after="0"/>
              <w:rPr>
                <w:sz w:val="18"/>
                <w:szCs w:val="18"/>
                <w:color w:val="auto"/>
              </w:rPr>
            </w:pPr>
          </w:p>
        </w:tc>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15.1</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capital expenditures by reportable segment for the periods presented:</w:t>
      </w:r>
    </w:p>
    <w:p>
      <w:pPr>
        <w:spacing w:after="0" w:line="16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200" w:type="dxa"/>
        <w:tblCellMar>
          <w:top w:w="0" w:type="dxa"/>
          <w:left w:w="0" w:type="dxa"/>
          <w:bottom w:w="0" w:type="dxa"/>
          <w:right w:w="0" w:type="dxa"/>
        </w:tblCellMar>
      </w:tblPr>
      <w:tr>
        <w:trPr>
          <w:trHeight w:val="214"/>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3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3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20.4</w:t>
            </w:r>
          </w:p>
        </w:tc>
      </w:tr>
      <w:tr>
        <w:trPr>
          <w:trHeight w:val="21"/>
        </w:trPr>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Total assets by reportable segment for the periods presented:</w:t>
      </w:r>
    </w:p>
    <w:p>
      <w:pPr>
        <w:spacing w:after="0" w:line="214"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40" w:type="dxa"/>
            <w:vAlign w:val="bottom"/>
            <w:tcBorders>
              <w:bottom w:val="single" w:sz="8" w:color="auto"/>
            </w:tcBorders>
          </w:tcPr>
          <w:p>
            <w:pPr>
              <w:spacing w:after="0"/>
              <w:rPr>
                <w:sz w:val="18"/>
                <w:szCs w:val="18"/>
                <w:color w:val="auto"/>
              </w:rPr>
            </w:pPr>
          </w:p>
        </w:tc>
      </w:tr>
      <w:tr>
        <w:trPr>
          <w:trHeight w:val="159"/>
        </w:trPr>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4,860.8</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6,827.0</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3,798.6</w:t>
            </w:r>
          </w:p>
        </w:tc>
      </w:tr>
      <w:tr>
        <w:trPr>
          <w:trHeight w:val="22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15,486.4</w:t>
            </w:r>
          </w:p>
        </w:tc>
      </w:tr>
      <w:tr>
        <w:trPr>
          <w:trHeight w:val="229"/>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48"/>
        </w:trPr>
        <w:tc>
          <w:tcPr>
            <w:tcW w:w="3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line="232" w:lineRule="auto"/>
        <w:tabs>
          <w:tab w:leader="none" w:pos="245"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assets for Corporate primarily consist of cash and cash equivalents, income taxes receivable, deferred income taxes, property, buildings and equipment, and capitalized cloud computing arrangement costs.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225" w:right="8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should be read in conjunction with the unaudited condensed consolidated financial statements and notes thereto included in Item 1 of this Quarterly Report on Form 10-Q and WESCO International, Inc.’s audited Consolidated Financial Statements and Management’s Discussion and Analysis of Financial Condition and Results of Operations included in its Annual Report on Form 10-K for the fiscal year ended December 31, 2025. The matters discussed herein may contain forward-looking statements that are subject to certain risks and uncertainties that could cause actual results to differ materially from expectations. Certain of these risks are set forth in Item 1A of WESCO International, Inc.’s Annual Report on Form 10-K for the fiscal year ended December 31, 2025, as well as WESCO International, Inc.’s other reports filed with the Securities and Exchange Commission. In this 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Wesco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WESCO International, Inc., and its subsidiaries and its predecessors unless the context otherwise requires.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Wesco and its subsidiaries.</w:t>
      </w:r>
    </w:p>
    <w:p>
      <w:pPr>
        <w:spacing w:after="0" w:line="7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(income) expense,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Wesco, headquartered in Pittsburgh, Pennsylvania, is a leading provider of business-to-business distribution, logistics services and supply chain solutions.</w:t>
      </w:r>
    </w:p>
    <w:p>
      <w:pPr>
        <w:spacing w:after="0" w:line="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spacing w:after="0" w:line="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have operating segments comprising three strategic business units: Electrical &amp; Electronic Solutions (“EES”), Communications &amp; Security Solutions (“CSS”) and Utility &amp; Broadband Solutions (“UBS”). These operating segments are equivalent to our reportable segments. The following is a description of each of our reportable segments and their business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EES segment, serving customers in over 50 countries, is a North American leader,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CSS segment, serving customers in over 50 countries, is a global leader in data center, network infrastructure and security solutions.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06"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The UBS segment is a leader in North America, serving customers primarily in the U.S. and Canada, and provides products and services to investor-owned utilities, electric power cooperatives and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copper cable, connectivity products, pole line hardware, racks, cabinets, safety and MRO products, and point-to-point wireless devices. UBS also offers a complete set of service solutions to improve customer supply chain efficiencies.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08"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Our financial results reflect continued sales momentum in the first quarter of 2026, highlighted by a 13.8% year over year increase in reported Net sales driven by volume growth across all three segments. For the first quarter of 2026 compared to the first quarter of 2025, organic sales increased by 12.3%, which adjusts for fluctuations in foreign exchange rates. Our CSS segment data center solutions business is primarily driving this growth in sales. Our EES segment experienced continued growth and improved gross margin across its construction and OEM businesses, fueled in part by strong wire and cable demand, as well as continued demand for data center projects and increased infrastructure activity. Our UBS segment also delivered sales growth, driven by year-over-year increases in its utility business from investor-owned utility sales and continued momentum in grid services, along with growth in the United States broadband business. Our UBS segment experienced lower gross margin primarily driven by public power utility customers. We also saw record year-over-year backlog growth driven by our CSS and EES segments.</w:t>
      </w:r>
    </w:p>
    <w:p>
      <w:pPr>
        <w:spacing w:after="0" w:line="79"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During the first quarter of 2026, we issued 5.250% Senior Notes due 2031 (the “2031 Notes”) and 5.500% Senior Notes due 2034 (the “2034 Notes” and, together with the 2031 Notes, the “2031 and 2034 Notes”) in part to support the planned redemption of our 7.250% senior notes due 2028 (the “2028 Notes”) in June 2026. Following the redemption of the 2028 Notes, we will have no significant debt maturities until 2029. We expect this redemption to create substantial net income, earnings per share, and cash flow benefit.</w:t>
      </w:r>
    </w:p>
    <w:p>
      <w:pPr>
        <w:spacing w:after="0" w:line="73"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We are monitoring and evaluating the potential effects of the February 20, 2026 U.S. Supreme Court ruling that invalidated tariffs imposed under the International Emergency Economic Powers Act (“IEEPA”); however, due to uncertainty regarding the availability and timing of any potential refunds, we have not recorded any related amounts as of March 31, 2026.</w:t>
      </w:r>
    </w:p>
    <w:p>
      <w:pPr>
        <w:spacing w:after="0" w:line="55"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w:t>
      </w:r>
    </w:p>
    <w:p>
      <w:pPr>
        <w:spacing w:after="0" w:line="6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Taking the above highlights into consideration, we believe we are well positioned to benefit from enduring secular growth trends of AI-driven data centers, increased power generation, electrification, automation and reshoring.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of 2026 versus First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Net sales and organic sales growth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3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Reported Sales</w:t>
            </w: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46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5"/>
              </w:rPr>
              <w:t>— %</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first quarter of 2026 compared to the first quarter of 2025.</w:t>
      </w:r>
    </w:p>
    <w:p>
      <w:pPr>
        <w:spacing w:after="0" w:line="14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sales were $6.1 billion for the first quarter of 2026 compared to $5.3 billion for the first quarter of 2025, an increase of 13.8%. Organic sales for the first quarter of 2026 grew by 12.3%. This growth reflects an approximate 9% increase in volume driven by all three segments (CSS, EES and UBS), and an approximate 3% benefit from price.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Cost of goods sold for the first quarter of 2026 was $4.8 billion compared to $4.2 billion for the first quarter of 2025, an increase of 13.5%. Cost of goods sold as a percentage of Net sales was 78.8% and 78.9% for the first quarter of 2026 and 2025, respectively. The favorable impact reflects improved gross margin in the EES segment partially offset by a decline in the UBS segment and to a lesser extent, the CSS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first quarter of 2026 totaled $947.6 million versus $836.3 million for the first quarter of 2025, an increase of $111.3 million, or 13.3%.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SG&amp;A expenses to Adjusted SG&amp;A expenses, which is a non-GAAP financial measure, for the periods presented:</w:t>
      </w:r>
    </w:p>
    <w:p>
      <w:pPr>
        <w:spacing w:after="0" w:line="208"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 of Net</w:t>
            </w:r>
          </w:p>
        </w:tc>
        <w:tc>
          <w:tcPr>
            <w:tcW w:w="120" w:type="dxa"/>
            <w:vAlign w:val="bottom"/>
          </w:tcPr>
          <w:p>
            <w:pPr>
              <w:spacing w:after="0"/>
              <w:rPr>
                <w:sz w:val="11"/>
                <w:szCs w:val="11"/>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 of Net</w:t>
            </w:r>
          </w:p>
        </w:tc>
        <w:tc>
          <w:tcPr>
            <w:tcW w:w="0" w:type="dxa"/>
            <w:vAlign w:val="bottom"/>
          </w:tcPr>
          <w:p>
            <w:pPr>
              <w:spacing w:after="0"/>
              <w:rPr>
                <w:sz w:val="1"/>
                <w:szCs w:val="1"/>
                <w:color w:val="auto"/>
              </w:rPr>
            </w:pPr>
          </w:p>
        </w:tc>
      </w:tr>
      <w:tr>
        <w:trPr>
          <w:trHeight w:val="203"/>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3"/>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8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Adjusted SG&amp;A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64"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8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SG&amp;A payroll and payroll-related expenses for the first quarter of 2026 of $584.9 million increased by $65.5 million compared to the same period in 2025. The increase was driven primarily by $26.4 million in salaries and $22.3 million in commissions and incentives; the higher incentives expense was due to an increase in management incentive plan accruals and higher sales compared to the prior year.</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expenses not related to payroll and payroll-related costs for the first quarter of 2026 were $362.7 million, an increase of $45.8 million compared to the same period in 2025, which primarily reflects increased transportation costs of $12.3 million, increased IT costs of $11.6 million, increased professional and consulting fees of $10.7 million, and increased costs to operate our facilities of $10.4 million. Additionally, digital transformation costs increased by $11.3 million year over year primarily due to increased costs associated with DDP deployment resources.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Income from operations was $293.5 million for the first quarter of 2026 compared to $240.9 million for the first quarter of 2025, an increase of $52.6 million, or 21.8%. The increase primarily reflects higher Net sales, lower Cost of goods sold as a percentage of sales as described above, and lower SG&amp;A expenses as a percentage of sales as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interest expense totaled $96.7 million for the first quarter of 2026 compared to $86.3 million for the first quarter of 2025. The increase of $10.4 million, or 12.1%, was primarily driven by higher net term debt throughout the first quarter of 2026 compared to the first quarter of 2025, partially offset by lower borrowings on our accounts receivable securitization facility (the “Receivables Facility”) and our revolving credit facility (the “Revolving Credit Facility”) throughout the first quarter of 2026 compared to the first quarter of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$43.1 million for the first quarter of 2026 compared to $36.1 million for the corresponding quarter of the prior year, resulting in effective tax rates of 21.8% and 23.4%, respectively. The lower effective tax rate for the first quarter of 2026 is largely driven by higher discrete income tax benefits relating to the exercise and vesting of stock-based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income and Earnings per diluted share attributable to common stockholders were $153.8 million and $3.11, respectively, for the first quarter of 2026 compared to $104.0 million and $2.10, respectively, for the first quarter of 2025. Adjusted for the non-GAAP adjustments above and the related income tax effects, Net income and Earnings per diluted share attributable to common stockholders were $166.8 million and $3.37, respectively, for the three months ended March 31, 2026, and $109.6 million and $2.21, respectively, for the three months ended March 31, 2025.</w:t>
      </w:r>
    </w:p>
    <w:p>
      <w:pPr>
        <w:spacing w:after="0" w:line="7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per diluted share primarily reflects the increase in Net sales, lower Cost of goods sold as a percentage of Net sales as described above, and lower SG&amp;A expenses as a percentage of Net sales as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was $388.8 million for the first quarter of 2026, compared to $310.7 million for the first quarter of 2025, an increase of $78.1 million, or 25.1% year-over-year. The increase primarily reflects higher Net sales, lower Cost of goods sold as a percentage of sales as described above, and lower SG&amp;A expenses as a percentage of sales, as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financial results of our operating segments comprising three strategic business units consisting of EES, CSS and UBS for the three months ended March 31, 2026. As further described below and in Note 13, “Business Segments” of our Notes to the unaudited Condensed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0" w:type="dxa"/>
            <w:vAlign w:val="bottom"/>
          </w:tcPr>
          <w:p>
            <w:pPr>
              <w:spacing w:after="0"/>
              <w:rPr>
                <w:sz w:val="14"/>
                <w:szCs w:val="14"/>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14"/>
                <w:szCs w:val="14"/>
                <w:color w:val="auto"/>
              </w:rPr>
            </w:pPr>
          </w:p>
        </w:tc>
        <w:tc>
          <w:tcPr>
            <w:tcW w:w="12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380" w:type="dxa"/>
            <w:vAlign w:val="bottom"/>
            <w:gridSpan w:val="2"/>
            <w:vMerge w:val="continue"/>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40" w:type="dxa"/>
            <w:vAlign w:val="bottom"/>
            <w:gridSpan w:val="2"/>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2,244.2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2,065.3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EES reported Net sales of $2.2 billion for the first quarter of 2026 compared to $2.1 billion for the first quarter of 2025, an increase of $178.9 million, or 8.7%. EES organic sales for the first quarter of 2026 increased by 7.0%, driven by the impact of changes in price, which favorably impacted organic sales by approximately 4%, and by volume growth of approximately 3%, driven primarily by the construction and OEM businesses.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EES Adjusted EBITDA increased $42.4 million, or 29.7% year-over-year. The increase primarily reflects an increase in price and volume as discussed above, as well as improved gross margin and lower SG&amp;A expenses as a percentage of Net sales.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0" w:type="dxa"/>
            <w:vAlign w:val="bottom"/>
          </w:tcPr>
          <w:p>
            <w:pPr>
              <w:spacing w:after="0"/>
              <w:rPr>
                <w:sz w:val="14"/>
                <w:szCs w:val="14"/>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14"/>
                <w:szCs w:val="14"/>
                <w:color w:val="auto"/>
              </w:rPr>
            </w:pPr>
          </w:p>
        </w:tc>
        <w:tc>
          <w:tcPr>
            <w:tcW w:w="12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380" w:type="dxa"/>
            <w:vAlign w:val="bottom"/>
            <w:gridSpan w:val="2"/>
            <w:vMerge w:val="continue"/>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40" w:type="dxa"/>
            <w:vAlign w:val="bottom"/>
            <w:gridSpan w:val="2"/>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2,478.9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CSS reported Net sales of $2.5 billion for the first quarter of 2026 compared to $2.0 billion for the first quarter of 2025, an increase of $478.6 million, or 23.9%. CSS organic sales for the first quarter of 2026 grew by 21.9%, primarily reflecting volume growth of approximately 21% as a result of growth in the data center solutions and security solutions businesses, as well as the impact of changes in price, which favorably impacted organic sales by approximately 1%.</w:t>
      </w:r>
    </w:p>
    <w:p>
      <w:pPr>
        <w:spacing w:after="0" w:line="7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CSS Adjusted EBITDA increased $64.7 million, or 40.8% year-over-year. The increase primarily reflects an increase in volume, specifically within the data center solutions business, as described above, as well as lower SG&amp;A expenses as a percentage of Net sales.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0" w:type="dxa"/>
            <w:vAlign w:val="bottom"/>
          </w:tcPr>
          <w:p>
            <w:pPr>
              <w:spacing w:after="0"/>
              <w:rPr>
                <w:sz w:val="14"/>
                <w:szCs w:val="14"/>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14"/>
                <w:szCs w:val="14"/>
                <w:color w:val="auto"/>
              </w:rPr>
            </w:pPr>
          </w:p>
        </w:tc>
        <w:tc>
          <w:tcPr>
            <w:tcW w:w="12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380" w:type="dxa"/>
            <w:vAlign w:val="bottom"/>
            <w:gridSpan w:val="2"/>
            <w:vMerge w:val="continue"/>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40" w:type="dxa"/>
            <w:vAlign w:val="bottom"/>
            <w:gridSpan w:val="2"/>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1,357.0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UBS reported Net sales of $1,357.0 million for the first quarter of 2026 compared to $1,278.1 million for the first quarter of 2025, an increase of $78.9 million, or 6.2%. UBS organic sales for the first quarter of 2026 grew by 5.8%, reflecting volume growth of approximately 3% driven by the utility and broadband businesses, as well as the impact of changes in price, which favorably impacted organic sales by approximately 3%.</w:t>
      </w:r>
    </w:p>
    <w:p>
      <w:pPr>
        <w:spacing w:after="0" w:line="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UBS Adjusted EBITDA decreased $7.6 million, or 5.5% year-over-year. The decrease primarily reflects lower gross margin driven by public power utility customers, as well as an increase in SG&amp;A expenses of $13.5 million consisting primarily of higher costs to operate our facilities of $6.1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26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CSS</w:t>
            </w:r>
          </w:p>
        </w:tc>
        <w:tc>
          <w:tcPr>
            <w:tcW w:w="30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8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48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48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48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4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223.2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(150.1)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388.8</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spacing w:after="0" w:line="54" w:lineRule="exact"/>
        <w:rPr>
          <w:sz w:val="20"/>
          <w:szCs w:val="20"/>
          <w:color w:val="auto"/>
        </w:rPr>
      </w:pPr>
    </w:p>
    <w:p>
      <w:pPr>
        <w:ind w:left="200" w:hanging="147"/>
        <w:spacing w:after="0"/>
        <w:tabs>
          <w:tab w:leader="none" w:pos="20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reportable segments do not incur income taxes and interest expense as these costs are centrally controlled through the Corporate tax and treasury functions.</w:t>
      </w:r>
    </w:p>
    <w:p>
      <w:pPr>
        <w:spacing w:after="0" w:line="27" w:lineRule="exact"/>
        <w:rPr>
          <w:rFonts w:ascii="Times New Roman" w:cs="Times New Roman" w:eastAsia="Times New Roman" w:hAnsi="Times New Roman"/>
          <w:sz w:val="18"/>
          <w:szCs w:val="18"/>
          <w:color w:val="auto"/>
          <w:vertAlign w:val="superscript"/>
        </w:rPr>
      </w:pPr>
    </w:p>
    <w:p>
      <w:pPr>
        <w:ind w:left="220" w:hanging="167"/>
        <w:spacing w:after="0" w:line="191" w:lineRule="auto"/>
        <w:tabs>
          <w:tab w:leader="none" w:pos="2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23"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26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CSS</w:t>
            </w:r>
          </w:p>
        </w:tc>
        <w:tc>
          <w:tcPr>
            <w:tcW w:w="30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r>
      <w:tr>
        <w:trPr>
          <w:trHeight w:val="22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8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48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8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48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8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4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spacing w:after="0" w:line="23" w:lineRule="exact"/>
        <w:rPr>
          <w:sz w:val="20"/>
          <w:szCs w:val="20"/>
          <w:color w:val="auto"/>
        </w:rPr>
      </w:pPr>
    </w:p>
    <w:p>
      <w:pPr>
        <w:ind w:left="220" w:hanging="167"/>
        <w:spacing w:after="0"/>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reportable segments do not incur income taxes and interest expense as these costs are centrally controlled through the Corporate tax and treasury functions.</w:t>
      </w:r>
    </w:p>
    <w:p>
      <w:pPr>
        <w:spacing w:after="0" w:line="23" w:lineRule="exact"/>
        <w:rPr>
          <w:rFonts w:ascii="Times New Roman" w:cs="Times New Roman" w:eastAsia="Times New Roman" w:hAnsi="Times New Roman"/>
          <w:sz w:val="21"/>
          <w:szCs w:val="21"/>
          <w:color w:val="auto"/>
          <w:vertAlign w:val="superscript"/>
        </w:rPr>
      </w:pPr>
    </w:p>
    <w:p>
      <w:pPr>
        <w:ind w:left="220" w:hanging="167"/>
        <w:spacing w:after="0" w:line="191" w:lineRule="auto"/>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23"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1" w:lineRule="exact"/>
        <w:rPr>
          <w:rFonts w:ascii="Times New Roman" w:cs="Times New Roman" w:eastAsia="Times New Roman" w:hAnsi="Times New Roman"/>
          <w:sz w:val="21"/>
          <w:szCs w:val="21"/>
          <w:color w:val="auto"/>
          <w:vertAlign w:val="superscript"/>
        </w:rPr>
      </w:pPr>
    </w:p>
    <w:p>
      <w:pPr>
        <w:ind w:left="220" w:hanging="167"/>
        <w:spacing w:after="0" w:line="214" w:lineRule="auto"/>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2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tables reconcile Selling, general and administrative expenses, Income from operations, Other non-operating (income) expense, Provision for income taxes, Net income attributable to common stockholders and Earnings per diluted share to Adjusted selling, general and administrative expenses, Adjusted income from operations, Adjusted other non-operating (income) expense, Adjusted provision for income taxes, Adjusted net income attributable to common stockholders, and Adjusted earnings per diluted share, which are non-GAAP financial measures, for the periods presented:</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836.3</w:t>
            </w: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SG&amp;A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930.1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829.0</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Other (Income) Expense, net:</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other income,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Provision for Income Taxes: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Income tax effect of adjustments to Income from operations and Other</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(income) expense, net</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Common Stockholders: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effect of adjustments to Income from operations and Other</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(income) expense, net</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termination of business arrangement represents the loss recognized as a result of management's decision to terminate a business arrangement with a third party.</w:t>
      </w:r>
    </w:p>
    <w:p>
      <w:pPr>
        <w:spacing w:after="0" w:line="61" w:lineRule="exact"/>
        <w:rPr>
          <w:rFonts w:ascii="Times New Roman" w:cs="Times New Roman" w:eastAsia="Times New Roman" w:hAnsi="Times New Roman"/>
          <w:sz w:val="21"/>
          <w:szCs w:val="21"/>
          <w:color w:val="auto"/>
          <w:vertAlign w:val="superscript"/>
        </w:rPr>
      </w:pPr>
    </w:p>
    <w:p>
      <w:pPr>
        <w:ind w:left="260" w:hanging="252"/>
        <w:spacing w:after="0" w:line="231" w:lineRule="auto"/>
        <w:tabs>
          <w:tab w:leader="none" w:pos="24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adjustments to Income from operations and Other (income) expense, net have been tax effected at rates of </w:t>
      </w:r>
      <w:r>
        <w:rPr>
          <w:rFonts w:ascii="Times New Roman" w:cs="Times New Roman" w:eastAsia="Times New Roman" w:hAnsi="Times New Roman"/>
          <w:sz w:val="17"/>
          <w:szCs w:val="17"/>
          <w:color w:val="auto"/>
        </w:rPr>
        <w:t>25.8%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26.4%</w:t>
      </w:r>
      <w:r>
        <w:rPr>
          <w:rFonts w:ascii="Times New Roman" w:cs="Times New Roman" w:eastAsia="Times New Roman" w:hAnsi="Times New Roman"/>
          <w:sz w:val="16"/>
          <w:szCs w:val="16"/>
          <w:color w:val="auto"/>
        </w:rPr>
        <w:t xml:space="preserve"> for the three months ended March 31, 2026 and 2025,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WESCO International, Inc.</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Note: For the three months ended March 31, 2026, Selling, general and administrative expenses, Income from operations, Provision for income taxes, Net income attributable to common stockholders, and Earnings per diluted share have been adjusted to exclude Digital transformation costs and the related income tax effects. For the three months ended March 31, 2025, Selling, general and administrative expenses, Income from operations, Other non-operating (income) expense, Provision for income taxes, Net income attributable to common stockholders and Earnings per diluted share have been adjusted to exclude Digital transformation costs, Restructuring costs, the Loss on termination of business arrangement,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liquidity needs generally arise from fluctuations in our working capital requirements, information technology investments, capital expenditures, acquisitions, the payment of dividends, and debt service obligations. 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The maximum borrowing limits of our international lines of credit vary by facility and range between $1.0 million and $12.0 million. As of March 31, 2026, we had $1.2 million outstanding under our international lines of credit.</w:t>
      </w:r>
    </w:p>
    <w:p>
      <w:pPr>
        <w:spacing w:after="0" w:line="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of March 31, 2026, we had $251.5 million outstanding and $1,437.8 million in available borrowing capacity on the Revolving Credit Facility after giving effect to outstanding letters of credit and certain borrowings under our international lines of credit. Additionally as of March 31, 2026, we had $120.0 million outstanding and $1,430.0 million of available borrowing capacity under our Receivables Facility, which combined with available cash of $353.0 million, provided liquidity of approximately $3.2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spacing w:after="0" w:line="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disclosure of our debt instruments, including our outstanding indebtedness as of March 31, 2026, see Note 9, “Debt” of our Notes to the unaudited Condensed Consolidated Financial Statements.</w:t>
      </w:r>
    </w:p>
    <w:p>
      <w:pPr>
        <w:spacing w:after="0" w:line="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27, 2026, Wesco Distribution issued $650 million aggregate principal amount of 2031 Notes and $850 million aggregate principal amount of 2034 Notes. We intend to use the net proceeds from the issuance of the 2031 and 2034 Notes to redeem all of our outstanding 2028 Notes on June 15, 2026. Prior to redeeming the 2028 Notes, we used the net proceeds to temporarily repay a portion of the outstanding borrowings under our Receivables Facility and Revolving Credit Facility. We intend to subsequently redraw under the Receivables Facility and the Revolving Credit Facility in an aggregate amount sufficient to redeem the 2028 Notes.</w:t>
      </w:r>
    </w:p>
    <w:p>
      <w:pPr>
        <w:spacing w:after="0" w:line="7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in the first quarter of 2026, after the Federal Reserve reduced its benchmark interest rate twice in the fourth quarter of 2025 by 25 basis points, respectively, for a total reduction of 50 basis points in the fourth quarter of 2025. Future interest rate changes would raise or lower the rates we pay on our variable rate debt and would contribute to fluctuations in interest expense versus prior periods.</w:t>
      </w:r>
    </w:p>
    <w:p>
      <w:pPr>
        <w:spacing w:after="0" w:line="7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March 31, 2026, approximately 92% of our debt portfolio consisted of fixed rate debt. As noted above, we used the net proceeds from our issuance of the 2031 and 2034 Notes to repay a portion of the amounts outstanding under our Receivables Facility and Revolving Credit Facility, which are both variable rate facilities. We intend to subsequently redraw under our Receivables Facility and Revolving Credit Facility in June 2026 in an aggregate amount sufficient to redeem the 2028 Notes, which represents fixed rate debt. We believe our capital structure has an appropriate mix of fixed versus variable rate debt and secured versus unsecured instruments.</w:t>
      </w:r>
    </w:p>
    <w:p>
      <w:pPr>
        <w:spacing w:after="0" w:line="7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Over the next several quarters, we expect that our excess liquidity will be directed primarily at debt reduction, the payment of dividends, share repurchases,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the first quarter of 2026, future market disruptions could occur which could potentially affect our liquidity. We believe cash provided by operations and financing activities will be adequate to cover our operational and business needs for at least the next twelve months.</w:t>
      </w:r>
    </w:p>
    <w:p>
      <w:pPr>
        <w:spacing w:after="0" w:line="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communicate on a regular basis with our lenders regarding our financial and working capital performance, and liquidity position. We were in compliance with all financial covenants and restrictions contained in our debt agreements as of March 31, 2026.</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also measure our ability to meet our debt obligations based on our financial leverage ratio, which was 3.2x as of March 31, 2026 and 3.4x as of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financial leverage ratio, which is a non-GAAP financial measure, for the periods presented:</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4040" w:type="dxa"/>
            <w:vAlign w:val="bottom"/>
            <w:tcBorders>
              <w:bottom w:val="single" w:sz="8" w:color="auto"/>
            </w:tcBorders>
            <w:gridSpan w:val="5"/>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6460" w:type="dxa"/>
            <w:vAlign w:val="bottom"/>
          </w:tcPr>
          <w:p>
            <w:pPr>
              <w:spacing w:after="0"/>
              <w:rPr>
                <w:sz w:val="13"/>
                <w:szCs w:val="13"/>
                <w:color w:val="auto"/>
              </w:rPr>
            </w:pPr>
          </w:p>
        </w:tc>
        <w:tc>
          <w:tcPr>
            <w:tcW w:w="13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61"/>
        </w:trPr>
        <w:tc>
          <w:tcPr>
            <w:tcW w:w="646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redemption of Series A Preferred Stock</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0" w:type="dxa"/>
            <w:vAlign w:val="bottom"/>
          </w:tcPr>
          <w:p>
            <w:pPr>
              <w:spacing w:after="0"/>
              <w:rPr>
                <w:sz w:val="1"/>
                <w:szCs w:val="1"/>
                <w:color w:val="auto"/>
              </w:rPr>
            </w:pPr>
          </w:p>
        </w:tc>
      </w:tr>
      <w:tr>
        <w:trPr>
          <w:trHeight w:val="207"/>
        </w:trPr>
        <w:tc>
          <w:tcPr>
            <w:tcW w:w="64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1,495.7</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income, net</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Digital transformation costs</w:t>
            </w:r>
            <w:r>
              <w:rPr>
                <w:rFonts w:ascii="Times New Roman" w:cs="Times New Roman" w:eastAsia="Times New Roman" w:hAnsi="Times New Roman"/>
                <w:sz w:val="21"/>
                <w:szCs w:val="21"/>
                <w:color w:val="auto"/>
                <w:vertAlign w:val="superscript"/>
              </w:rPr>
              <w:t>(1)</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6"/>
        </w:trPr>
        <w:tc>
          <w:tcPr>
            <w:tcW w:w="64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Cloud computing arrangement amortization</w:t>
            </w:r>
            <w:r>
              <w:rPr>
                <w:rFonts w:ascii="Times New Roman" w:cs="Times New Roman" w:eastAsia="Times New Roman" w:hAnsi="Times New Roman"/>
                <w:sz w:val="21"/>
                <w:szCs w:val="21"/>
                <w:color w:val="auto"/>
                <w:vertAlign w:val="superscript"/>
              </w:rPr>
              <w:t>(2)</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Restructuring costs</w:t>
            </w:r>
            <w:r>
              <w:rPr>
                <w:rFonts w:ascii="Times New Roman" w:cs="Times New Roman" w:eastAsia="Times New Roman" w:hAnsi="Times New Roman"/>
                <w:sz w:val="21"/>
                <w:szCs w:val="21"/>
                <w:color w:val="auto"/>
                <w:vertAlign w:val="superscript"/>
              </w:rPr>
              <w:t>(3)</w:t>
            </w:r>
          </w:p>
        </w:tc>
        <w:tc>
          <w:tcPr>
            <w:tcW w:w="1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4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158"/>
        </w:trPr>
        <w:tc>
          <w:tcPr>
            <w:tcW w:w="6460" w:type="dxa"/>
            <w:vAlign w:val="bottom"/>
          </w:tcPr>
          <w:p>
            <w:pPr>
              <w:spacing w:after="0"/>
              <w:rPr>
                <w:sz w:val="13"/>
                <w:szCs w:val="13"/>
                <w:color w:val="auto"/>
              </w:rPr>
            </w:pPr>
          </w:p>
        </w:tc>
        <w:tc>
          <w:tcPr>
            <w:tcW w:w="13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4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Short-term debt and current portion of long-term debt, net</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debt, net</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5,756.4</w:t>
            </w:r>
          </w:p>
        </w:tc>
      </w:tr>
      <w:tr>
        <w:trPr>
          <w:trHeight w:val="219"/>
        </w:trPr>
        <w:tc>
          <w:tcPr>
            <w:tcW w:w="646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Debt discount and debt issuance costs</w:t>
            </w:r>
            <w:r>
              <w:rPr>
                <w:rFonts w:ascii="Times New Roman" w:cs="Times New Roman" w:eastAsia="Times New Roman" w:hAnsi="Times New Roman"/>
                <w:sz w:val="21"/>
                <w:szCs w:val="21"/>
                <w:color w:val="auto"/>
                <w:vertAlign w:val="superscript"/>
              </w:rPr>
              <w:t>(4)</w:t>
            </w:r>
          </w:p>
        </w:tc>
        <w:tc>
          <w:tcPr>
            <w:tcW w:w="1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07"/>
        </w:trPr>
        <w:tc>
          <w:tcPr>
            <w:tcW w:w="6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debt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5,829.4</w:t>
            </w:r>
          </w:p>
        </w:tc>
      </w:tr>
      <w:tr>
        <w:trPr>
          <w:trHeight w:val="216"/>
        </w:trPr>
        <w:tc>
          <w:tcPr>
            <w:tcW w:w="6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w:t>
            </w:r>
          </w:p>
        </w:tc>
      </w:tr>
      <w:tr>
        <w:trPr>
          <w:trHeight w:val="212"/>
        </w:trPr>
        <w:tc>
          <w:tcPr>
            <w:tcW w:w="6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debt, net of cash</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leverage ratio</w:t>
            </w:r>
          </w:p>
        </w:tc>
        <w:tc>
          <w:tcPr>
            <w:tcW w:w="1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109"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60" w:hanging="252"/>
        <w:spacing w:after="0" w:line="215" w:lineRule="auto"/>
        <w:tabs>
          <w:tab w:leader="none" w:pos="2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15" w:lineRule="exact"/>
        <w:rPr>
          <w:rFonts w:ascii="Times New Roman" w:cs="Times New Roman" w:eastAsia="Times New Roman" w:hAnsi="Times New Roman"/>
          <w:sz w:val="21"/>
          <w:szCs w:val="21"/>
          <w:color w:val="auto"/>
          <w:vertAlign w:val="superscript"/>
        </w:rPr>
      </w:pPr>
    </w:p>
    <w:p>
      <w:pPr>
        <w:ind w:left="240" w:hanging="232"/>
        <w:spacing w:after="0"/>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Reduction to restructuring costs represents the reversal of certain severance costs previously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 presented in the Condensed Consolidated Balance Sheets net of Debt discount and debt issuance costs.</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Note: Financial leverage ratio is a non-GAAP measure of the use of debt. Financial leverage ratio is calculated by dividing total debt, excluding debt issuance costs and debt discount, net of cash, by Adjusted EBITDA. EBITDA is defined as the trailing twelve months earnings before interest, taxes, depreciation and amortization.</w:t>
      </w:r>
    </w:p>
    <w:p>
      <w:pPr>
        <w:spacing w:after="0" w:line="5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Most of the undistributed earnings of our foreign subsidiaries have been taxed in the U.S. under either the one-time tax imposed on the deemed repatriation of undistributed foreign earnings (the “transition tax”), or the global intangible low-taxed income tax regime imposed by the Tax Cuts and Jobs Act of 2017 renamed, along with other changes, under the One Big Beautiful Bill Act signed into law on July 4, 2025, to net controlled foreign corporation tested income. The distribution of earnings, however, by our foreign subsidiaries in the form of dividends, or otherwise, may be subject to additional taxation. We believe that we are able to maintain sufficient liquidity for our domestic operations and commitments without repatriating cash from our foreign subsidiaries. Therefore, we continue to assert that the remaining undistributed earnings of our foreign subsidiaries are indefinitely reinvested.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 analysis of cash flow for the first three months of 2026 and 2025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months of 2026 totaled $221.4 million, compared to $28.0 million for the first three months of 2025. The $193.4 million increase is primarily driven by a $105.7 million impact from changes in accounts payable. The impact from accounts payable increased primarily due to the increase in inventory purchases, as well as the timing of inventory purchases and payments to suppliers as compared to the prior year. Additionally an increase in net income as adjusted for certain non-cash items also contributed to the increase in operating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first three months of 2026 was $19.9 million compared to $54.4 million in the first three months of 2025. Included in the first three months of 2026 were capital expenditures of $23.4 million compared to $20.4 million in the first three months of 2025. Capital expenditures in the first three months of 2026 and 2025 primarily comprised leasehold improvements and equipment to support our global network of locations, and internal-use computer software and information technology hardware to support our digital transformation initiatives. Included in the first three months of 2025 was $35.2 million paid to acquire Industrial Software Solutions, net of cash acquired.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first three months of 2026 was $108.2 million, compared to net cash provided by financing activities of $2.3 million during the first three months of 2025. During the first three months of 2026, financing activities primarily comprised proceeds of $650.0 million and $850.0 million related to the issuance of the 2031 and 2034 Notes, respectively, net repayments of $1,180.0 million related to our Receivables Facility, net repayments of $326.6 million related to our Revolving Credit Facility, and payment of total debt issuance costs of $19.1 million related to the issuance of the 2031 and 2034 Notes. The first three months of 2026 also included $25.0 million of common stock repurchases, $24.4 million of dividends paid to holders of our common stock and $22.0 million of payments for taxes related to the exercise and vesting of stock-based awards.</w:t>
      </w:r>
    </w:p>
    <w:p>
      <w:pPr>
        <w:spacing w:after="0" w:line="7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first three months of 2025, financing activities primarily comprised proceeds of $800.0 million related to the issuance of the 6.375% senior notes due 2033 (the “2033 Notes”), net repayments of $525.0 million related to our Revolving Credit Facility, net repayments of $175.0 million related to our Receivables Facility, and payment of total debt issuance costs of $14.0 million related to the issuance of the 2033 Notes and amendments to the Revolving Credit Facility and Receivables Facility. The first three months of 2025 also included $25.0 million of common stock repurchases, $22.1 million and $14.4 million of dividends paid to holders of our common stock and Series A Preferred Stock, respectively, and $18.0 million of payments for taxes related to the exercise and vesting of stock-based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Obligations and Other Commercial Commitments</w:t>
      </w:r>
    </w:p>
    <w:p>
      <w:pPr>
        <w:spacing w:after="0" w:line="11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contractual obligations and other commercial commitments that would require an update to the disclosure provided in our Annual Report on Form 10-K for the fiscal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estimates disclosed in Part II, Item 7. “Management’s Discussion and Analysis of Financial Condition and Results of Operations” of our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2, “Accounting Policies” of our Notes to the unaudited Condensed Consolidated Financial Statements for a description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spacing w:after="0" w:line="15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i w:val="1"/>
          <w:iCs w:val="1"/>
          <w:color w:val="auto"/>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(AI); risks relating to our use or reliance on AI;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cybersecurity, competition, sustainability and environmental protection; the inability to successfully develop, manage or implement new technology initiatives or business strategies, including with respect to the expansion of e-commerce or AI capabilities and other digital solutions and digitalization initiatives; disruption of information technology systems or operations; natural disasters (including as a result of climate change), health epidemics, pandemics and other outbreaks; supply chain disruptions; geopolitical conflicts and issues, such as the ongoing Middle East and Russia/Ukraine conflicts; the impact of changing and expanding export controls, sanctions, and data localization rules;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12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For a discussion of changes to the market risks that were previously disclosed in our Annual Report on Form 10-K for the fiscal year ended December 31, 2025, refer to Part I, Item 2, “Management’s Discussion and Analysis of Financial Condition and Results of Operations” and to Part II, Item 1A, “Risk Factors”.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spacing w:after="0" w:line="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quarterly period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quarterly period ended March 31, 2026, the Company continued its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set forth in Note 11, “Commitments and Contingencies” to the Notes to the unaudited Condensed Consolidated Financial Statements, 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Item 1A. to Part I of WESCO International, Inc.’s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all issuer purchases of common stock during the three months ended March 31, 2026:</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820" w:type="dxa"/>
            <w:vAlign w:val="bottom"/>
          </w:tcPr>
          <w:p>
            <w:pPr>
              <w:jc w:val="right"/>
              <w:ind w:right="436"/>
              <w:spacing w:after="0" w:line="191"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20" w:type="dxa"/>
            <w:vAlign w:val="bottom"/>
          </w:tcPr>
          <w:p>
            <w:pPr>
              <w:jc w:val="center"/>
              <w:spacing w:after="0" w:line="191"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39"/>
              <w:spacing w:after="0" w:line="191" w:lineRule="exact"/>
              <w:rPr>
                <w:sz w:val="20"/>
                <w:szCs w:val="20"/>
                <w:color w:val="auto"/>
              </w:rPr>
            </w:pPr>
            <w:r>
              <w:rPr>
                <w:rFonts w:ascii="Times New Roman" w:cs="Times New Roman" w:eastAsia="Times New Roman" w:hAnsi="Times New Roman"/>
                <w:sz w:val="14"/>
                <w:szCs w:val="14"/>
                <w:b w:val="1"/>
                <w:bCs w:val="1"/>
                <w:color w:val="auto"/>
                <w:w w:val="97"/>
              </w:rPr>
              <w:t>or Programs</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2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170,642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280.18</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260" w:hanging="252"/>
        <w:spacing w:after="0" w:line="231" w:lineRule="auto"/>
        <w:tabs>
          <w:tab w:leader="none" w:pos="272"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were 77,985 shares purchased during the quarterly period ended March 31, 2026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spacing w:after="0" w:line="101" w:lineRule="exact"/>
        <w:rPr>
          <w:rFonts w:ascii="Times New Roman" w:cs="Times New Roman" w:eastAsia="Times New Roman" w:hAnsi="Times New Roman"/>
          <w:sz w:val="21"/>
          <w:szCs w:val="21"/>
          <w:color w:val="auto"/>
          <w:vertAlign w:val="superscript"/>
        </w:rPr>
      </w:pPr>
    </w:p>
    <w:p>
      <w:pPr>
        <w:jc w:val="both"/>
        <w:ind w:left="260" w:hanging="252"/>
        <w:spacing w:after="0" w:line="239" w:lineRule="auto"/>
        <w:tabs>
          <w:tab w:leader="none" w:pos="24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31, 2022, Wesco’s Board of Directors authorized the repurchase of up to $1 billion of the Company’s common stock. The share repurchase authorization has no expiration date and may be modified, suspended, or terminated at any time without prior notice. During the three months ended March 31, 2026, the Company entered into spot repurchase transactions through brokers to purchase 92,657 shares of its common stock in the open market for cash totaling $25.0 million. Wesco funded the repurchases with available cash and borrowings under its accounts receivable securitization and revolving credit facilities.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1" w:lineRule="exact"/>
        <w:rPr>
          <w:sz w:val="20"/>
          <w:szCs w:val="20"/>
          <w:color w:val="auto"/>
        </w:rPr>
      </w:pPr>
    </w:p>
    <w:p>
      <w:pPr>
        <w:ind w:left="20"/>
        <w:spacing w:after="0"/>
        <w:tabs>
          <w:tab w:leader="none" w:pos="1120" w:val="left"/>
          <w:tab w:leader="none" w:pos="802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 of Exhibit</w:t>
      </w:r>
      <w:r>
        <w:rPr>
          <w:sz w:val="20"/>
          <w:szCs w:val="20"/>
          <w:color w:val="auto"/>
        </w:rPr>
        <w:tab/>
      </w:r>
      <w:r>
        <w:rPr>
          <w:rFonts w:ascii="Times New Roman" w:cs="Times New Roman" w:eastAsia="Times New Roman" w:hAnsi="Times New Roman"/>
          <w:sz w:val="14"/>
          <w:szCs w:val="14"/>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7"/>
              </w:rPr>
              <w:t>4.1</w:t>
            </w:r>
          </w:p>
        </w:tc>
        <w:tc>
          <w:tcPr>
            <w:tcW w:w="6400" w:type="dxa"/>
            <w:vAlign w:val="bottom"/>
            <w:gridSpan w:val="5"/>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Indenture, dated as of February 27, 2026, among Wesco Distribution, WESCO and U.S.</w:t>
              </w:r>
            </w:hyperlink>
          </w:p>
        </w:tc>
      </w:tr>
      <w:tr>
        <w:trPr>
          <w:trHeight w:val="155"/>
        </w:trPr>
        <w:tc>
          <w:tcPr>
            <w:tcW w:w="11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Bank Trust Company, National Association, as trustee.</w:t>
              </w:r>
            </w:hyperlink>
          </w:p>
        </w:tc>
        <w:tc>
          <w:tcPr>
            <w:tcW w:w="23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7"/>
              </w:rPr>
              <w:t>4.2</w:t>
            </w:r>
          </w:p>
        </w:tc>
        <w:tc>
          <w:tcPr>
            <w:tcW w:w="6400" w:type="dxa"/>
            <w:vAlign w:val="bottom"/>
            <w:gridSpan w:val="5"/>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5.250% Senior Note due 2031 (included as Exhibit A-1 to the Indenture filed as</w:t>
              </w:r>
            </w:hyperlink>
          </w:p>
        </w:tc>
      </w:tr>
      <w:tr>
        <w:trPr>
          <w:trHeight w:val="156"/>
        </w:trPr>
        <w:tc>
          <w:tcPr>
            <w:tcW w:w="1120" w:type="dxa"/>
            <w:vAlign w:val="bottom"/>
          </w:tcPr>
          <w:p>
            <w:pPr>
              <w:spacing w:after="0"/>
              <w:rPr>
                <w:sz w:val="13"/>
                <w:szCs w:val="13"/>
                <w:color w:val="auto"/>
              </w:rPr>
            </w:pPr>
          </w:p>
        </w:tc>
        <w:tc>
          <w:tcPr>
            <w:tcW w:w="63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Exhibit 4.1 hereto).</w:t>
              </w:r>
            </w:hyperlink>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4.1 to Wesco's Current Report on Form 8-K, dated</w:t>
      </w: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5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4.2 to Wesco's Current Report on Form 8-K, dated</w:t>
      </w: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43" w:lineRule="exact"/>
        <w:rPr>
          <w:sz w:val="20"/>
          <w:szCs w:val="20"/>
          <w:color w:val="auto"/>
        </w:rPr>
      </w:pPr>
    </w:p>
    <w:p>
      <w:pPr>
        <w:sectPr>
          <w:pgSz w:w="11900" w:h="16838" w:orient="portrait"/>
          <w:cols w:equalWidth="0" w:num="2">
            <w:col w:w="7520" w:space="520"/>
            <w:col w:w="3160"/>
          </w:cols>
          <w:pgMar w:left="320" w:top="117"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7"/>
              </w:rPr>
              <w:t>4.3</w:t>
            </w:r>
          </w:p>
        </w:tc>
        <w:tc>
          <w:tcPr>
            <w:tcW w:w="6400" w:type="dxa"/>
            <w:vAlign w:val="bottom"/>
            <w:gridSpan w:val="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5.500% Senior Note due 2034 (included as Exhibit A-2 to the Indenture filed as</w:t>
              </w:r>
            </w:hyperlink>
          </w:p>
        </w:tc>
      </w:tr>
      <w:tr>
        <w:trPr>
          <w:trHeight w:val="156"/>
        </w:trPr>
        <w:tc>
          <w:tcPr>
            <w:tcW w:w="1120" w:type="dxa"/>
            <w:vAlign w:val="bottom"/>
          </w:tcPr>
          <w:p>
            <w:pPr>
              <w:spacing w:after="0"/>
              <w:rPr>
                <w:sz w:val="13"/>
                <w:szCs w:val="13"/>
                <w:color w:val="auto"/>
              </w:rPr>
            </w:pPr>
          </w:p>
        </w:tc>
        <w:tc>
          <w:tcPr>
            <w:tcW w:w="63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Exhibit 4.1 hereto).</w:t>
              </w:r>
            </w:hyperlink>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4.3 to Wesco's Current Report on Form 8-K, dated</w:t>
      </w: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43" w:lineRule="exact"/>
        <w:rPr>
          <w:sz w:val="20"/>
          <w:szCs w:val="20"/>
          <w:color w:val="auto"/>
        </w:rPr>
      </w:pPr>
    </w:p>
    <w:p>
      <w:pPr>
        <w:sectPr>
          <w:pgSz w:w="11900" w:h="16838" w:orient="portrait"/>
          <w:cols w:equalWidth="0" w:num="2">
            <w:col w:w="7520" w:space="520"/>
            <w:col w:w="3160"/>
          </w:cols>
          <w:pgMar w:left="320" w:top="117" w:right="37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10.1</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Agreement, dated June 12, 2025, memorializing terms of employment of Dirk Naylor by</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36"/>
        </w:trPr>
        <w:tc>
          <w:tcPr>
            <w:tcW w:w="1120" w:type="dxa"/>
            <w:vAlign w:val="bottom"/>
          </w:tcPr>
          <w:p>
            <w:pPr>
              <w:spacing w:after="0"/>
              <w:rPr>
                <w:sz w:val="11"/>
                <w:szCs w:val="11"/>
                <w:color w:val="auto"/>
              </w:rPr>
            </w:pPr>
          </w:p>
        </w:tc>
        <w:tc>
          <w:tcPr>
            <w:tcW w:w="5100" w:type="dxa"/>
            <w:vAlign w:val="bottom"/>
            <w:tcBorders>
              <w:top w:val="single" w:sz="8" w:color="0000FF"/>
            </w:tcBorders>
            <w:gridSpan w:val="6"/>
          </w:tcPr>
          <w:p>
            <w:pPr>
              <w:spacing w:after="0" w:line="136" w:lineRule="exact"/>
              <w:rPr>
                <w:sz w:val="20"/>
                <w:szCs w:val="20"/>
                <w:color w:val="auto"/>
              </w:rPr>
            </w:pPr>
            <w:r>
              <w:rPr>
                <w:rFonts w:ascii="Times New Roman" w:cs="Times New Roman" w:eastAsia="Times New Roman" w:hAnsi="Times New Roman"/>
                <w:sz w:val="15"/>
                <w:szCs w:val="15"/>
                <w:color w:val="0000FF"/>
              </w:rPr>
              <w:t>WESCO International, Inc.</w:t>
            </w:r>
          </w:p>
        </w:tc>
        <w:tc>
          <w:tcPr>
            <w:tcW w:w="11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7"/>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10.2</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Agreement, dated July 14, 2025, memorializing terms of employment of Daniel Castillo by</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36"/>
        </w:trPr>
        <w:tc>
          <w:tcPr>
            <w:tcW w:w="1120" w:type="dxa"/>
            <w:vAlign w:val="bottom"/>
          </w:tcPr>
          <w:p>
            <w:pPr>
              <w:spacing w:after="0"/>
              <w:rPr>
                <w:sz w:val="11"/>
                <w:szCs w:val="11"/>
                <w:color w:val="auto"/>
              </w:rPr>
            </w:pPr>
          </w:p>
        </w:tc>
        <w:tc>
          <w:tcPr>
            <w:tcW w:w="5080" w:type="dxa"/>
            <w:vAlign w:val="bottom"/>
            <w:tcBorders>
              <w:top w:val="single" w:sz="8" w:color="0000FF"/>
            </w:tcBorders>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WESCO International, Inc.</w:t>
            </w:r>
          </w:p>
        </w:tc>
        <w:tc>
          <w:tcPr>
            <w:tcW w:w="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7"/>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10.3</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Eighth Amendment to Fourth Amended and Restated Credit Agreement, dated as of March</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1120" w:type="dxa"/>
            <w:vAlign w:val="bottom"/>
          </w:tcPr>
          <w:p>
            <w:pPr>
              <w:spacing w:after="0"/>
              <w:rPr>
                <w:sz w:val="13"/>
                <w:szCs w:val="13"/>
                <w:color w:val="auto"/>
              </w:rPr>
            </w:pPr>
          </w:p>
        </w:tc>
        <w:tc>
          <w:tcPr>
            <w:tcW w:w="65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13, 2026, by and among WESCO Distribution, Inc. the other U.S. borrowers party thereto,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65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WESCO Distribution Canada LP, the other Canadian borrowers party thereto, WESCO</w:t>
            </w: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International, Inc., the lenders party thereto and Barclays Bank PLC, as administrative</w:t>
            </w:r>
          </w:p>
        </w:tc>
        <w:tc>
          <w:tcPr>
            <w:tcW w:w="420" w:type="dxa"/>
            <w:vAlign w:val="bottom"/>
            <w:tcBorders>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1"/>
              </w:rPr>
              <w:t>agent.</w:t>
            </w:r>
          </w:p>
        </w:tc>
        <w:tc>
          <w:tcPr>
            <w:tcW w:w="120" w:type="dxa"/>
            <w:vAlign w:val="bottom"/>
            <w:gridSpan w:val="2"/>
          </w:tcPr>
          <w:p>
            <w:pPr>
              <w:spacing w:after="0"/>
              <w:rPr>
                <w:sz w:val="13"/>
                <w:szCs w:val="13"/>
                <w:color w:val="auto"/>
              </w:rPr>
            </w:pPr>
          </w:p>
        </w:tc>
        <w:tc>
          <w:tcPr>
            <w:tcW w:w="1460" w:type="dxa"/>
            <w:vAlign w:val="bottom"/>
          </w:tcPr>
          <w:p>
            <w:pPr>
              <w:spacing w:after="0"/>
              <w:rPr>
                <w:sz w:val="13"/>
                <w:szCs w:val="13"/>
                <w:color w:val="auto"/>
              </w:rPr>
            </w:pPr>
          </w:p>
        </w:tc>
      </w:tr>
      <w:tr>
        <w:trPr>
          <w:trHeight w:val="263"/>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31.1</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promulgated under the</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1120" w:type="dxa"/>
            <w:vAlign w:val="bottom"/>
          </w:tcPr>
          <w:p>
            <w:pPr>
              <w:spacing w:after="0"/>
              <w:rPr>
                <w:sz w:val="13"/>
                <w:szCs w:val="13"/>
                <w:color w:val="auto"/>
              </w:rPr>
            </w:pPr>
          </w:p>
        </w:tc>
        <w:tc>
          <w:tcPr>
            <w:tcW w:w="66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Exchange Act.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7"/>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31.2</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promulgated under the</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5"/>
        </w:trPr>
        <w:tc>
          <w:tcPr>
            <w:tcW w:w="1120" w:type="dxa"/>
            <w:vAlign w:val="bottom"/>
          </w:tcPr>
          <w:p>
            <w:pPr>
              <w:spacing w:after="0"/>
              <w:rPr>
                <w:sz w:val="13"/>
                <w:szCs w:val="13"/>
                <w:color w:val="auto"/>
              </w:rPr>
            </w:pPr>
          </w:p>
        </w:tc>
        <w:tc>
          <w:tcPr>
            <w:tcW w:w="65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Exchange Act.</w:t>
            </w: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4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7"/>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32.1</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155"/>
        </w:trPr>
        <w:tc>
          <w:tcPr>
            <w:tcW w:w="1120" w:type="dxa"/>
            <w:vAlign w:val="bottom"/>
          </w:tcPr>
          <w:p>
            <w:pPr>
              <w:spacing w:after="0"/>
              <w:rPr>
                <w:sz w:val="13"/>
                <w:szCs w:val="13"/>
                <w:color w:val="auto"/>
              </w:rPr>
            </w:pPr>
          </w:p>
        </w:tc>
        <w:tc>
          <w:tcPr>
            <w:tcW w:w="66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7"/>
        </w:trPr>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5"/>
              </w:rPr>
              <w:t>32.2</w:t>
            </w: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155"/>
        </w:trPr>
        <w:tc>
          <w:tcPr>
            <w:tcW w:w="11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2002.</w:t>
            </w: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49" w:lineRule="exact"/>
        <w:rPr>
          <w:sz w:val="20"/>
          <w:szCs w:val="20"/>
          <w:color w:val="auto"/>
        </w:rPr>
      </w:pPr>
    </w:p>
    <w:p>
      <w:pPr>
        <w:ind w:left="1140" w:hanging="111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WESCO International, Inc.</w:t>
            </w:r>
          </w:p>
        </w:tc>
        <w:tc>
          <w:tcPr>
            <w:tcW w:w="1100" w:type="dxa"/>
            <w:vAlign w:val="bottom"/>
          </w:tcPr>
          <w:p>
            <w:pPr>
              <w:spacing w:after="0"/>
              <w:rPr>
                <w:sz w:val="20"/>
                <w:szCs w:val="20"/>
                <w:color w:val="auto"/>
              </w:rPr>
            </w:pPr>
          </w:p>
        </w:tc>
      </w:tr>
      <w:tr>
        <w:trPr>
          <w:trHeight w:val="228"/>
        </w:trPr>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1100" w:type="dxa"/>
            <w:vAlign w:val="bottom"/>
          </w:tcPr>
          <w:p>
            <w:pPr>
              <w:spacing w:after="0"/>
              <w:rPr>
                <w:sz w:val="19"/>
                <w:szCs w:val="19"/>
                <w:color w:val="auto"/>
              </w:rPr>
            </w:pPr>
          </w:p>
        </w:tc>
      </w:tr>
      <w:tr>
        <w:trPr>
          <w:trHeight w:val="34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6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Indraneel Dev</w:t>
            </w:r>
          </w:p>
        </w:tc>
        <w:tc>
          <w:tcPr>
            <w:tcW w:w="1100" w:type="dxa"/>
            <w:vAlign w:val="bottom"/>
          </w:tcPr>
          <w:p>
            <w:pPr>
              <w:spacing w:after="0"/>
              <w:rPr>
                <w:sz w:val="24"/>
                <w:szCs w:val="24"/>
                <w:color w:val="auto"/>
              </w:rPr>
            </w:pPr>
          </w:p>
        </w:tc>
      </w:tr>
      <w:tr>
        <w:trPr>
          <w:trHeight w:val="218"/>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18"/>
                <w:szCs w:val="18"/>
                <w:color w:val="auto"/>
              </w:rPr>
            </w:pPr>
          </w:p>
        </w:tc>
        <w:tc>
          <w:tcPr>
            <w:tcW w:w="5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Indraneel Dev</w:t>
            </w:r>
          </w:p>
        </w:tc>
        <w:tc>
          <w:tcPr>
            <w:tcW w:w="1100" w:type="dxa"/>
            <w:vAlign w:val="bottom"/>
            <w:tcBorders>
              <w:top w:val="single" w:sz="8" w:color="auto"/>
            </w:tcBorders>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10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00" w:type="dxa"/>
            <w:vAlign w:val="bottom"/>
          </w:tcPr>
          <w:p>
            <w:pPr>
              <w:spacing w:after="0"/>
              <w:rPr>
                <w:sz w:val="20"/>
                <w:szCs w:val="20"/>
                <w:color w:val="auto"/>
              </w:rPr>
            </w:pPr>
          </w:p>
        </w:tc>
      </w:tr>
      <w:tr>
        <w:trPr>
          <w:trHeight w:val="581"/>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6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Matthew S. Kulasa</w:t>
            </w:r>
          </w:p>
        </w:tc>
        <w:tc>
          <w:tcPr>
            <w:tcW w:w="1100" w:type="dxa"/>
            <w:vAlign w:val="bottom"/>
          </w:tcPr>
          <w:p>
            <w:pPr>
              <w:spacing w:after="0"/>
              <w:rPr>
                <w:sz w:val="24"/>
                <w:szCs w:val="24"/>
                <w:color w:val="auto"/>
              </w:rPr>
            </w:pPr>
          </w:p>
        </w:tc>
      </w:tr>
      <w:tr>
        <w:trPr>
          <w:trHeight w:val="218"/>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18"/>
                <w:szCs w:val="18"/>
                <w:color w:val="auto"/>
              </w:rPr>
            </w:pPr>
          </w:p>
        </w:tc>
        <w:tc>
          <w:tcPr>
            <w:tcW w:w="5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Matthew S. Kulasa</w:t>
            </w:r>
          </w:p>
        </w:tc>
        <w:tc>
          <w:tcPr>
            <w:tcW w:w="1100" w:type="dxa"/>
            <w:vAlign w:val="bottom"/>
            <w:tcBorders>
              <w:top w:val="single" w:sz="8" w:color="auto"/>
            </w:tcBorders>
          </w:tcPr>
          <w:p>
            <w:pPr>
              <w:spacing w:after="0"/>
              <w:rPr>
                <w:sz w:val="18"/>
                <w:szCs w:val="18"/>
                <w:color w:val="auto"/>
              </w:rPr>
            </w:pPr>
          </w:p>
        </w:tc>
      </w:tr>
      <w:tr>
        <w:trPr>
          <w:trHeight w:val="230"/>
        </w:trPr>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Controller and Chief Accounting Officer</w:t>
            </w:r>
          </w:p>
        </w:tc>
        <w:tc>
          <w:tcPr>
            <w:tcW w:w="110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WESCO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225 West Station Square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700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Pittsburgh, Pennsylvania 15219</w:t>
      </w:r>
    </w:p>
    <w:p>
      <w:pPr>
        <w:spacing w:after="0" w:line="200" w:lineRule="exact"/>
        <w:rPr>
          <w:sz w:val="20"/>
          <w:szCs w:val="20"/>
          <w:color w:val="auto"/>
        </w:rPr>
      </w:pPr>
    </w:p>
    <w:p>
      <w:pPr>
        <w:spacing w:after="0" w:line="243" w:lineRule="exact"/>
        <w:rPr>
          <w:sz w:val="20"/>
          <w:szCs w:val="20"/>
          <w:color w:val="auto"/>
        </w:rPr>
      </w:pPr>
    </w:p>
    <w:p>
      <w:pPr>
        <w:ind w:left="9880"/>
        <w:spacing w:after="0"/>
        <w:rPr>
          <w:sz w:val="20"/>
          <w:szCs w:val="20"/>
          <w:color w:val="auto"/>
        </w:rPr>
      </w:pPr>
      <w:r>
        <w:rPr>
          <w:rFonts w:ascii="Arial" w:cs="Arial" w:eastAsia="Arial" w:hAnsi="Arial"/>
          <w:sz w:val="21"/>
          <w:szCs w:val="21"/>
          <w:color w:val="auto"/>
        </w:rPr>
        <w:t>June 12, 2025</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Dirk Naylor</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730 Dornoch Dr.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Ann Arbor, MI 48103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Dear Dirk:</w:t>
      </w:r>
    </w:p>
    <w:p>
      <w:pPr>
        <w:spacing w:after="0" w:line="220" w:lineRule="exact"/>
        <w:rPr>
          <w:sz w:val="20"/>
          <w:szCs w:val="20"/>
          <w:color w:val="auto"/>
        </w:rPr>
      </w:pPr>
    </w:p>
    <w:p>
      <w:pPr>
        <w:ind w:right="1340" w:firstLine="240"/>
        <w:spacing w:after="0" w:line="272" w:lineRule="auto"/>
        <w:rPr>
          <w:sz w:val="20"/>
          <w:szCs w:val="20"/>
          <w:color w:val="auto"/>
        </w:rPr>
      </w:pPr>
      <w:r>
        <w:rPr>
          <w:rFonts w:ascii="Arial" w:cs="Arial" w:eastAsia="Arial" w:hAnsi="Arial"/>
          <w:sz w:val="22"/>
          <w:szCs w:val="22"/>
          <w:color w:val="auto"/>
        </w:rPr>
        <w:t>I am pleased to extend this offer for you to become the Executive Vice President &amp; General Manager, Communications &amp; Security Solutions of our Company.</w:t>
      </w:r>
    </w:p>
    <w:p>
      <w:pPr>
        <w:spacing w:after="0" w:line="156" w:lineRule="exact"/>
        <w:rPr>
          <w:sz w:val="20"/>
          <w:szCs w:val="20"/>
          <w:color w:val="auto"/>
        </w:rPr>
      </w:pPr>
    </w:p>
    <w:p>
      <w:pPr>
        <w:ind w:right="160" w:firstLine="656"/>
        <w:spacing w:after="0" w:line="257" w:lineRule="auto"/>
        <w:tabs>
          <w:tab w:leader="none" w:pos="1301"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Employment Terms</w:t>
      </w:r>
      <w:r>
        <w:rPr>
          <w:rFonts w:ascii="Arial" w:cs="Arial" w:eastAsia="Arial" w:hAnsi="Arial"/>
          <w:sz w:val="22"/>
          <w:szCs w:val="22"/>
          <w:color w:val="auto"/>
        </w:rPr>
        <w:t xml:space="preserve">. The principal terms of your compensation and benefits in connection with your employment with the Company will be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Letter (the “</w:t>
      </w:r>
      <w:r>
        <w:rPr>
          <w:rFonts w:ascii="Arial" w:cs="Arial" w:eastAsia="Arial" w:hAnsi="Arial"/>
          <w:sz w:val="22"/>
          <w:szCs w:val="22"/>
          <w:u w:val="single" w:color="auto"/>
          <w:color w:val="auto"/>
        </w:rPr>
        <w:t>Term Sheet</w:t>
      </w:r>
      <w:r>
        <w:rPr>
          <w:rFonts w:ascii="Arial" w:cs="Arial" w:eastAsia="Arial" w:hAnsi="Arial"/>
          <w:sz w:val="22"/>
          <w:szCs w:val="22"/>
          <w:color w:val="auto"/>
        </w:rPr>
        <w:t xml:space="preserve">” and together with this Letter and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this “</w:t>
      </w:r>
      <w:r>
        <w:rPr>
          <w:rFonts w:ascii="Arial" w:cs="Arial" w:eastAsia="Arial" w:hAnsi="Arial"/>
          <w:sz w:val="22"/>
          <w:szCs w:val="22"/>
          <w:u w:val="single" w:color="auto"/>
          <w:color w:val="auto"/>
        </w:rPr>
        <w:t>Agreement</w:t>
      </w:r>
      <w:r>
        <w:rPr>
          <w:rFonts w:ascii="Arial" w:cs="Arial" w:eastAsia="Arial" w:hAnsi="Arial"/>
          <w:sz w:val="22"/>
          <w:szCs w:val="22"/>
          <w:color w:val="auto"/>
        </w:rPr>
        <w:t>”), subject to approval of Wesco’s Compensation Committee or Board of Directors, as applicable.</w:t>
      </w:r>
    </w:p>
    <w:p>
      <w:pPr>
        <w:spacing w:after="0" w:line="171" w:lineRule="exact"/>
        <w:rPr>
          <w:rFonts w:ascii="Arial" w:cs="Arial" w:eastAsia="Arial" w:hAnsi="Arial"/>
          <w:sz w:val="22"/>
          <w:szCs w:val="22"/>
          <w:color w:val="auto"/>
        </w:rPr>
      </w:pPr>
    </w:p>
    <w:p>
      <w:pPr>
        <w:ind w:right="60" w:firstLine="656"/>
        <w:spacing w:after="0" w:line="257" w:lineRule="auto"/>
        <w:tabs>
          <w:tab w:leader="none" w:pos="1301"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As a condition of your employment with the Company and your entitlement to receive the compensation and benefits set forth in the Term Sheet, you hereby acknowledge and agree that you shall be subject to the restrictive covenants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172" w:lineRule="exact"/>
        <w:rPr>
          <w:rFonts w:ascii="Arial" w:cs="Arial" w:eastAsia="Arial" w:hAnsi="Arial"/>
          <w:sz w:val="22"/>
          <w:szCs w:val="22"/>
          <w:color w:val="auto"/>
        </w:rPr>
      </w:pPr>
    </w:p>
    <w:p>
      <w:pPr>
        <w:ind w:right="40" w:firstLine="656"/>
        <w:spacing w:after="0" w:line="248" w:lineRule="auto"/>
        <w:tabs>
          <w:tab w:leader="none" w:pos="1301"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intended that the payments and benefits provided under this Agreement will be exempt from the application of, or comply with, the requirements of Section 409A of the Code. This Agreement will be construed in a manner that effects such intent to the greatest extent possible. However, the Company shall not be held liable for any taxes, interests or penalties that you owe with respect to any payments or benefits provided under this Agreement. With respect to any amounts payable hereunder in installments, each installment shall be treated as a separate payment for purposes of Section 409A of the Code. For purposes of any payment due hereunder upon a termination of employment that is subject to the provisions of Section 409A of the Code, such phrase or any similar phrase shall mean a “separation from service” as defined by the default provisions of Treasury Regulation 1.409A-1(h). Notwithstanding any other provision of this Agreement to the contrary, if you are a “specified employee” within the meaning of Section 409A of the Code (as determined in accordance with the methodology established by the Company), amounts that constitute “nonqualified deferred compensation” subject to Section 409A of the Code that would otherwise be payable by reason of your separation from service during the six-month period immediately following such separation from service shall instead be paid or provided on the first business day following the date that is six months following your separation from service.</w:t>
      </w:r>
    </w:p>
    <w:p>
      <w:pPr>
        <w:sectPr>
          <w:pgSz w:w="11900" w:h="16838" w:orient="portrait"/>
          <w:cols w:equalWidth="0" w:num="1">
            <w:col w:w="11240"/>
          </w:cols>
          <w:pgMar w:left="320" w:top="122" w:right="339" w:bottom="1440" w:gutter="0" w:footer="0" w:header="0"/>
        </w:sectPr>
      </w:pPr>
    </w:p>
    <w:bookmarkStart w:id="39" w:name="page40"/>
    <w:bookmarkEnd w:id="39"/>
    <w:p>
      <w:pPr>
        <w:ind w:right="280"/>
        <w:spacing w:after="0" w:line="257" w:lineRule="auto"/>
        <w:rPr>
          <w:sz w:val="20"/>
          <w:szCs w:val="20"/>
          <w:color w:val="auto"/>
        </w:rPr>
      </w:pPr>
      <w:r>
        <w:rPr>
          <w:rFonts w:ascii="Arial" w:cs="Arial" w:eastAsia="Arial" w:hAnsi="Arial"/>
          <w:sz w:val="22"/>
          <w:szCs w:val="22"/>
          <w:color w:val="auto"/>
        </w:rPr>
        <w:t>If you die following your separation from service and prior to the payment of any amounts delayed on account of Section 409A of the Code, such amounts shall be paid to the personal representative of your estate within 30 days following the date of your death.</w:t>
      </w:r>
    </w:p>
    <w:p>
      <w:pPr>
        <w:spacing w:after="0" w:line="186" w:lineRule="exact"/>
        <w:rPr>
          <w:sz w:val="20"/>
          <w:szCs w:val="20"/>
          <w:color w:val="auto"/>
        </w:rPr>
      </w:pPr>
    </w:p>
    <w:p>
      <w:pPr>
        <w:ind w:right="20" w:firstLine="656"/>
        <w:spacing w:after="0" w:line="251" w:lineRule="auto"/>
        <w:tabs>
          <w:tab w:leader="none" w:pos="1301"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81" w:lineRule="exact"/>
        <w:rPr>
          <w:rFonts w:ascii="Arial" w:cs="Arial" w:eastAsia="Arial" w:hAnsi="Arial"/>
          <w:sz w:val="22"/>
          <w:szCs w:val="22"/>
          <w:color w:val="auto"/>
        </w:rPr>
      </w:pPr>
    </w:p>
    <w:p>
      <w:pPr>
        <w:ind w:firstLine="656"/>
        <w:spacing w:after="0" w:line="247" w:lineRule="auto"/>
        <w:tabs>
          <w:tab w:leader="none" w:pos="1301"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Except with respect to claims for breach of the Restrictive Covenants, for which the Company may seek enforcement in any court having competent jurisdiction at its election, any dispute arising between you and the Company with respect to the validity, performance or interpretation of this Agreement shall be submitted to and determined in binding arbitration before a panel of three arbitrators in Pittsburgh, Pennsylvania, for resolution in accordance with the rules of the American Arbitration Association, modified to provide that the decision of the arbitrators shall be binding on the parties; shall be furnished in writing, separately and specifically stating the findings of fact and conclusions of law on which the decision is based; shall be kept confidential by the arbitrators and the parties; and shall be rendered within 60 days following the arbitrators being impaneled. You shall bear your, and the Company shall bear its, own costs and expenses associated with the arbitration. The arbitrators shall be selected in accordance with the rules of the American Arbitration Association.</w:t>
      </w:r>
    </w:p>
    <w:p>
      <w:pPr>
        <w:spacing w:after="0" w:line="204" w:lineRule="exact"/>
        <w:rPr>
          <w:rFonts w:ascii="Arial" w:cs="Arial" w:eastAsia="Arial" w:hAnsi="Arial"/>
          <w:sz w:val="22"/>
          <w:szCs w:val="22"/>
          <w:color w:val="auto"/>
        </w:rPr>
      </w:pPr>
    </w:p>
    <w:p>
      <w:pPr>
        <w:ind w:right="80" w:firstLine="656"/>
        <w:spacing w:after="0" w:line="250" w:lineRule="auto"/>
        <w:tabs>
          <w:tab w:leader="none" w:pos="1301"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represents the complete understanding between you and the Company regarding the subject matter of this Agreement. No amendment to this Agreement shall be binding upon either party unless in writing and signed by or on behalf of such party. The obligations of the parties hereto are severable and divisible. In the event any provision hereunder is determined to be illegal or unenforceable, the remainder of this Agreement shall continue in full force and effect.</w:t>
      </w:r>
    </w:p>
    <w:p>
      <w:pPr>
        <w:spacing w:after="0" w:line="194" w:lineRule="exact"/>
        <w:rPr>
          <w:rFonts w:ascii="Arial" w:cs="Arial" w:eastAsia="Arial" w:hAnsi="Arial"/>
          <w:sz w:val="22"/>
          <w:szCs w:val="22"/>
          <w:color w:val="auto"/>
        </w:rPr>
      </w:pPr>
    </w:p>
    <w:p>
      <w:pPr>
        <w:ind w:right="80" w:firstLine="656"/>
        <w:spacing w:after="0" w:line="249" w:lineRule="auto"/>
        <w:tabs>
          <w:tab w:leader="none" w:pos="1301"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Employment At Will; Tax Withholding</w:t>
      </w:r>
      <w:r>
        <w:rPr>
          <w:rFonts w:ascii="Arial" w:cs="Arial" w:eastAsia="Arial" w:hAnsi="Arial"/>
          <w:sz w:val="22"/>
          <w:szCs w:val="22"/>
          <w:color w:val="auto"/>
        </w:rPr>
        <w:t>. This Agreement does not provide a guarantee of employment for any specific duration or a guarantee of any fixed terms or conditions of employment. Your employment with the Company will be “at will”, which means that either you or the Company may terminate your employment relationship at any time, with or without cause or notice. Employment with the Company for purposes of this Agreement shall include employment with any subsidiary or affiliate of the Company. The Company reserves the right to withhold or cause to be withheld applicable taxes from any amounts paid pursuant to this Agreement to the extent required by applicable law. You, or your estate, shall be responsible for any and all tax liability imposed on amounts paid hereunder.</w:t>
      </w:r>
    </w:p>
    <w:p>
      <w:pPr>
        <w:sectPr>
          <w:pgSz w:w="11900" w:h="16838" w:orient="portrait"/>
          <w:cols w:equalWidth="0" w:num="1">
            <w:col w:w="11200"/>
          </w:cols>
          <w:pgMar w:left="320" w:top="1423" w:right="379" w:bottom="1440" w:gutter="0" w:footer="0" w:header="0"/>
        </w:sectPr>
      </w:pPr>
    </w:p>
    <w:bookmarkStart w:id="40" w:name="page41"/>
    <w:bookmarkEnd w:id="40"/>
    <w:p>
      <w:pPr>
        <w:ind w:left="-656" w:firstLine="656"/>
        <w:spacing w:after="0" w:line="253" w:lineRule="auto"/>
        <w:tabs>
          <w:tab w:leader="none" w:pos="64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are intended to be binding legal obligations of the Company and any successor to the Company by merger, consolidation, business combination, purchase, reorganization or otherwise. In the event of any transaction that results in the transfer of all or substantially all of the assets or business of the Company, the Company will cause the transferee to assume the obligations of the Company under this Agreement.</w:t>
      </w:r>
    </w:p>
    <w:p>
      <w:pPr>
        <w:spacing w:after="0" w:line="200" w:lineRule="exact"/>
        <w:rPr>
          <w:sz w:val="20"/>
          <w:szCs w:val="20"/>
          <w:color w:val="auto"/>
        </w:rPr>
      </w:pPr>
    </w:p>
    <w:p>
      <w:pPr>
        <w:spacing w:after="0" w:line="249"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By: /s/ Christine A.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19050</wp:posOffset>
            </wp:positionV>
            <wp:extent cx="2537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3664"/>
        <w:spacing w:after="0"/>
        <w:rPr>
          <w:sz w:val="20"/>
          <w:szCs w:val="20"/>
          <w:color w:val="auto"/>
        </w:rPr>
      </w:pPr>
      <w:r>
        <w:rPr>
          <w:rFonts w:ascii="Arial" w:cs="Arial" w:eastAsia="Arial" w:hAnsi="Arial"/>
          <w:sz w:val="22"/>
          <w:szCs w:val="22"/>
          <w:color w:val="auto"/>
        </w:rPr>
        <w:t>Name: Christine A. Wolf</w:t>
      </w:r>
    </w:p>
    <w:p>
      <w:pPr>
        <w:ind w:left="3664"/>
        <w:spacing w:after="0" w:line="204" w:lineRule="auto"/>
        <w:rPr>
          <w:sz w:val="20"/>
          <w:szCs w:val="20"/>
          <w:color w:val="auto"/>
        </w:rPr>
      </w:pPr>
      <w:r>
        <w:rPr>
          <w:rFonts w:ascii="Arial" w:cs="Arial" w:eastAsia="Arial" w:hAnsi="Arial"/>
          <w:sz w:val="22"/>
          <w:szCs w:val="22"/>
          <w:color w:val="auto"/>
        </w:rPr>
        <w:t>Title: EVP, Chief Human Resources</w:t>
      </w:r>
    </w:p>
    <w:p>
      <w:pPr>
        <w:spacing w:after="0" w:line="1" w:lineRule="exact"/>
        <w:rPr>
          <w:sz w:val="20"/>
          <w:szCs w:val="20"/>
          <w:color w:val="auto"/>
        </w:rPr>
      </w:pPr>
    </w:p>
    <w:p>
      <w:pPr>
        <w:ind w:left="4124"/>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64"/>
        <w:spacing w:after="0"/>
        <w:rPr>
          <w:sz w:val="20"/>
          <w:szCs w:val="20"/>
          <w:color w:val="auto"/>
        </w:rPr>
      </w:pPr>
      <w:r>
        <w:rPr>
          <w:rFonts w:ascii="Arial" w:cs="Arial" w:eastAsia="Arial" w:hAnsi="Arial"/>
          <w:sz w:val="22"/>
          <w:szCs w:val="22"/>
          <w:color w:val="auto"/>
        </w:rPr>
        <w:t>/s/ Dirk Naylor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19050</wp:posOffset>
            </wp:positionV>
            <wp:extent cx="2537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8" w:lineRule="exact"/>
        <w:rPr>
          <w:sz w:val="20"/>
          <w:szCs w:val="20"/>
          <w:color w:val="auto"/>
        </w:rPr>
      </w:pPr>
    </w:p>
    <w:p>
      <w:pPr>
        <w:ind w:left="3664"/>
        <w:spacing w:after="0"/>
        <w:rPr>
          <w:sz w:val="20"/>
          <w:szCs w:val="20"/>
          <w:color w:val="auto"/>
        </w:rPr>
      </w:pPr>
      <w:r>
        <w:rPr>
          <w:rFonts w:ascii="Arial" w:cs="Arial" w:eastAsia="Arial" w:hAnsi="Arial"/>
          <w:sz w:val="22"/>
          <w:szCs w:val="22"/>
          <w:color w:val="auto"/>
        </w:rPr>
        <w:t>Dirk Naylor</w:t>
      </w:r>
    </w:p>
    <w:p>
      <w:pPr>
        <w:sectPr>
          <w:pgSz w:w="11900" w:h="16838" w:orient="portrait"/>
          <w:cols w:equalWidth="0" w:num="1">
            <w:col w:w="10524"/>
          </w:cols>
          <w:pgMar w:left="976" w:top="1423" w:right="39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Start Date:</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Work Location: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Base Salary: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Grant:</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3080"/>
        <w:spacing w:after="0"/>
        <w:rPr>
          <w:sz w:val="20"/>
          <w:szCs w:val="20"/>
          <w:color w:val="auto"/>
        </w:rPr>
      </w:pPr>
      <w:r>
        <w:rPr>
          <w:rFonts w:ascii="Arial" w:cs="Arial" w:eastAsia="Arial" w:hAnsi="Arial"/>
          <w:sz w:val="22"/>
          <w:szCs w:val="22"/>
          <w:b w:val="1"/>
          <w:bCs w:val="1"/>
          <w:color w:val="auto"/>
        </w:rPr>
        <w:t>Term Sheet</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 Vice President, Communications &amp; Security Solutions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June 30, 2025</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Glenview, Illinois</w:t>
      </w:r>
    </w:p>
    <w:p>
      <w:pPr>
        <w:spacing w:after="0" w:line="301" w:lineRule="exact"/>
        <w:rPr>
          <w:sz w:val="20"/>
          <w:szCs w:val="20"/>
          <w:color w:val="auto"/>
        </w:rPr>
      </w:pPr>
    </w:p>
    <w:p>
      <w:pPr>
        <w:ind w:left="40" w:right="200"/>
        <w:spacing w:after="0" w:line="272" w:lineRule="auto"/>
        <w:rPr>
          <w:sz w:val="20"/>
          <w:szCs w:val="20"/>
          <w:color w:val="auto"/>
        </w:rPr>
      </w:pPr>
      <w:r>
        <w:rPr>
          <w:rFonts w:ascii="Arial" w:cs="Arial" w:eastAsia="Arial" w:hAnsi="Arial"/>
          <w:sz w:val="22"/>
          <w:szCs w:val="22"/>
          <w:color w:val="auto"/>
        </w:rPr>
        <w:t>$550,000 annual rate to be paid in accordance with the applicable payroll practice in effect from time to time.</w:t>
      </w:r>
    </w:p>
    <w:p>
      <w:pPr>
        <w:spacing w:after="0" w:line="210"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Your target annual bonus will be 90% of your annual base salary with a payout opportunity of zero to 180% of your annual base salary, based on the achievement of performance objectives as established annually by the Compensation Committee of the Board of Directors of the Company (the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Payment of your earned annual bonus (if any) is subject to your continued employment through the applicable bonus payment date, except as otherwise provided in this Term Sheet or by the terms of the Company’s annual bonus program as in effect from time to time.</w:t>
      </w:r>
    </w:p>
    <w:p>
      <w:pPr>
        <w:spacing w:after="0" w:line="249"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Within forty-five (45) of the start date, you will be eligible to receive an equity grant with an aggregate grant date fair value of $1,500,000, consisting of 50% Performance share Units, 25% Restricted Stock Units and 25% Non-Qualified Stock Options. The grants are subject to the approval of the Compensation Committee of the Company’s Board of Directors and will be subject to the terms and conditions set forth in the applicable award agreements.</w:t>
      </w:r>
    </w:p>
    <w:p>
      <w:pPr>
        <w:spacing w:after="0" w:line="200" w:lineRule="exact"/>
        <w:rPr>
          <w:sz w:val="20"/>
          <w:szCs w:val="20"/>
          <w:color w:val="auto"/>
        </w:rPr>
      </w:pPr>
    </w:p>
    <w:p>
      <w:pPr>
        <w:sectPr>
          <w:pgSz w:w="11900" w:h="16838" w:orient="portrait"/>
          <w:cols w:equalWidth="0" w:num="2">
            <w:col w:w="2540" w:space="460"/>
            <w:col w:w="8060"/>
          </w:cols>
          <w:pgMar w:left="460" w:top="1178" w:right="379" w:bottom="1440" w:gutter="0" w:footer="0" w:header="0"/>
        </w:sectPr>
      </w:pPr>
    </w:p>
    <w:p>
      <w:pPr>
        <w:spacing w:after="0" w:line="33"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Stock Ownership</w:t>
      </w:r>
      <w:r>
        <w:rPr>
          <w:sz w:val="20"/>
          <w:szCs w:val="20"/>
          <w:color w:val="auto"/>
        </w:rPr>
        <w:tab/>
      </w:r>
      <w:r>
        <w:rPr>
          <w:rFonts w:ascii="Arial" w:cs="Arial" w:eastAsia="Arial" w:hAnsi="Arial"/>
          <w:sz w:val="21"/>
          <w:szCs w:val="21"/>
          <w:color w:val="auto"/>
        </w:rPr>
        <w:t>It is expected that you achieve and maintain an ownership position in Company</w:t>
      </w:r>
    </w:p>
    <w:p>
      <w:pPr>
        <w:spacing w:after="0" w:line="2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Guidelines:</w:t>
      </w:r>
      <w:r>
        <w:rPr>
          <w:sz w:val="20"/>
          <w:szCs w:val="20"/>
          <w:color w:val="auto"/>
        </w:rPr>
        <w:tab/>
      </w:r>
      <w:r>
        <w:rPr>
          <w:rFonts w:ascii="Arial" w:cs="Arial" w:eastAsia="Arial" w:hAnsi="Arial"/>
          <w:sz w:val="22"/>
          <w:szCs w:val="22"/>
          <w:color w:val="auto"/>
        </w:rPr>
        <w:t>common stock equal to 2x your annual base salary in accordance with the Stock</w:t>
      </w:r>
    </w:p>
    <w:p>
      <w:pPr>
        <w:spacing w:after="0" w:line="17"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Ownership Guidelines for Wesco Executives as in effect from time to time.</w:t>
      </w:r>
    </w:p>
    <w:p>
      <w:pPr>
        <w:spacing w:after="0" w:line="252"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Health, Welfare, and Other</w:t>
      </w:r>
      <w:r>
        <w:rPr>
          <w:sz w:val="20"/>
          <w:szCs w:val="20"/>
          <w:color w:val="auto"/>
        </w:rPr>
        <w:tab/>
      </w:r>
      <w:r>
        <w:rPr>
          <w:rFonts w:ascii="Arial" w:cs="Arial" w:eastAsia="Arial" w:hAnsi="Arial"/>
          <w:sz w:val="21"/>
          <w:szCs w:val="21"/>
          <w:color w:val="auto"/>
        </w:rPr>
        <w:t>You will be eligible to participate in all corporate benefit programs in accordance</w:t>
      </w:r>
    </w:p>
    <w:p>
      <w:pPr>
        <w:spacing w:after="0" w:line="2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Benefit Programs:</w:t>
      </w:r>
      <w:r>
        <w:rPr>
          <w:sz w:val="20"/>
          <w:szCs w:val="20"/>
          <w:color w:val="auto"/>
        </w:rPr>
        <w:tab/>
      </w:r>
      <w:r>
        <w:rPr>
          <w:rFonts w:ascii="Arial" w:cs="Arial" w:eastAsia="Arial" w:hAnsi="Arial"/>
          <w:sz w:val="21"/>
          <w:szCs w:val="21"/>
          <w:color w:val="auto"/>
        </w:rPr>
        <w:t>with standard policies and procedures in effect from time to time.</w:t>
      </w:r>
    </w:p>
    <w:p>
      <w:pPr>
        <w:spacing w:after="0" w:line="225" w:lineRule="exact"/>
        <w:rPr>
          <w:sz w:val="20"/>
          <w:szCs w:val="20"/>
          <w:color w:val="auto"/>
        </w:rPr>
      </w:pPr>
    </w:p>
    <w:p>
      <w:pPr>
        <w:spacing w:after="0"/>
        <w:tabs>
          <w:tab w:leader="none" w:pos="2980" w:val="left"/>
        </w:tabs>
        <w:rPr>
          <w:sz w:val="20"/>
          <w:szCs w:val="20"/>
          <w:color w:val="auto"/>
        </w:rPr>
      </w:pPr>
      <w:r>
        <w:rPr>
          <w:rFonts w:ascii="Arial" w:cs="Arial" w:eastAsia="Arial" w:hAnsi="Arial"/>
          <w:sz w:val="21"/>
          <w:szCs w:val="21"/>
          <w:b w:val="1"/>
          <w:bCs w:val="1"/>
          <w:color w:val="auto"/>
        </w:rPr>
        <w:t>Severance:</w:t>
      </w:r>
      <w:r>
        <w:rPr>
          <w:sz w:val="20"/>
          <w:szCs w:val="20"/>
          <w:color w:val="auto"/>
        </w:rPr>
        <w:tab/>
      </w:r>
      <w:r>
        <w:rPr>
          <w:rFonts w:ascii="Arial" w:cs="Arial" w:eastAsia="Arial" w:hAnsi="Arial"/>
          <w:sz w:val="21"/>
          <w:szCs w:val="21"/>
          <w:color w:val="auto"/>
        </w:rPr>
        <w:t>If your employment is terminated by the Company without Cause, or you resign for</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Good Reason, then, subject to your execution and delivery of a release of claims in</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the form provided by the Company (which form shall be substantially consistent with</w:t>
      </w:r>
    </w:p>
    <w:p>
      <w:pPr>
        <w:spacing w:after="0" w:line="10"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the Company’s then-current standard form of release of claims) and such release</w:t>
      </w:r>
    </w:p>
    <w:p>
      <w:pPr>
        <w:sectPr>
          <w:pgSz w:w="11900" w:h="16838" w:orient="portrait"/>
          <w:cols w:equalWidth="0" w:num="1">
            <w:col w:w="11060"/>
          </w:cols>
          <w:pgMar w:left="460" w:top="1178" w:right="379" w:bottom="1440" w:gutter="0" w:footer="0" w:header="0"/>
          <w:type w:val="continuous"/>
        </w:sectPr>
      </w:pPr>
    </w:p>
    <w:bookmarkStart w:id="42" w:name="page43"/>
    <w:bookmarkEnd w:id="42"/>
    <w:p>
      <w:pPr>
        <w:ind w:left="3040" w:right="140"/>
        <w:spacing w:after="0" w:line="272" w:lineRule="auto"/>
        <w:rPr>
          <w:sz w:val="20"/>
          <w:szCs w:val="20"/>
          <w:color w:val="auto"/>
        </w:rPr>
      </w:pPr>
      <w:r>
        <w:rPr>
          <w:rFonts w:ascii="Arial" w:cs="Arial" w:eastAsia="Arial" w:hAnsi="Arial"/>
          <w:sz w:val="22"/>
          <w:szCs w:val="22"/>
          <w:color w:val="auto"/>
        </w:rPr>
        <w:t>becoming effective and irrevocable within the time period specified therein, you will be entitled to receive the following severance payments and benefits:</w:t>
      </w:r>
    </w:p>
    <w:p>
      <w:pPr>
        <w:spacing w:after="0" w:line="156" w:lineRule="exact"/>
        <w:rPr>
          <w:sz w:val="20"/>
          <w:szCs w:val="20"/>
          <w:color w:val="auto"/>
        </w:rPr>
      </w:pPr>
    </w:p>
    <w:p>
      <w:pPr>
        <w:ind w:left="3040" w:right="280" w:firstLine="9"/>
        <w:spacing w:after="0" w:line="251" w:lineRule="auto"/>
        <w:tabs>
          <w:tab w:leader="none" w:pos="3292" w:val="left"/>
        </w:tabs>
        <w:numPr>
          <w:ilvl w:val="0"/>
          <w:numId w:val="19"/>
        </w:numPr>
        <w:rPr>
          <w:rFonts w:ascii="Arial" w:cs="Arial" w:eastAsia="Arial" w:hAnsi="Arial"/>
          <w:sz w:val="22"/>
          <w:szCs w:val="22"/>
          <w:color w:val="auto"/>
        </w:rPr>
      </w:pPr>
      <w:r>
        <w:rPr>
          <w:rFonts w:ascii="Arial" w:cs="Arial" w:eastAsia="Arial" w:hAnsi="Arial"/>
          <w:sz w:val="22"/>
          <w:szCs w:val="22"/>
          <w:color w:val="auto"/>
        </w:rPr>
        <w:t>cash severance equal to 12 months of your then-current annual base salary, payable in installments over the 12 months following your termination date (provided that any installments that would otherwise have been paid during the period between your termination date and the 60th day following your termination date shall be accumulated and paid on the first regularly scheduled payroll date occurring after the 60th day following your termination date);</w:t>
      </w:r>
    </w:p>
    <w:p>
      <w:pPr>
        <w:spacing w:after="0" w:line="181" w:lineRule="exact"/>
        <w:rPr>
          <w:rFonts w:ascii="Arial" w:cs="Arial" w:eastAsia="Arial" w:hAnsi="Arial"/>
          <w:sz w:val="22"/>
          <w:szCs w:val="22"/>
          <w:color w:val="auto"/>
        </w:rPr>
      </w:pPr>
    </w:p>
    <w:p>
      <w:pPr>
        <w:ind w:left="3040" w:right="100" w:firstLine="9"/>
        <w:spacing w:after="0" w:line="251" w:lineRule="auto"/>
        <w:tabs>
          <w:tab w:leader="none" w:pos="33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prorated bonus, payable within 60 days following your termination date, equal to the product of your then-current target bonus multiplied by a fraction, the numerator of which is the number of days from January 1 of the fiscal year in which your termination date occurs through the earlier of your termination date and December 31 of such fiscal year and the denominator of which is the total number of days in such fiscal year; and</w:t>
      </w:r>
    </w:p>
    <w:p>
      <w:pPr>
        <w:spacing w:after="0" w:line="181" w:lineRule="exact"/>
        <w:rPr>
          <w:rFonts w:ascii="Arial" w:cs="Arial" w:eastAsia="Arial" w:hAnsi="Arial"/>
          <w:sz w:val="22"/>
          <w:szCs w:val="22"/>
          <w:color w:val="auto"/>
        </w:rPr>
      </w:pPr>
    </w:p>
    <w:p>
      <w:pPr>
        <w:ind w:left="3040" w:right="100" w:firstLine="9"/>
        <w:spacing w:after="0" w:line="251" w:lineRule="auto"/>
        <w:tabs>
          <w:tab w:leader="none" w:pos="3388" w:val="left"/>
        </w:tabs>
        <w:numPr>
          <w:ilvl w:val="0"/>
          <w:numId w:val="19"/>
        </w:numPr>
        <w:rPr>
          <w:rFonts w:ascii="Arial" w:cs="Arial" w:eastAsia="Arial" w:hAnsi="Arial"/>
          <w:sz w:val="22"/>
          <w:szCs w:val="22"/>
          <w:color w:val="auto"/>
        </w:rPr>
      </w:pPr>
      <w:r>
        <w:rPr>
          <w:rFonts w:ascii="Arial" w:cs="Arial" w:eastAsia="Arial" w:hAnsi="Arial"/>
          <w:sz w:val="22"/>
          <w:szCs w:val="22"/>
          <w:color w:val="auto"/>
        </w:rPr>
        <w:t>continued participation in the Company medical, dental and vision benefit plans in which you participated immediately prior to your termination of employment for one year following your termination of employment, subject to your continued payment of the applicable premiums at active employee rates (provided that you shall be obligated to refund to the Company any portion of the employer premium subsidy provided during the period between your termination date and the 60th day after your termination date in the event that you do not satisfy the release requirement described above).</w:t>
      </w:r>
    </w:p>
    <w:p>
      <w:pPr>
        <w:spacing w:after="0" w:line="179" w:lineRule="exact"/>
        <w:rPr>
          <w:sz w:val="20"/>
          <w:szCs w:val="20"/>
          <w:color w:val="auto"/>
        </w:rPr>
      </w:pPr>
    </w:p>
    <w:p>
      <w:pPr>
        <w:ind w:left="3040"/>
        <w:spacing w:after="0" w:line="268" w:lineRule="auto"/>
        <w:rPr>
          <w:sz w:val="20"/>
          <w:szCs w:val="20"/>
          <w:color w:val="auto"/>
        </w:rPr>
      </w:pPr>
      <w:r>
        <w:rPr>
          <w:rFonts w:ascii="Arial" w:cs="Arial" w:eastAsia="Arial" w:hAnsi="Arial"/>
          <w:sz w:val="21"/>
          <w:szCs w:val="21"/>
          <w:color w:val="auto"/>
        </w:rPr>
        <w:t>Your rate of annual base salary used for purposes of calculating the cash severance and prorated bonus described above will be the rate set forth above in the section of this Term Sheet labelled “Annual Base Salary”, as such rate may be increased from time to time, without regard to any salary rate reduction implemented afterward (whether or not such reduction would constitute Good Reason).</w:t>
      </w:r>
    </w:p>
    <w:p>
      <w:pPr>
        <w:spacing w:after="0" w:line="164" w:lineRule="exact"/>
        <w:rPr>
          <w:sz w:val="20"/>
          <w:szCs w:val="20"/>
          <w:color w:val="auto"/>
        </w:rPr>
      </w:pPr>
    </w:p>
    <w:p>
      <w:pPr>
        <w:ind w:left="3040" w:right="360"/>
        <w:spacing w:after="0" w:line="272" w:lineRule="auto"/>
        <w:rPr>
          <w:sz w:val="20"/>
          <w:szCs w:val="20"/>
          <w:color w:val="auto"/>
        </w:rPr>
      </w:pPr>
      <w:r>
        <w:rPr>
          <w:rFonts w:ascii="Arial" w:cs="Arial" w:eastAsia="Arial" w:hAnsi="Arial"/>
          <w:sz w:val="22"/>
          <w:szCs w:val="22"/>
          <w:color w:val="auto"/>
        </w:rPr>
        <w:t>You will be eligible to participate in the Company’s Change in Control Severance Plan in accordance with its terms as in effect from time to time.</w:t>
      </w:r>
    </w:p>
    <w:p>
      <w:pPr>
        <w:spacing w:after="0" w:line="181"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Certain Definitions:</w:t>
      </w:r>
      <w:r>
        <w:rPr>
          <w:sz w:val="20"/>
          <w:szCs w:val="20"/>
          <w:color w:val="auto"/>
        </w:rPr>
        <w:tab/>
      </w:r>
      <w:r>
        <w:rPr>
          <w:rFonts w:ascii="Arial" w:cs="Arial" w:eastAsia="Arial" w:hAnsi="Arial"/>
          <w:sz w:val="21"/>
          <w:szCs w:val="21"/>
          <w:color w:val="auto"/>
        </w:rPr>
        <w:t>For purposes of the Agreement, the following capitalized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080"/>
          </w:cols>
          <w:pgMar w:left="460" w:top="1234" w:right="359" w:bottom="1440" w:gutter="0" w:footer="0" w:header="0"/>
        </w:sectPr>
      </w:pPr>
    </w:p>
    <w:bookmarkStart w:id="43" w:name="page44"/>
    <w:bookmarkEnd w:id="43"/>
    <w:p>
      <w:pPr>
        <w:ind w:left="2020"/>
        <w:spacing w:after="0"/>
        <w:rPr>
          <w:sz w:val="20"/>
          <w:szCs w:val="20"/>
          <w:color w:val="auto"/>
        </w:rPr>
      </w:pPr>
      <w:r>
        <w:rPr>
          <w:rFonts w:ascii="Arial" w:cs="Arial" w:eastAsia="Arial" w:hAnsi="Arial"/>
          <w:sz w:val="22"/>
          <w:szCs w:val="22"/>
          <w:color w:val="auto"/>
        </w:rPr>
        <w:t>shall have the following meanings:</w:t>
      </w:r>
    </w:p>
    <w:p>
      <w:pPr>
        <w:spacing w:after="0" w:line="17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left="2020" w:right="60" w:hanging="7"/>
        <w:spacing w:after="0" w:line="265" w:lineRule="auto"/>
        <w:tabs>
          <w:tab w:leader="none" w:pos="2272" w:val="left"/>
        </w:tabs>
        <w:numPr>
          <w:ilvl w:val="0"/>
          <w:numId w:val="20"/>
        </w:numPr>
        <w:rPr>
          <w:rFonts w:ascii="Arial" w:cs="Arial" w:eastAsia="Arial" w:hAnsi="Arial"/>
          <w:sz w:val="21"/>
          <w:szCs w:val="21"/>
          <w:color w:val="auto"/>
        </w:rPr>
      </w:pPr>
      <w:r>
        <w:rPr>
          <w:rFonts w:ascii="Arial" w:cs="Arial" w:eastAsia="Arial" w:hAnsi="Arial"/>
          <w:sz w:val="21"/>
          <w:szCs w:val="21"/>
          <w:color w:val="auto"/>
        </w:rPr>
        <w:t>your willful and continued failure to substantially perform your employment duties (other than such failure resulting from physical or mental incapacity), after a written demand for substantial performance is delivered to you that specifically identifies the manner in which the Company believes you have failed to perform your duties, and after you have failed to resume substantial performance of your duties on a continuous basis within thirty (30) calendar days of receiving such demand;</w:t>
      </w:r>
    </w:p>
    <w:p>
      <w:pPr>
        <w:spacing w:after="0" w:line="168" w:lineRule="exact"/>
        <w:rPr>
          <w:rFonts w:ascii="Arial" w:cs="Arial" w:eastAsia="Arial" w:hAnsi="Arial"/>
          <w:sz w:val="21"/>
          <w:szCs w:val="21"/>
          <w:color w:val="auto"/>
        </w:rPr>
      </w:pPr>
    </w:p>
    <w:p>
      <w:pPr>
        <w:ind w:left="2020" w:right="500" w:hanging="7"/>
        <w:spacing w:after="0" w:line="296" w:lineRule="auto"/>
        <w:tabs>
          <w:tab w:leader="none" w:pos="23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Company’s determination, in good faith, that you have engaged in willful misconduct or gross negligence relating to the business of the Company;</w:t>
      </w:r>
    </w:p>
    <w:p>
      <w:pPr>
        <w:spacing w:after="0" w:line="133" w:lineRule="exact"/>
        <w:rPr>
          <w:rFonts w:ascii="Arial" w:cs="Arial" w:eastAsia="Arial" w:hAnsi="Arial"/>
          <w:sz w:val="21"/>
          <w:szCs w:val="21"/>
          <w:color w:val="auto"/>
        </w:rPr>
      </w:pPr>
    </w:p>
    <w:p>
      <w:pPr>
        <w:ind w:left="2020" w:right="560" w:hanging="7"/>
        <w:spacing w:after="0" w:line="272" w:lineRule="auto"/>
        <w:tabs>
          <w:tab w:leader="none" w:pos="2368"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a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by you to, or your conviction of, a felony under federal or state law; or</w:t>
      </w:r>
    </w:p>
    <w:p>
      <w:pPr>
        <w:spacing w:after="0" w:line="169" w:lineRule="exact"/>
        <w:rPr>
          <w:rFonts w:ascii="Arial" w:cs="Arial" w:eastAsia="Arial" w:hAnsi="Arial"/>
          <w:sz w:val="22"/>
          <w:szCs w:val="22"/>
          <w:color w:val="auto"/>
        </w:rPr>
      </w:pPr>
    </w:p>
    <w:p>
      <w:pPr>
        <w:ind w:left="2020" w:right="460" w:hanging="7"/>
        <w:spacing w:after="0" w:line="272" w:lineRule="auto"/>
        <w:tabs>
          <w:tab w:leader="none" w:pos="23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your material breach of any written policy of the Company, including without limitation the Company’s Code of Conduct.</w:t>
      </w:r>
    </w:p>
    <w:p>
      <w:pPr>
        <w:spacing w:after="0" w:line="156" w:lineRule="exact"/>
        <w:rPr>
          <w:sz w:val="20"/>
          <w:szCs w:val="20"/>
          <w:color w:val="auto"/>
        </w:rPr>
      </w:pPr>
    </w:p>
    <w:p>
      <w:pPr>
        <w:ind w:left="2020" w:right="40"/>
        <w:spacing w:after="0" w:line="27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without your express written consent, the occurrence of any of the following events:</w:t>
      </w:r>
    </w:p>
    <w:p>
      <w:pPr>
        <w:spacing w:after="0" w:line="156" w:lineRule="exact"/>
        <w:rPr>
          <w:sz w:val="20"/>
          <w:szCs w:val="20"/>
          <w:color w:val="auto"/>
        </w:rPr>
      </w:pPr>
    </w:p>
    <w:p>
      <w:pPr>
        <w:jc w:val="both"/>
        <w:ind w:left="2020" w:right="340" w:hanging="7"/>
        <w:spacing w:after="0" w:line="264" w:lineRule="auto"/>
        <w:tabs>
          <w:tab w:leader="none" w:pos="227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reduction in your annual base salary, excluding any reduction that occurs in connection with an across-the-board reduction of the salaries of substantially the entire senior management team; or</w:t>
      </w:r>
    </w:p>
    <w:p>
      <w:pPr>
        <w:spacing w:after="0" w:line="164" w:lineRule="exact"/>
        <w:rPr>
          <w:rFonts w:ascii="Arial" w:cs="Arial" w:eastAsia="Arial" w:hAnsi="Arial"/>
          <w:sz w:val="22"/>
          <w:szCs w:val="22"/>
          <w:color w:val="auto"/>
        </w:rPr>
      </w:pPr>
    </w:p>
    <w:p>
      <w:pPr>
        <w:ind w:left="2320" w:hanging="307"/>
        <w:spacing w:after="0"/>
        <w:tabs>
          <w:tab w:leader="none" w:pos="23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material reduction in your authority, duties or responsibilities;</w:t>
      </w:r>
    </w:p>
    <w:p>
      <w:pPr>
        <w:spacing w:after="0" w:line="220" w:lineRule="exact"/>
        <w:rPr>
          <w:sz w:val="20"/>
          <w:szCs w:val="20"/>
          <w:color w:val="auto"/>
        </w:rPr>
      </w:pPr>
    </w:p>
    <w:p>
      <w:pPr>
        <w:ind w:left="2020" w:right="12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that Good Reason shall not exist unless (A) you provide written notice to the Company within 90 days of the initial occurrence of any of the events described in clause (i) or (ii), or, if later, the date on which you first have knowledge of the circumstances constituting such event; (B) the Company fails to cure the event or circumstances within thirty (30) days after receipt of such notice; and (C) your termination of employment is effective not later than 180 days following the initial existence of the event giving rise to Good Reason.</w:t>
      </w:r>
    </w:p>
    <w:p>
      <w:pPr>
        <w:spacing w:after="0" w:line="180" w:lineRule="exact"/>
        <w:rPr>
          <w:sz w:val="20"/>
          <w:szCs w:val="20"/>
          <w:color w:val="auto"/>
        </w:rPr>
      </w:pPr>
    </w:p>
    <w:p>
      <w:pPr>
        <w:ind w:left="2020"/>
        <w:spacing w:after="0" w:line="310" w:lineRule="auto"/>
        <w:rPr>
          <w:sz w:val="20"/>
          <w:szCs w:val="20"/>
          <w:color w:val="auto"/>
        </w:rPr>
      </w:pPr>
      <w:r>
        <w:rPr>
          <w:rFonts w:ascii="Arial" w:cs="Arial" w:eastAsia="Arial" w:hAnsi="Arial"/>
          <w:sz w:val="21"/>
          <w:szCs w:val="21"/>
          <w:color w:val="auto"/>
        </w:rPr>
        <w:t>Resignation by you for purposes of accepting employment with another organization or in another location shall not be considered a resignation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0040"/>
          </w:cols>
          <w:pgMar w:left="1440" w:top="1207" w:right="419" w:bottom="1440" w:gutter="0" w:footer="0" w:header="0"/>
        </w:sectPr>
      </w:pPr>
    </w:p>
    <w:bookmarkStart w:id="44" w:name="page45"/>
    <w:bookmarkEnd w:id="44"/>
    <w:p>
      <w:pPr>
        <w:jc w:val="center"/>
        <w:ind w:right="-11"/>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Restrictive Covenants</w:t>
      </w:r>
    </w:p>
    <w:p>
      <w:pPr>
        <w:spacing w:after="0" w:line="222" w:lineRule="exact"/>
        <w:rPr>
          <w:sz w:val="20"/>
          <w:szCs w:val="20"/>
          <w:color w:val="auto"/>
        </w:rPr>
      </w:pPr>
    </w:p>
    <w:p>
      <w:pPr>
        <w:ind w:left="332" w:hanging="332"/>
        <w:spacing w:after="0"/>
        <w:tabs>
          <w:tab w:leader="none" w:pos="33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your employment with the Company and for a period of one year thereafter (the</w:t>
      </w:r>
    </w:p>
    <w:p>
      <w:pPr>
        <w:spacing w:after="0" w:line="30" w:lineRule="exact"/>
        <w:rPr>
          <w:rFonts w:ascii="Arial" w:cs="Arial" w:eastAsia="Arial" w:hAnsi="Arial"/>
          <w:sz w:val="22"/>
          <w:szCs w:val="22"/>
          <w:color w:val="auto"/>
        </w:rPr>
      </w:pPr>
    </w:p>
    <w:p>
      <w:pPr>
        <w:ind w:left="332"/>
        <w:spacing w:after="0" w:line="247"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xml:space="preserve"> you shall not, to the detriment of any member of the Company Group (as defined below), directly or indirectly, as an owner, partner, employee, agent, consultant, advisor, servant or contractor, engage in or facilitate or support others to engage in any Competing Business Line, or otherwise engage in Competing Services. This provision shall not prevent you from owning less than 1% of a publicly owned entity or less than 3% of a private equity fund. For purposes of this provision, (A) “</w:t>
      </w:r>
      <w:r>
        <w:rPr>
          <w:rFonts w:ascii="Arial" w:cs="Arial" w:eastAsia="Arial" w:hAnsi="Arial"/>
          <w:sz w:val="22"/>
          <w:szCs w:val="22"/>
          <w:u w:val="single" w:color="auto"/>
          <w:color w:val="auto"/>
        </w:rPr>
        <w:t>Competing Business Line</w:t>
      </w:r>
      <w:r>
        <w:rPr>
          <w:rFonts w:ascii="Arial" w:cs="Arial" w:eastAsia="Arial" w:hAnsi="Arial"/>
          <w:sz w:val="22"/>
          <w:szCs w:val="22"/>
          <w:color w:val="auto"/>
        </w:rPr>
        <w:t>” means any business that is in competition with any business engaged in by the Company or its Subsidiaries with respect to which you provide services, or about which you received Confidential Information (as defined below) and (B) you will be deemed to be providing “</w:t>
      </w:r>
      <w:r>
        <w:rPr>
          <w:rFonts w:ascii="Arial" w:cs="Arial" w:eastAsia="Arial" w:hAnsi="Arial"/>
          <w:sz w:val="22"/>
          <w:szCs w:val="22"/>
          <w:u w:val="single" w:color="auto"/>
          <w:color w:val="auto"/>
        </w:rPr>
        <w:t>Competing Services</w:t>
      </w:r>
      <w:r>
        <w:rPr>
          <w:rFonts w:ascii="Arial" w:cs="Arial" w:eastAsia="Arial" w:hAnsi="Arial"/>
          <w:sz w:val="22"/>
          <w:szCs w:val="22"/>
          <w:color w:val="auto"/>
        </w:rPr>
        <w:t>” if the nature of such services are sufficiently similar in position scope and geographic scope to any position held by you during you employment with the Company or its Subsidiaries, such that engaging in such services on behalf of a Competing Business Line would threaten the Company’s or its Subsidiaries’ legitimate business interests. “</w:t>
      </w:r>
      <w:r>
        <w:rPr>
          <w:rFonts w:ascii="Arial" w:cs="Arial" w:eastAsia="Arial" w:hAnsi="Arial"/>
          <w:sz w:val="22"/>
          <w:szCs w:val="22"/>
          <w:u w:val="single" w:color="auto"/>
          <w:color w:val="auto"/>
        </w:rPr>
        <w:t>Company Group</w:t>
      </w:r>
      <w:r>
        <w:rPr>
          <w:rFonts w:ascii="Arial" w:cs="Arial" w:eastAsia="Arial" w:hAnsi="Arial"/>
          <w:sz w:val="22"/>
          <w:szCs w:val="22"/>
          <w:color w:val="auto"/>
        </w:rPr>
        <w:t>” means, collectively, the Company, WESCO Distribution, Inc., Anixter Inc., and their respective subsidiaries and affiliates.</w:t>
      </w:r>
    </w:p>
    <w:p>
      <w:pPr>
        <w:spacing w:after="0" w:line="183" w:lineRule="exact"/>
        <w:rPr>
          <w:rFonts w:ascii="Arial" w:cs="Arial" w:eastAsia="Arial" w:hAnsi="Arial"/>
          <w:sz w:val="22"/>
          <w:szCs w:val="22"/>
          <w:color w:val="auto"/>
        </w:rPr>
      </w:pPr>
    </w:p>
    <w:p>
      <w:pPr>
        <w:ind w:left="332" w:right="20" w:hanging="332"/>
        <w:spacing w:after="0" w:line="264" w:lineRule="auto"/>
        <w:tabs>
          <w:tab w:leader="none" w:pos="33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Customer Non-Solicitation</w:t>
      </w:r>
      <w:r>
        <w:rPr>
          <w:rFonts w:ascii="Arial" w:cs="Arial" w:eastAsia="Arial" w:hAnsi="Arial"/>
          <w:sz w:val="21"/>
          <w:szCs w:val="21"/>
          <w:color w:val="auto"/>
        </w:rPr>
        <w:t>. During your employment with the Company and during the Restriction Period, you shall not directly or indirectly call upon, contact or solicit any customer or prospective customer of any member of the Company Group, (i) with whom you dealt directly or indirectly or for which you had responsibility while employed by the Company, or (ii) about whom you acquired Confidential Information during your employment with the Company, for the purpose of offering, selling or providing products or services that are competitive with those then offered by any member of the Company Group. You shall not solicit or divert, or attempt to solicit or divert, either directly or indirectly, any opportunity or business of any member of the Company Group to any competitor.</w:t>
      </w:r>
    </w:p>
    <w:p>
      <w:pPr>
        <w:spacing w:after="0" w:line="57" w:lineRule="exact"/>
        <w:rPr>
          <w:rFonts w:ascii="Arial" w:cs="Arial" w:eastAsia="Arial" w:hAnsi="Arial"/>
          <w:sz w:val="21"/>
          <w:szCs w:val="21"/>
          <w:color w:val="auto"/>
        </w:rPr>
      </w:pPr>
    </w:p>
    <w:p>
      <w:pPr>
        <w:ind w:left="332" w:right="420" w:hanging="332"/>
        <w:spacing w:after="0" w:line="257" w:lineRule="auto"/>
        <w:tabs>
          <w:tab w:leader="none" w:pos="33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Employee Non-Solicitation</w:t>
      </w:r>
      <w:r>
        <w:rPr>
          <w:rFonts w:ascii="Arial" w:cs="Arial" w:eastAsia="Arial" w:hAnsi="Arial"/>
          <w:sz w:val="22"/>
          <w:szCs w:val="22"/>
          <w:color w:val="auto"/>
        </w:rPr>
        <w:t>. During your employment with the Company and during the Restriction Period, you shall not, directly or indirectly, solicit the employment of or hire as an employee or consultant or agent (i) any employee of any member of the Company Group or (ii) any former employee of any member of the Company Group whose employment ceased within 180 days prior to the date of such solicitation of hiring.</w:t>
      </w:r>
    </w:p>
    <w:p>
      <w:pPr>
        <w:spacing w:after="0" w:line="63" w:lineRule="exact"/>
        <w:rPr>
          <w:rFonts w:ascii="Arial" w:cs="Arial" w:eastAsia="Arial" w:hAnsi="Arial"/>
          <w:sz w:val="22"/>
          <w:szCs w:val="22"/>
          <w:color w:val="auto"/>
        </w:rPr>
      </w:pPr>
    </w:p>
    <w:p>
      <w:pPr>
        <w:ind w:left="332" w:right="220" w:hanging="332"/>
        <w:spacing w:after="0" w:line="250" w:lineRule="auto"/>
        <w:tabs>
          <w:tab w:leader="none" w:pos="33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Reasonableness</w:t>
      </w:r>
      <w:r>
        <w:rPr>
          <w:rFonts w:ascii="Arial" w:cs="Arial" w:eastAsia="Arial" w:hAnsi="Arial"/>
          <w:sz w:val="22"/>
          <w:szCs w:val="22"/>
          <w:color w:val="auto"/>
        </w:rPr>
        <w:t>. You understand that the provisions of clauses (1), (2) and (3) may limit your ability to earn a livelihood in a business similar to the businesses of the Company Group but nevertheless agree and hereby acknowledge that the restrictions and limitations thereof are reasonable in scope, area, and duration, are reasonably necessary to protect the goodwill and business interests of the Company, and that the consideration provided under, or contemplated by, this Agreement is sufficient to justify the restrictions contained in such provisions. Accordingly, in consideration thereof and in light of your education, skills and abilities, you agree that you shall not assert that, and it should not be considered that, such</w:t>
      </w:r>
    </w:p>
    <w:p>
      <w:pPr>
        <w:sectPr>
          <w:pgSz w:w="11900" w:h="16838" w:orient="portrait"/>
          <w:cols w:equalWidth="0" w:num="1">
            <w:col w:w="11212"/>
          </w:cols>
          <w:pgMar w:left="328" w:top="1421" w:right="359" w:bottom="1440" w:gutter="0" w:footer="0" w:header="0"/>
        </w:sectPr>
      </w:pPr>
    </w:p>
    <w:bookmarkStart w:id="45" w:name="page46"/>
    <w:bookmarkEnd w:id="45"/>
    <w:p>
      <w:pPr>
        <w:ind w:left="332" w:right="780"/>
        <w:spacing w:after="0" w:line="272" w:lineRule="auto"/>
        <w:rPr>
          <w:sz w:val="20"/>
          <w:szCs w:val="20"/>
          <w:color w:val="auto"/>
        </w:rPr>
      </w:pPr>
      <w:r>
        <w:rPr>
          <w:rFonts w:ascii="Arial" w:cs="Arial" w:eastAsia="Arial" w:hAnsi="Arial"/>
          <w:sz w:val="22"/>
          <w:szCs w:val="22"/>
          <w:color w:val="auto"/>
        </w:rPr>
        <w:t>provisions are either unreasonable in scope, area, or duration, or will prevent you from earning a living, or otherwise are void, voidable, or unenforceable or should be voided or held unenforceable.</w:t>
      </w:r>
    </w:p>
    <w:p>
      <w:pPr>
        <w:spacing w:after="0" w:line="48" w:lineRule="exact"/>
        <w:rPr>
          <w:sz w:val="20"/>
          <w:szCs w:val="20"/>
          <w:color w:val="auto"/>
        </w:rPr>
      </w:pPr>
    </w:p>
    <w:p>
      <w:pPr>
        <w:ind w:left="332" w:hanging="332"/>
        <w:spacing w:after="0" w:line="285" w:lineRule="auto"/>
        <w:tabs>
          <w:tab w:leader="none" w:pos="33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shall not disparage, malign, or otherwise say or do anything which is intended to or could reasonably be expected to adversely affect the reputation or standing of the Company.</w:t>
      </w:r>
    </w:p>
    <w:p>
      <w:pPr>
        <w:spacing w:after="0" w:line="33" w:lineRule="exact"/>
        <w:rPr>
          <w:rFonts w:ascii="Arial" w:cs="Arial" w:eastAsia="Arial" w:hAnsi="Arial"/>
          <w:sz w:val="22"/>
          <w:szCs w:val="22"/>
          <w:color w:val="auto"/>
        </w:rPr>
      </w:pPr>
    </w:p>
    <w:p>
      <w:pPr>
        <w:ind w:left="332" w:hanging="332"/>
        <w:spacing w:after="0"/>
        <w:tabs>
          <w:tab w:leader="none" w:pos="33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652" w:firstLine="644"/>
        <w:spacing w:after="0" w:line="257" w:lineRule="auto"/>
        <w:tabs>
          <w:tab w:leader="none" w:pos="1969"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parties hereto agree and acknowledge that the covenants and agreements contained herein are reasonable in scope, area, and duration and necessary to protect the reasonable competitive business interests of the Company Group, including, without limitation, the value of the proprietary information and goodwill of the Company Group.</w:t>
      </w:r>
    </w:p>
    <w:p>
      <w:pPr>
        <w:spacing w:after="0" w:line="63" w:lineRule="exact"/>
        <w:rPr>
          <w:rFonts w:ascii="Arial" w:cs="Arial" w:eastAsia="Arial" w:hAnsi="Arial"/>
          <w:sz w:val="22"/>
          <w:szCs w:val="22"/>
          <w:color w:val="auto"/>
        </w:rPr>
      </w:pPr>
    </w:p>
    <w:p>
      <w:pPr>
        <w:ind w:left="652" w:right="140" w:firstLine="644"/>
        <w:spacing w:after="0" w:line="248" w:lineRule="auto"/>
        <w:tabs>
          <w:tab w:leader="none" w:pos="1969" w:val="left"/>
        </w:tabs>
        <w:numPr>
          <w:ilvl w:val="1"/>
          <w:numId w:val="23"/>
        </w:numPr>
        <w:rPr>
          <w:rFonts w:ascii="Arial" w:cs="Arial" w:eastAsia="Arial" w:hAnsi="Arial"/>
          <w:sz w:val="22"/>
          <w:szCs w:val="22"/>
          <w:color w:val="auto"/>
        </w:rPr>
      </w:pPr>
      <w:r>
        <w:rPr>
          <w:rFonts w:ascii="Arial" w:cs="Arial" w:eastAsia="Arial" w:hAnsi="Arial"/>
          <w:sz w:val="22"/>
          <w:szCs w:val="22"/>
          <w:color w:val="auto"/>
        </w:rPr>
        <w:t xml:space="preserve">You agree that the covenants and undertakings contained in this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relate to matters which are of a special, unique and extraordinary character and that the Company cannot be reasonably or adequately compensated in damages in an action at law in the event that you breach any of these covenants or undertakings. Therefore, you agree that the Company shall be entitled, as a matter of course, without the need to prove irreparable injury, to an injunction, restraining order or other equitable relief from any court of competent jurisdiction, restraining any violation or threatened violation of any of such terms by you and such other persons as the court shall order. You agree to pay costs and legal fees incurred by the Company in obtaining such injunction and the Company agrees to pay costs and legal fees incurred by you in any unsuccessful effort to obtain such injunction.</w:t>
      </w:r>
    </w:p>
    <w:p>
      <w:pPr>
        <w:spacing w:after="0" w:line="77" w:lineRule="exact"/>
        <w:rPr>
          <w:rFonts w:ascii="Arial" w:cs="Arial" w:eastAsia="Arial" w:hAnsi="Arial"/>
          <w:sz w:val="22"/>
          <w:szCs w:val="22"/>
          <w:color w:val="auto"/>
        </w:rPr>
      </w:pPr>
    </w:p>
    <w:p>
      <w:pPr>
        <w:ind w:left="652" w:right="160" w:firstLine="644"/>
        <w:spacing w:after="0" w:line="285" w:lineRule="auto"/>
        <w:tabs>
          <w:tab w:leader="none" w:pos="1969" w:val="left"/>
        </w:tabs>
        <w:numPr>
          <w:ilvl w:val="1"/>
          <w:numId w:val="23"/>
        </w:numPr>
        <w:rPr>
          <w:rFonts w:ascii="Arial" w:cs="Arial" w:eastAsia="Arial" w:hAnsi="Arial"/>
          <w:sz w:val="22"/>
          <w:szCs w:val="22"/>
          <w:color w:val="auto"/>
        </w:rPr>
      </w:pPr>
      <w:r>
        <w:rPr>
          <w:rFonts w:ascii="Arial" w:cs="Arial" w:eastAsia="Arial" w:hAnsi="Arial"/>
          <w:sz w:val="22"/>
          <w:szCs w:val="22"/>
          <w:color w:val="auto"/>
        </w:rPr>
        <w:t>Rights and remedies provided for in this clause are cumulative and shall be in addition to rights and remedies otherwise available to the parties under any other agreement or applicable law.</w:t>
      </w:r>
    </w:p>
    <w:p>
      <w:pPr>
        <w:spacing w:after="0" w:line="33" w:lineRule="exact"/>
        <w:rPr>
          <w:rFonts w:ascii="Arial" w:cs="Arial" w:eastAsia="Arial" w:hAnsi="Arial"/>
          <w:sz w:val="22"/>
          <w:szCs w:val="22"/>
          <w:color w:val="auto"/>
        </w:rPr>
      </w:pPr>
    </w:p>
    <w:p>
      <w:pPr>
        <w:ind w:left="652" w:firstLine="644"/>
        <w:spacing w:after="0" w:line="260" w:lineRule="auto"/>
        <w:tabs>
          <w:tab w:leader="none" w:pos="1969" w:val="left"/>
        </w:tabs>
        <w:numPr>
          <w:ilvl w:val="1"/>
          <w:numId w:val="23"/>
        </w:numPr>
        <w:rPr>
          <w:rFonts w:ascii="Arial" w:cs="Arial" w:eastAsia="Arial" w:hAnsi="Arial"/>
          <w:sz w:val="21"/>
          <w:szCs w:val="21"/>
          <w:color w:val="auto"/>
        </w:rPr>
      </w:pPr>
      <w:r>
        <w:rPr>
          <w:rFonts w:ascii="Arial" w:cs="Arial" w:eastAsia="Arial" w:hAnsi="Arial"/>
          <w:sz w:val="21"/>
          <w:szCs w:val="21"/>
          <w:color w:val="auto"/>
        </w:rPr>
        <w:t xml:space="preserve">In the event that any provision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shall to any extent be held invalid, unreasonable or unenforceable in any circumstances, the parties hereto agree that the remainder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the application of such provision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 other circumstances shall be valid and enforceable to the fullest extent permitted by law. If any provision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is held to be unenforceable because of the scope or duration of or the area covered by such provision, the parties hereto agree that the court or arbitrator making such determination shall reduce the scope, duration and/or area of such provision (and shall substitute appropriate provisions for any such unenforceable provisions to the minimum extent necessary) in order to make such provision enforceable to the fullest extent permitted by law, and/or shall delete specific words and phrases, and such modified provision shall then be enforceable and shall be enforced. The parties hereto recognize that if, in any judicial proceeding, a court shall refuse to enforce any of the separate covenants contained in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then that unenforceable covenant contained in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shall be deemed eliminated from these provisions to the extent necessary to permit the remaining separate covenants to be enforced. In the event that any court or arbitrator determines that the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172"/>
          </w:cols>
          <w:pgMar w:left="328" w:top="1423" w:right="399" w:bottom="1440" w:gutter="0" w:footer="0" w:header="0"/>
        </w:sectPr>
      </w:pPr>
    </w:p>
    <w:bookmarkStart w:id="46" w:name="page47"/>
    <w:bookmarkEnd w:id="46"/>
    <w:p>
      <w:pPr>
        <w:ind w:left="652" w:right="200"/>
        <w:spacing w:after="0" w:line="257" w:lineRule="auto"/>
        <w:rPr>
          <w:sz w:val="20"/>
          <w:szCs w:val="20"/>
          <w:color w:val="auto"/>
        </w:rPr>
      </w:pPr>
      <w:r>
        <w:rPr>
          <w:rFonts w:ascii="Arial" w:cs="Arial" w:eastAsia="Arial" w:hAnsi="Arial"/>
          <w:sz w:val="22"/>
          <w:szCs w:val="22"/>
          <w:color w:val="auto"/>
        </w:rPr>
        <w:t>or the area, or both, are unreasonable and that any of the covenants is to that extent unenforceable, the parties hereto agree that such covenants will remain in full force and effect, first, for the greatest time period, and second, in the greatest geographical area that would not render them unenforceable.</w:t>
      </w:r>
    </w:p>
    <w:p>
      <w:pPr>
        <w:spacing w:after="0" w:line="78" w:lineRule="exact"/>
        <w:rPr>
          <w:sz w:val="20"/>
          <w:szCs w:val="20"/>
          <w:color w:val="auto"/>
        </w:rPr>
      </w:pPr>
    </w:p>
    <w:p>
      <w:pPr>
        <w:ind w:left="332" w:hanging="332"/>
        <w:spacing w:after="0" w:line="247" w:lineRule="auto"/>
        <w:tabs>
          <w:tab w:leader="none" w:pos="337"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“Confidential Information” means information regarding the business or operations of the Company Group, both oral and written, including, but not limited to, documents and Company Group information contained in such documents; drawings; designs; plans; specifications; instructions; data; manuals; electronic media such as computer disks, computer programs, and data stored electronically; security code numbers; financial, marketing and strategic information; product pricing and customer information, that any member of the Company Group discloses to you or you otherwise learn or ascertain in any manner as a result of, or in relation to, your employment with the Company Group. Other than as required by applicable law, you agree: (i) to use Confidential Information only for the purposes required or appropriate for your employment with the Company Group; (ii) not to disclose to anyone Confidential Information without the Company’s prior written approval; and (iii) not to allow anyone’s use or access to Confidential Information, other than as required or appropriate for your employment with the Company Group. The foregoing shall not apply to information that is in the public domain, provided that you were not responsible, directly or indirectly, for such information entering into public domain without the Company’s approval. You agree to return to the Company all Confidential Information in your possession upon termination of your employment or at any time requested by the Company.</w:t>
      </w:r>
    </w:p>
    <w:p>
      <w:pPr>
        <w:spacing w:after="0" w:line="189" w:lineRule="exact"/>
        <w:rPr>
          <w:rFonts w:ascii="Arial" w:cs="Arial" w:eastAsia="Arial" w:hAnsi="Arial"/>
          <w:sz w:val="22"/>
          <w:szCs w:val="22"/>
          <w:color w:val="auto"/>
        </w:rPr>
      </w:pPr>
    </w:p>
    <w:p>
      <w:pPr>
        <w:ind w:left="332" w:right="60" w:hanging="332"/>
        <w:spacing w:after="0" w:line="264" w:lineRule="auto"/>
        <w:tabs>
          <w:tab w:leader="none" w:pos="337"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The non-competition, non-solicitation, non-disparagement, and confidentiality covenants set forth in this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shall be in addition to, and shall not be deemed to supersede, any other similar covenants between you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172"/>
          </w:cols>
          <w:pgMar w:left="328" w:top="1423" w:right="3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WESCO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225 West Station Square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700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Pittsburgh, Pennsylvania 15219</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July 14, 2025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Daniel Castillo</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7642 Bryn Mawr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75225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Dear Daniel:</w:t>
      </w:r>
    </w:p>
    <w:p>
      <w:pPr>
        <w:spacing w:after="0" w:line="220" w:lineRule="exact"/>
        <w:rPr>
          <w:sz w:val="20"/>
          <w:szCs w:val="20"/>
          <w:color w:val="auto"/>
        </w:rPr>
      </w:pPr>
    </w:p>
    <w:p>
      <w:pPr>
        <w:ind w:right="200" w:firstLine="240"/>
        <w:spacing w:after="0" w:line="272" w:lineRule="auto"/>
        <w:rPr>
          <w:sz w:val="20"/>
          <w:szCs w:val="20"/>
          <w:color w:val="auto"/>
        </w:rPr>
      </w:pPr>
      <w:r>
        <w:rPr>
          <w:rFonts w:ascii="Arial" w:cs="Arial" w:eastAsia="Arial" w:hAnsi="Arial"/>
          <w:sz w:val="22"/>
          <w:szCs w:val="22"/>
          <w:color w:val="auto"/>
        </w:rPr>
        <w:t>I am pleased to extend this offer for you to become the Executive Vice President &amp; General Manager, Electrical &amp; Electronic Solutions of our Company.</w:t>
      </w:r>
    </w:p>
    <w:p>
      <w:pPr>
        <w:spacing w:after="0" w:line="183" w:lineRule="exact"/>
        <w:rPr>
          <w:sz w:val="20"/>
          <w:szCs w:val="20"/>
          <w:color w:val="auto"/>
        </w:rPr>
      </w:pPr>
    </w:p>
    <w:p>
      <w:pPr>
        <w:ind w:right="160" w:firstLine="656"/>
        <w:spacing w:after="0" w:line="253" w:lineRule="auto"/>
        <w:tabs>
          <w:tab w:leader="none" w:pos="1301"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Employment Terms</w:t>
      </w:r>
      <w:r>
        <w:rPr>
          <w:rFonts w:ascii="Arial" w:cs="Arial" w:eastAsia="Arial" w:hAnsi="Arial"/>
          <w:sz w:val="22"/>
          <w:szCs w:val="22"/>
          <w:color w:val="auto"/>
        </w:rPr>
        <w:t xml:space="preserve">. The principal terms of your compensation and benefits in connection with your employment with the Company will be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Letter (the “</w:t>
      </w:r>
      <w:r>
        <w:rPr>
          <w:rFonts w:ascii="Arial" w:cs="Arial" w:eastAsia="Arial" w:hAnsi="Arial"/>
          <w:sz w:val="22"/>
          <w:szCs w:val="22"/>
          <w:u w:val="single" w:color="auto"/>
          <w:color w:val="auto"/>
        </w:rPr>
        <w:t>Term Sheet</w:t>
      </w:r>
      <w:r>
        <w:rPr>
          <w:rFonts w:ascii="Arial" w:cs="Arial" w:eastAsia="Arial" w:hAnsi="Arial"/>
          <w:sz w:val="22"/>
          <w:szCs w:val="22"/>
          <w:color w:val="auto"/>
        </w:rPr>
        <w:t xml:space="preserve">” and together with this Letter and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this “</w:t>
      </w:r>
      <w:r>
        <w:rPr>
          <w:rFonts w:ascii="Arial" w:cs="Arial" w:eastAsia="Arial" w:hAnsi="Arial"/>
          <w:sz w:val="22"/>
          <w:szCs w:val="22"/>
          <w:u w:val="single" w:color="auto"/>
          <w:color w:val="auto"/>
        </w:rPr>
        <w:t>Agreement</w:t>
      </w:r>
      <w:r>
        <w:rPr>
          <w:rFonts w:ascii="Arial" w:cs="Arial" w:eastAsia="Arial" w:hAnsi="Arial"/>
          <w:sz w:val="22"/>
          <w:szCs w:val="22"/>
          <w:color w:val="auto"/>
        </w:rPr>
        <w:t>”), subject to approval of Wesco’s Compensation Committee or Board of Directors, as applicable. This offer is contingent upon successful completion of all our standard background checks, substance abuse screening, and education and employment verification.</w:t>
      </w:r>
    </w:p>
    <w:p>
      <w:pPr>
        <w:spacing w:after="0" w:line="178" w:lineRule="exact"/>
        <w:rPr>
          <w:rFonts w:ascii="Arial" w:cs="Arial" w:eastAsia="Arial" w:hAnsi="Arial"/>
          <w:sz w:val="22"/>
          <w:szCs w:val="22"/>
          <w:color w:val="auto"/>
        </w:rPr>
      </w:pPr>
    </w:p>
    <w:p>
      <w:pPr>
        <w:ind w:right="60" w:firstLine="656"/>
        <w:spacing w:after="0" w:line="257" w:lineRule="auto"/>
        <w:tabs>
          <w:tab w:leader="none" w:pos="1301"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As a condition of your employment with the Company and your entitlement to receive the compensation and benefits set forth in the Term Sheet, you hereby acknowledge and agree that you shall be subject to the restrictive covenants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40" w:firstLine="656"/>
        <w:spacing w:after="0" w:line="247" w:lineRule="auto"/>
        <w:tabs>
          <w:tab w:leader="none" w:pos="1301"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intended that the payments and benefits provided under this Agreement will be exempt from the application of, or comply with, the requirements of Section 409A of the Code. This Agreement will be construed in a manner that effects such intent to the greatest extent possible. However, the Company shall not be held liable for any taxes, interests or penalties that you owe with respect to any payments or benefits provided under this Agreement. With respect to any amounts payable hereunder in installments, each installment shall be treated as a separate payment for purposes of Section 409A of the Code. For purposes of any payment due hereunder upon a termination of employment that is subject to the provisions of Section 409A of the Code, such phrase or any similar phrase shall mean a “separation from service” as defined by the default provisions of Treasury Regulation 1.409A-1(h). Notwithstanding any other provision of this Agreement to the contrary, if you are a “specified employee” within the meaning of Section 409A of the Code (as determined in accordance with the methodology established by the Company), amounts that constitute “nonqualified deferred compensation” subject to Section 409A of the Code that would otherwise be payable by reason of your separation from service during the six-month period immediately following such separation from service shall instead be paid or provided on the</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first business day following the date that is six months following your separation from service. If you die following your separation from service and prior to the payment of any amounts delayed on account of Section 409A of the Code, such amounts shall be paid to the personal representative of your estate within 30 days following the date of your death.</w:t>
      </w:r>
    </w:p>
    <w:p>
      <w:pPr>
        <w:spacing w:after="0" w:line="172" w:lineRule="exact"/>
        <w:rPr>
          <w:sz w:val="20"/>
          <w:szCs w:val="20"/>
          <w:color w:val="auto"/>
        </w:rPr>
      </w:pPr>
    </w:p>
    <w:p>
      <w:pPr>
        <w:ind w:right="60" w:firstLine="656"/>
        <w:spacing w:after="0" w:line="251" w:lineRule="auto"/>
        <w:tabs>
          <w:tab w:leader="none" w:pos="130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81" w:lineRule="exact"/>
        <w:rPr>
          <w:rFonts w:ascii="Arial" w:cs="Arial" w:eastAsia="Arial" w:hAnsi="Arial"/>
          <w:sz w:val="22"/>
          <w:szCs w:val="22"/>
          <w:color w:val="auto"/>
        </w:rPr>
      </w:pPr>
    </w:p>
    <w:p>
      <w:pPr>
        <w:ind w:right="40" w:firstLine="656"/>
        <w:spacing w:after="0" w:line="249" w:lineRule="auto"/>
        <w:tabs>
          <w:tab w:leader="none" w:pos="130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Except with respect to claims for breach of the Restrictive Covenants, for which the Company may seek enforcement in any court having competent jurisdiction at its election, any dispute arising between you and the Company with respect to the validity, performance or interpretation of this Agreement shall be submitted to and determined in binding arbitration before a panel of three arbitrators in Pittsburgh, Pennsylvania, for resolution in accordance with the rules of the American Arbitration Association, modified to provide that the decision of the arbitrators shall be binding on the parties; shall be furnished in writing, separately and specifically stating the findings of fact and conclusions of law on which the decision is based; shall be kept confidential by the arbitrators and the parties; and shall be rendered within 60 days following the arbitrators being impaneled. You shall bear your, and the Company shall bear its, own costs and expenses associated with the arbitration. The arbitrators shall be selected in accordance with the rules of the American Arbitration Association.</w:t>
      </w:r>
    </w:p>
    <w:p>
      <w:pPr>
        <w:spacing w:after="0" w:line="183" w:lineRule="exact"/>
        <w:rPr>
          <w:rFonts w:ascii="Arial" w:cs="Arial" w:eastAsia="Arial" w:hAnsi="Arial"/>
          <w:sz w:val="22"/>
          <w:szCs w:val="22"/>
          <w:color w:val="auto"/>
        </w:rPr>
      </w:pPr>
    </w:p>
    <w:p>
      <w:pPr>
        <w:ind w:right="120" w:firstLine="656"/>
        <w:spacing w:after="0" w:line="253" w:lineRule="auto"/>
        <w:tabs>
          <w:tab w:leader="none" w:pos="130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represents the complete understanding between you and the Company regarding the subject matter of this Agreement. No amendment to this Agreement shall be binding upon either party unless in writing and signed by or on behalf of such party. The obligations of the parties hereto are severable and divisible. In the event any provision hereunder is determined to be illegal or unenforceable, the remainder of this Agreement shall continue in full force and effect.</w:t>
      </w:r>
    </w:p>
    <w:p>
      <w:pPr>
        <w:spacing w:after="0" w:line="178" w:lineRule="exact"/>
        <w:rPr>
          <w:rFonts w:ascii="Arial" w:cs="Arial" w:eastAsia="Arial" w:hAnsi="Arial"/>
          <w:sz w:val="22"/>
          <w:szCs w:val="22"/>
          <w:color w:val="auto"/>
        </w:rPr>
      </w:pPr>
    </w:p>
    <w:p>
      <w:pPr>
        <w:ind w:right="120" w:firstLine="656"/>
        <w:spacing w:after="0" w:line="251" w:lineRule="auto"/>
        <w:tabs>
          <w:tab w:leader="none" w:pos="130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Employment At Will; Tax Withholding</w:t>
      </w:r>
      <w:r>
        <w:rPr>
          <w:rFonts w:ascii="Arial" w:cs="Arial" w:eastAsia="Arial" w:hAnsi="Arial"/>
          <w:sz w:val="22"/>
          <w:szCs w:val="22"/>
          <w:color w:val="auto"/>
        </w:rPr>
        <w:t>. This Agreement does not provide a guarantee of employment for any specific duration or a guarantee of any fixed terms or conditions of employment. Your employment with the Company will be “at will”, which means that either you or the Company may terminate your employment relationship at any time, with or without cause or notice. Employment with the Company for purposes of this Agreement shall include employment with any subsidiary or affiliate of the Company. The Company reserves the right to withhold or cause to be withheld applicable taxes from any amounts paid</w:t>
      </w:r>
    </w:p>
    <w:p>
      <w:pPr>
        <w:sectPr>
          <w:pgSz w:w="11900" w:h="16838" w:orient="portrait"/>
          <w:cols w:equalWidth="0" w:num="1">
            <w:col w:w="11240"/>
          </w:cols>
          <w:pgMar w:left="320" w:top="12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color w:val="auto"/>
        </w:rPr>
        <w:t>pursuant to this Agreement to the extent required by applicable law. You, or your estate, shall be responsible for any and all tax liability imposed on amounts paid hereunder.</w:t>
      </w:r>
    </w:p>
    <w:p>
      <w:pPr>
        <w:spacing w:after="0" w:line="156" w:lineRule="exact"/>
        <w:rPr>
          <w:sz w:val="20"/>
          <w:szCs w:val="20"/>
          <w:color w:val="auto"/>
        </w:rPr>
      </w:pPr>
    </w:p>
    <w:p>
      <w:pPr>
        <w:ind w:right="60" w:firstLine="656"/>
        <w:spacing w:after="0" w:line="253" w:lineRule="auto"/>
        <w:tabs>
          <w:tab w:leader="none" w:pos="1301"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are intended to be binding legal obligations of the Company and any successor to the Company by merger, consolidation, business combination, purchase, reorganization or otherwise. In the event of any transaction that results in the transfer of all or substantially all of the assets or business of the Company, the Company will cause the transferee to assume the obligations of the Company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Christine A.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19050</wp:posOffset>
            </wp:positionV>
            <wp:extent cx="2202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Christine A. Wolf</w:t>
      </w:r>
    </w:p>
    <w:p>
      <w:pPr>
        <w:ind w:left="4320"/>
        <w:spacing w:after="0" w:line="204" w:lineRule="auto"/>
        <w:rPr>
          <w:sz w:val="20"/>
          <w:szCs w:val="20"/>
          <w:color w:val="auto"/>
        </w:rPr>
      </w:pPr>
      <w:r>
        <w:rPr>
          <w:rFonts w:ascii="Arial" w:cs="Arial" w:eastAsia="Arial" w:hAnsi="Arial"/>
          <w:sz w:val="22"/>
          <w:szCs w:val="22"/>
          <w:color w:val="auto"/>
        </w:rPr>
        <w:t>Title: EVP, Chief Human</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Daniel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19050</wp:posOffset>
            </wp:positionV>
            <wp:extent cx="2202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Daniel Castillo</w:t>
      </w:r>
    </w:p>
    <w:p>
      <w:pPr>
        <w:sectPr>
          <w:pgSz w:w="11900" w:h="16838" w:orient="portrait"/>
          <w:cols w:equalWidth="0" w:num="1">
            <w:col w:w="11240"/>
          </w:cols>
          <w:pgMar w:left="320" w:top="127"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Start Date:</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Work Location: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Base Salary: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Sign-On Cash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Sign-On RSU Award:</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3100"/>
        <w:spacing w:after="0"/>
        <w:rPr>
          <w:sz w:val="20"/>
          <w:szCs w:val="20"/>
          <w:color w:val="auto"/>
        </w:rPr>
      </w:pPr>
      <w:r>
        <w:rPr>
          <w:rFonts w:ascii="Arial" w:cs="Arial" w:eastAsia="Arial" w:hAnsi="Arial"/>
          <w:sz w:val="22"/>
          <w:szCs w:val="22"/>
          <w:b w:val="1"/>
          <w:bCs w:val="1"/>
          <w:color w:val="auto"/>
        </w:rPr>
        <w:t>Term Sheet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 Vice President and General Manager, Electrical &amp; Electronic Solutions</w:t>
      </w:r>
    </w:p>
    <w:p>
      <w:pPr>
        <w:spacing w:after="0" w:line="247" w:lineRule="exact"/>
        <w:rPr>
          <w:sz w:val="20"/>
          <w:szCs w:val="20"/>
          <w:color w:val="auto"/>
        </w:rPr>
      </w:pPr>
    </w:p>
    <w:p>
      <w:pPr>
        <w:ind w:left="40" w:right="2780"/>
        <w:spacing w:after="0" w:line="490" w:lineRule="auto"/>
        <w:rPr>
          <w:sz w:val="20"/>
          <w:szCs w:val="20"/>
          <w:color w:val="auto"/>
        </w:rPr>
      </w:pPr>
      <w:r>
        <w:rPr>
          <w:rFonts w:ascii="Arial" w:cs="Arial" w:eastAsia="Arial" w:hAnsi="Arial"/>
          <w:sz w:val="22"/>
          <w:szCs w:val="22"/>
          <w:color w:val="auto"/>
        </w:rPr>
        <w:t>A mutually agreed date, expected to be in August 2025 Pittsburgh, Pennsylvania</w:t>
      </w:r>
    </w:p>
    <w:p>
      <w:pPr>
        <w:spacing w:after="0" w:line="7" w:lineRule="exact"/>
        <w:rPr>
          <w:sz w:val="20"/>
          <w:szCs w:val="20"/>
          <w:color w:val="auto"/>
        </w:rPr>
      </w:pPr>
    </w:p>
    <w:p>
      <w:pPr>
        <w:ind w:left="40" w:right="220"/>
        <w:spacing w:after="0" w:line="272" w:lineRule="auto"/>
        <w:rPr>
          <w:sz w:val="20"/>
          <w:szCs w:val="20"/>
          <w:color w:val="auto"/>
        </w:rPr>
      </w:pPr>
      <w:r>
        <w:rPr>
          <w:rFonts w:ascii="Arial" w:cs="Arial" w:eastAsia="Arial" w:hAnsi="Arial"/>
          <w:sz w:val="22"/>
          <w:szCs w:val="22"/>
          <w:color w:val="auto"/>
        </w:rPr>
        <w:t>$725,000 annual rate to be paid in accordance with the applicable payroll practice in effect from time to time.</w:t>
      </w:r>
    </w:p>
    <w:p>
      <w:pPr>
        <w:spacing w:after="0" w:line="210"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Your target annual bonus will be 90% of your annual base salary with a payout opportunity of zero to 180% of your annual base salary, based on the achievement of performance objectives as established annually by the Compensation Committee of the Board of Directors of the Company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Payment of your earned annual bonus (if any) is subject to your continued employment through the applicable bonus payment date, except as otherwise provided in this Term Sheet or by the terms of the Company’s annual bonus program as in effect from time to time. In 2025, your bonus will be prorated based on the number of full months worked during the calendar year.</w:t>
      </w:r>
    </w:p>
    <w:p>
      <w:pPr>
        <w:spacing w:after="0" w:line="242" w:lineRule="exact"/>
        <w:rPr>
          <w:sz w:val="20"/>
          <w:szCs w:val="20"/>
          <w:color w:val="auto"/>
        </w:rPr>
      </w:pPr>
    </w:p>
    <w:p>
      <w:pPr>
        <w:ind w:left="40" w:right="280"/>
        <w:spacing w:after="0" w:line="250" w:lineRule="auto"/>
        <w:rPr>
          <w:sz w:val="20"/>
          <w:szCs w:val="20"/>
          <w:color w:val="auto"/>
        </w:rPr>
      </w:pPr>
      <w:r>
        <w:rPr>
          <w:rFonts w:ascii="Arial" w:cs="Arial" w:eastAsia="Arial" w:hAnsi="Arial"/>
          <w:sz w:val="22"/>
          <w:szCs w:val="22"/>
          <w:color w:val="auto"/>
        </w:rPr>
        <w:t>You will be eligible to receive a sign-on cash award in the amount of $400,000, payable within thirty days of your date of employment. If you terminate your employment voluntarily or are terminated for Cause prior to one year from the payment date, you will be required to repay the gross amount of such payment to the Company.</w:t>
      </w:r>
    </w:p>
    <w:p>
      <w:pPr>
        <w:spacing w:after="0" w:line="248"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You will be eligible to receive annual equity awards during your employment with the Company. It is expected that your annual equity awards for the Company’s fiscal year 2026 will have an aggregate grant date fair value of $1,700,000, subject to approval by the Compensation Committee. The form, terms and conditions of your annual equity awards will be based on performance and award guidelines established periodically by the Compensation Committee.</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Within ten (10) business days of your first date of employment, you will be granted a Company equity award in the form of restricted stock units (RSUs) with a grant date fair value of $2,700,000 (the “Sign-On RSU Award”). The Sign-On RSU Award will vest as to one third of the total number of RSUs granted on each of the first, second and third anniversaries of the grant date, subject to your</w:t>
      </w:r>
    </w:p>
    <w:p>
      <w:pPr>
        <w:sectPr>
          <w:pgSz w:w="11900" w:h="16838" w:orient="portrait"/>
          <w:cols w:equalWidth="0" w:num="2">
            <w:col w:w="2540" w:space="460"/>
            <w:col w:w="8080"/>
          </w:cols>
          <w:pgMar w:left="460" w:top="1029" w:right="359" w:bottom="1440" w:gutter="0" w:footer="0" w:header="0"/>
        </w:sectPr>
      </w:pPr>
    </w:p>
    <w:bookmarkStart w:id="51" w:name="page52"/>
    <w:bookmarkEnd w:id="51"/>
    <w:p>
      <w:pPr>
        <w:ind w:left="10960"/>
        <w:spacing w:after="0"/>
        <w:rPr>
          <w:sz w:val="20"/>
          <w:szCs w:val="20"/>
          <w:color w:val="auto"/>
        </w:rPr>
      </w:pPr>
      <w:r>
        <w:rPr>
          <w:rFonts w:ascii="Arial" w:cs="Arial" w:eastAsia="Arial" w:hAnsi="Arial"/>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0" w:right="200"/>
        <w:spacing w:after="0" w:line="250" w:lineRule="auto"/>
        <w:rPr>
          <w:sz w:val="20"/>
          <w:szCs w:val="20"/>
          <w:color w:val="auto"/>
        </w:rPr>
      </w:pPr>
      <w:r>
        <w:rPr>
          <w:rFonts w:ascii="Arial" w:cs="Arial" w:eastAsia="Arial" w:hAnsi="Arial"/>
          <w:sz w:val="22"/>
          <w:szCs w:val="22"/>
          <w:color w:val="auto"/>
        </w:rPr>
        <w:t>continued employment with the Company through the applicable anniversary dates and will otherwise be subject to the terms and conditions set forth in the applicable award agreement. If the Company terminates your employment without Cause during the vesting period, the value of the unvested Sign-On RSUs will be paid in cash based on the number of unvested RSUs that are forfeited multiplied by the closing price per share of Wesco International common stock on your date of termination, subject to applicable tax withholding.</w:t>
      </w:r>
    </w:p>
    <w:p>
      <w:pPr>
        <w:sectPr>
          <w:pgSz w:w="11900" w:h="16838" w:orient="portrait"/>
          <w:cols w:equalWidth="0" w:num="1">
            <w:col w:w="11100"/>
          </w:cols>
          <w:pgMar w:left="460" w:top="127"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Matching Options: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You will be eligible to receive options equal to the number of shares that you purchase for long-term investment within the first twelve months of employment, up to the equivalent of one times (1x) your starting annual base salary, to be granted with the approval of the Compensation Committee of the Board of Directors. The exercise price of the options will be set at the closing price on the date of purchase on the open market in one or more transactions, not to exceed three trading days. Your purchase of shares must comply with the Company’s policy regarding insider trading. These options will vest ratably over three years.</w:t>
      </w:r>
    </w:p>
    <w:p>
      <w:pPr>
        <w:spacing w:after="0" w:line="200" w:lineRule="exact"/>
        <w:rPr>
          <w:sz w:val="20"/>
          <w:szCs w:val="20"/>
          <w:color w:val="auto"/>
        </w:rPr>
      </w:pPr>
    </w:p>
    <w:p>
      <w:pPr>
        <w:sectPr>
          <w:pgSz w:w="11900" w:h="16838" w:orient="portrait"/>
          <w:cols w:equalWidth="0" w:num="2">
            <w:col w:w="2280" w:space="720"/>
            <w:col w:w="8100"/>
          </w:cols>
          <w:pgMar w:left="460" w:top="127" w:right="339" w:bottom="1440" w:gutter="0" w:footer="0" w:header="0"/>
          <w:type w:val="continuous"/>
        </w:sectPr>
      </w:pPr>
    </w:p>
    <w:p>
      <w:pPr>
        <w:spacing w:after="0" w:line="31" w:lineRule="exact"/>
        <w:rPr>
          <w:sz w:val="20"/>
          <w:szCs w:val="20"/>
          <w:color w:val="auto"/>
        </w:rPr>
      </w:pPr>
    </w:p>
    <w:p>
      <w:pPr>
        <w:ind w:right="560"/>
        <w:spacing w:after="0" w:line="310" w:lineRule="auto"/>
        <w:rPr>
          <w:sz w:val="20"/>
          <w:szCs w:val="20"/>
          <w:color w:val="auto"/>
        </w:rPr>
      </w:pPr>
      <w:r>
        <w:rPr>
          <w:rFonts w:ascii="Arial" w:cs="Arial" w:eastAsia="Arial" w:hAnsi="Arial"/>
          <w:sz w:val="21"/>
          <w:szCs w:val="21"/>
          <w:b w:val="1"/>
          <w:bCs w:val="1"/>
          <w:color w:val="auto"/>
        </w:rPr>
        <w:t>Stock Ownership Guidelines: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ind w:right="380"/>
        <w:spacing w:after="0" w:line="282" w:lineRule="auto"/>
        <w:rPr>
          <w:sz w:val="20"/>
          <w:szCs w:val="20"/>
          <w:color w:val="auto"/>
        </w:rPr>
      </w:pPr>
      <w:r>
        <w:rPr>
          <w:rFonts w:ascii="Arial" w:cs="Arial" w:eastAsia="Arial" w:hAnsi="Arial"/>
          <w:sz w:val="21"/>
          <w:szCs w:val="21"/>
          <w:color w:val="auto"/>
        </w:rPr>
        <w:t>It is expected that you achieve and maintain an ownership position in Company common stock equal to 2x your annual base salary in accordance with the Stock Ownership Guidelines for Wesco Executives as in effect from time to time.</w:t>
      </w:r>
    </w:p>
    <w:p>
      <w:pPr>
        <w:spacing w:after="0" w:line="200" w:lineRule="exact"/>
        <w:rPr>
          <w:sz w:val="20"/>
          <w:szCs w:val="20"/>
          <w:color w:val="auto"/>
        </w:rPr>
      </w:pPr>
    </w:p>
    <w:p>
      <w:pPr>
        <w:sectPr>
          <w:pgSz w:w="11900" w:h="16838" w:orient="portrait"/>
          <w:cols w:equalWidth="0" w:num="2">
            <w:col w:w="2320" w:space="720"/>
            <w:col w:w="8060"/>
          </w:cols>
          <w:pgMar w:left="46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840" w:type="dxa"/>
            <w:vAlign w:val="bottom"/>
          </w:tcPr>
          <w:p>
            <w:pPr>
              <w:spacing w:after="0"/>
              <w:rPr>
                <w:sz w:val="20"/>
                <w:szCs w:val="20"/>
                <w:color w:val="auto"/>
              </w:rPr>
            </w:pPr>
            <w:r>
              <w:rPr>
                <w:rFonts w:ascii="Arial" w:cs="Arial" w:eastAsia="Arial" w:hAnsi="Arial"/>
                <w:sz w:val="22"/>
                <w:szCs w:val="22"/>
                <w:b w:val="1"/>
                <w:bCs w:val="1"/>
                <w:color w:val="auto"/>
              </w:rPr>
              <w:t>Health, Welfare, and Other</w:t>
            </w:r>
          </w:p>
        </w:tc>
        <w:tc>
          <w:tcPr>
            <w:tcW w:w="8180" w:type="dxa"/>
            <w:vAlign w:val="bottom"/>
            <w:gridSpan w:val="3"/>
          </w:tcPr>
          <w:p>
            <w:pPr>
              <w:ind w:left="200"/>
              <w:spacing w:after="0"/>
              <w:rPr>
                <w:sz w:val="20"/>
                <w:szCs w:val="20"/>
                <w:color w:val="auto"/>
              </w:rPr>
            </w:pPr>
            <w:r>
              <w:rPr>
                <w:rFonts w:ascii="Arial" w:cs="Arial" w:eastAsia="Arial" w:hAnsi="Arial"/>
                <w:sz w:val="22"/>
                <w:szCs w:val="22"/>
                <w:color w:val="auto"/>
              </w:rPr>
              <w:t>You will be eligible to participate in all corporate benefit programs in accordance</w:t>
            </w:r>
          </w:p>
        </w:tc>
      </w:tr>
      <w:tr>
        <w:trPr>
          <w:trHeight w:val="297"/>
        </w:trPr>
        <w:tc>
          <w:tcPr>
            <w:tcW w:w="2840" w:type="dxa"/>
            <w:vAlign w:val="bottom"/>
          </w:tcPr>
          <w:p>
            <w:pPr>
              <w:spacing w:after="0"/>
              <w:rPr>
                <w:sz w:val="20"/>
                <w:szCs w:val="20"/>
                <w:color w:val="auto"/>
              </w:rPr>
            </w:pPr>
            <w:r>
              <w:rPr>
                <w:rFonts w:ascii="Arial" w:cs="Arial" w:eastAsia="Arial" w:hAnsi="Arial"/>
                <w:sz w:val="22"/>
                <w:szCs w:val="22"/>
                <w:b w:val="1"/>
                <w:bCs w:val="1"/>
                <w:color w:val="auto"/>
              </w:rPr>
              <w:t>Benefit Programs:</w:t>
            </w:r>
          </w:p>
        </w:tc>
        <w:tc>
          <w:tcPr>
            <w:tcW w:w="8180" w:type="dxa"/>
            <w:vAlign w:val="bottom"/>
            <w:gridSpan w:val="3"/>
          </w:tcPr>
          <w:p>
            <w:pPr>
              <w:ind w:left="200"/>
              <w:spacing w:after="0"/>
              <w:rPr>
                <w:sz w:val="20"/>
                <w:szCs w:val="20"/>
                <w:color w:val="auto"/>
              </w:rPr>
            </w:pPr>
            <w:r>
              <w:rPr>
                <w:rFonts w:ascii="Arial" w:cs="Arial" w:eastAsia="Arial" w:hAnsi="Arial"/>
                <w:sz w:val="22"/>
                <w:szCs w:val="22"/>
                <w:color w:val="auto"/>
              </w:rPr>
              <w:t>with standard policies and procedures in effect from time to time.</w:t>
            </w:r>
          </w:p>
        </w:tc>
      </w:tr>
      <w:tr>
        <w:trPr>
          <w:trHeight w:val="488"/>
        </w:trPr>
        <w:tc>
          <w:tcPr>
            <w:tcW w:w="2840" w:type="dxa"/>
            <w:vAlign w:val="bottom"/>
          </w:tcPr>
          <w:p>
            <w:pPr>
              <w:spacing w:after="0"/>
              <w:rPr>
                <w:sz w:val="20"/>
                <w:szCs w:val="20"/>
                <w:color w:val="auto"/>
              </w:rPr>
            </w:pPr>
            <w:r>
              <w:rPr>
                <w:rFonts w:ascii="Arial" w:cs="Arial" w:eastAsia="Arial" w:hAnsi="Arial"/>
                <w:sz w:val="22"/>
                <w:szCs w:val="22"/>
                <w:b w:val="1"/>
                <w:bCs w:val="1"/>
                <w:color w:val="auto"/>
              </w:rPr>
              <w:t>Severance:</w:t>
            </w: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w w:val="99"/>
              </w:rPr>
              <w:t>If your employment is terminated by the Company without Cause, or you resign for</w:t>
            </w:r>
          </w:p>
        </w:tc>
      </w:tr>
      <w:tr>
        <w:trPr>
          <w:trHeight w:val="270"/>
        </w:trPr>
        <w:tc>
          <w:tcPr>
            <w:tcW w:w="2840" w:type="dxa"/>
            <w:vAlign w:val="bottom"/>
          </w:tcPr>
          <w:p>
            <w:pPr>
              <w:spacing w:after="0"/>
              <w:rPr>
                <w:sz w:val="23"/>
                <w:szCs w:val="23"/>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w w:val="98"/>
              </w:rPr>
              <w:t>Good Reason, then, subject to your execution and delivery of a release of claims in</w:t>
            </w:r>
          </w:p>
        </w:tc>
      </w:tr>
      <w:tr>
        <w:trPr>
          <w:trHeight w:val="256"/>
        </w:trPr>
        <w:tc>
          <w:tcPr>
            <w:tcW w:w="2840" w:type="dxa"/>
            <w:vAlign w:val="bottom"/>
          </w:tcPr>
          <w:p>
            <w:pPr>
              <w:spacing w:after="0"/>
              <w:rPr>
                <w:sz w:val="22"/>
                <w:szCs w:val="22"/>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w w:val="97"/>
              </w:rPr>
              <w:t>the form provided by the Company (which form shall be substantially consistent with</w:t>
            </w:r>
          </w:p>
        </w:tc>
      </w:tr>
      <w:tr>
        <w:trPr>
          <w:trHeight w:val="257"/>
        </w:trPr>
        <w:tc>
          <w:tcPr>
            <w:tcW w:w="2840" w:type="dxa"/>
            <w:vAlign w:val="bottom"/>
          </w:tcPr>
          <w:p>
            <w:pPr>
              <w:spacing w:after="0"/>
              <w:rPr>
                <w:sz w:val="22"/>
                <w:szCs w:val="22"/>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rPr>
              <w:t>the Company’s then-current standard form of release of claims) and such release</w:t>
            </w:r>
          </w:p>
        </w:tc>
      </w:tr>
      <w:tr>
        <w:trPr>
          <w:trHeight w:val="256"/>
        </w:trPr>
        <w:tc>
          <w:tcPr>
            <w:tcW w:w="2840" w:type="dxa"/>
            <w:vAlign w:val="bottom"/>
          </w:tcPr>
          <w:p>
            <w:pPr>
              <w:spacing w:after="0"/>
              <w:rPr>
                <w:sz w:val="22"/>
                <w:szCs w:val="22"/>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w w:val="99"/>
              </w:rPr>
              <w:t>becoming effective and irrevocable within the time period specified therein, you will</w:t>
            </w:r>
          </w:p>
        </w:tc>
      </w:tr>
      <w:tr>
        <w:trPr>
          <w:trHeight w:val="283"/>
        </w:trPr>
        <w:tc>
          <w:tcPr>
            <w:tcW w:w="2840" w:type="dxa"/>
            <w:vAlign w:val="bottom"/>
          </w:tcPr>
          <w:p>
            <w:pPr>
              <w:spacing w:after="0"/>
              <w:rPr>
                <w:sz w:val="24"/>
                <w:szCs w:val="24"/>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rPr>
              <w:t>be entitled to receive the following severance payments and benefits:</w:t>
            </w:r>
          </w:p>
        </w:tc>
      </w:tr>
      <w:tr>
        <w:trPr>
          <w:trHeight w:val="459"/>
        </w:trPr>
        <w:tc>
          <w:tcPr>
            <w:tcW w:w="2840" w:type="dxa"/>
            <w:vAlign w:val="bottom"/>
          </w:tcPr>
          <w:p>
            <w:pPr>
              <w:spacing w:after="0"/>
              <w:rPr>
                <w:sz w:val="24"/>
                <w:szCs w:val="24"/>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rPr>
              <w:t>(i) cash severance equal to 12 months of your then-current annual base salary,</w:t>
            </w:r>
          </w:p>
        </w:tc>
      </w:tr>
      <w:tr>
        <w:trPr>
          <w:trHeight w:val="257"/>
        </w:trPr>
        <w:tc>
          <w:tcPr>
            <w:tcW w:w="2840" w:type="dxa"/>
            <w:vAlign w:val="bottom"/>
          </w:tcPr>
          <w:p>
            <w:pPr>
              <w:spacing w:after="0"/>
              <w:rPr>
                <w:sz w:val="22"/>
                <w:szCs w:val="22"/>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rPr>
              <w:t>payable in installments over the 12 months following your termination date</w:t>
            </w:r>
          </w:p>
        </w:tc>
      </w:tr>
      <w:tr>
        <w:trPr>
          <w:trHeight w:val="229"/>
        </w:trPr>
        <w:tc>
          <w:tcPr>
            <w:tcW w:w="2840" w:type="dxa"/>
            <w:vAlign w:val="bottom"/>
          </w:tcPr>
          <w:p>
            <w:pPr>
              <w:spacing w:after="0"/>
              <w:rPr>
                <w:sz w:val="19"/>
                <w:szCs w:val="19"/>
                <w:color w:val="auto"/>
              </w:rPr>
            </w:pPr>
          </w:p>
        </w:tc>
        <w:tc>
          <w:tcPr>
            <w:tcW w:w="8180" w:type="dxa"/>
            <w:vAlign w:val="bottom"/>
            <w:gridSpan w:val="3"/>
          </w:tcPr>
          <w:p>
            <w:pPr>
              <w:ind w:left="160"/>
              <w:spacing w:after="0" w:line="229" w:lineRule="exact"/>
              <w:rPr>
                <w:sz w:val="20"/>
                <w:szCs w:val="20"/>
                <w:color w:val="auto"/>
              </w:rPr>
            </w:pPr>
            <w:r>
              <w:rPr>
                <w:rFonts w:ascii="Arial" w:cs="Arial" w:eastAsia="Arial" w:hAnsi="Arial"/>
                <w:sz w:val="22"/>
                <w:szCs w:val="22"/>
                <w:color w:val="auto"/>
              </w:rPr>
              <w:t>(provided that any installments that would otherwise have been paid during the</w:t>
            </w:r>
          </w:p>
        </w:tc>
      </w:tr>
      <w:tr>
        <w:trPr>
          <w:trHeight w:val="20"/>
        </w:trPr>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64"/>
        </w:trPr>
        <w:tc>
          <w:tcPr>
            <w:tcW w:w="2840" w:type="dxa"/>
            <w:vAlign w:val="bottom"/>
          </w:tcPr>
          <w:p>
            <w:pPr>
              <w:spacing w:after="0"/>
              <w:rPr>
                <w:sz w:val="22"/>
                <w:szCs w:val="22"/>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rPr>
              <w:t>period between your termination date and the 60th day following your termination</w:t>
            </w:r>
          </w:p>
        </w:tc>
      </w:tr>
      <w:tr>
        <w:trPr>
          <w:trHeight w:val="283"/>
        </w:trPr>
        <w:tc>
          <w:tcPr>
            <w:tcW w:w="2840" w:type="dxa"/>
            <w:vAlign w:val="bottom"/>
          </w:tcPr>
          <w:p>
            <w:pPr>
              <w:spacing w:after="0"/>
              <w:rPr>
                <w:sz w:val="24"/>
                <w:szCs w:val="24"/>
                <w:color w:val="auto"/>
              </w:rPr>
            </w:pPr>
          </w:p>
        </w:tc>
        <w:tc>
          <w:tcPr>
            <w:tcW w:w="8180" w:type="dxa"/>
            <w:vAlign w:val="bottom"/>
            <w:gridSpan w:val="3"/>
          </w:tcPr>
          <w:p>
            <w:pPr>
              <w:ind w:left="160"/>
              <w:spacing w:after="0"/>
              <w:rPr>
                <w:sz w:val="20"/>
                <w:szCs w:val="20"/>
                <w:color w:val="auto"/>
              </w:rPr>
            </w:pPr>
            <w:r>
              <w:rPr>
                <w:rFonts w:ascii="Arial" w:cs="Arial" w:eastAsia="Arial" w:hAnsi="Arial"/>
                <w:sz w:val="22"/>
                <w:szCs w:val="22"/>
                <w:color w:val="auto"/>
              </w:rPr>
              <w:t>date shall be accumulated and paid on the first regularly scheduled</w:t>
            </w:r>
          </w:p>
        </w:tc>
      </w:tr>
      <w:tr>
        <w:trPr>
          <w:trHeight w:val="1227"/>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A-2</w:t>
            </w:r>
          </w:p>
        </w:tc>
      </w:tr>
    </w:tbl>
    <w:p>
      <w:pPr>
        <w:sectPr>
          <w:pgSz w:w="11900" w:h="16838" w:orient="portrait"/>
          <w:cols w:equalWidth="0" w:num="1">
            <w:col w:w="11100"/>
          </w:cols>
          <w:pgMar w:left="460" w:top="127" w:right="339" w:bottom="1440" w:gutter="0" w:footer="0" w:header="0"/>
          <w:type w:val="continuous"/>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60" w:type="dxa"/>
            <w:vAlign w:val="bottom"/>
          </w:tcPr>
          <w:p>
            <w:pPr>
              <w:ind w:left="5520"/>
              <w:spacing w:after="0"/>
              <w:rPr>
                <w:sz w:val="20"/>
                <w:szCs w:val="20"/>
                <w:color w:val="auto"/>
              </w:rPr>
            </w:pPr>
            <w:r>
              <w:rPr>
                <w:rFonts w:ascii="Arial" w:cs="Arial" w:eastAsia="Arial" w:hAnsi="Arial"/>
                <w:sz w:val="22"/>
                <w:szCs w:val="22"/>
                <w:color w:val="auto"/>
                <w:w w:val="88"/>
              </w:rPr>
              <w:t>T</w:t>
            </w:r>
          </w:p>
        </w:tc>
      </w:tr>
      <w:tr>
        <w:trPr>
          <w:trHeight w:val="958"/>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payroll date occurring after the 60th day following your termination date);</w:t>
            </w:r>
          </w:p>
        </w:tc>
      </w:tr>
      <w:tr>
        <w:trPr>
          <w:trHeight w:val="459"/>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(ii) a prorated bonus, payable within 60 days following your termination date, equal</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to the product of your then-current target bonus multiplied by a fraction, the</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w w:val="99"/>
              </w:rPr>
              <w:t>numerator of which is the number of days from January 1 of the fiscal year in which</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your termination date occurs through the earlier of your termination date and</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December 31 of such fiscal year and the denominator of which is the total number</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of days in such fiscal year;</w:t>
            </w:r>
          </w:p>
        </w:tc>
      </w:tr>
      <w:tr>
        <w:trPr>
          <w:trHeight w:val="459"/>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(iii) continued coverage under the Company’s medical, dental and vision benefit</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w w:val="99"/>
              </w:rPr>
              <w:t>plans in which you participated immediately prior to your termination of employment</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for one year following your termination of employment provided that you elect</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COBRA in a timely manner and continue to pay the applicable premiums at active</w:t>
            </w:r>
          </w:p>
        </w:tc>
      </w:tr>
      <w:tr>
        <w:trPr>
          <w:trHeight w:val="229"/>
        </w:trPr>
        <w:tc>
          <w:tcPr>
            <w:tcW w:w="2500" w:type="dxa"/>
            <w:vAlign w:val="bottom"/>
          </w:tcPr>
          <w:p>
            <w:pPr>
              <w:spacing w:after="0"/>
              <w:rPr>
                <w:sz w:val="19"/>
                <w:szCs w:val="19"/>
                <w:color w:val="auto"/>
              </w:rPr>
            </w:pPr>
          </w:p>
        </w:tc>
        <w:tc>
          <w:tcPr>
            <w:tcW w:w="8600" w:type="dxa"/>
            <w:vAlign w:val="bottom"/>
            <w:gridSpan w:val="5"/>
          </w:tcPr>
          <w:p>
            <w:pPr>
              <w:ind w:left="500"/>
              <w:spacing w:after="0" w:line="229" w:lineRule="exact"/>
              <w:rPr>
                <w:sz w:val="20"/>
                <w:szCs w:val="20"/>
                <w:color w:val="auto"/>
              </w:rPr>
            </w:pPr>
            <w:r>
              <w:rPr>
                <w:rFonts w:ascii="Arial" w:cs="Arial" w:eastAsia="Arial" w:hAnsi="Arial"/>
                <w:sz w:val="22"/>
                <w:szCs w:val="22"/>
                <w:color w:val="auto"/>
              </w:rPr>
              <w:t>employee rates (provided that you shall be obligated to refund to the Company any</w:t>
            </w:r>
          </w:p>
        </w:tc>
      </w:tr>
      <w:tr>
        <w:trPr>
          <w:trHeight w:val="20"/>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78"/>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portion of the employer premium subsidy provided during the period between your</w:t>
            </w:r>
          </w:p>
        </w:tc>
      </w:tr>
      <w:tr>
        <w:trPr>
          <w:trHeight w:val="256"/>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termination date and the 60th day after your termination date in the event that you</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do not satisfy the release requirement described above); and</w:t>
            </w:r>
          </w:p>
        </w:tc>
      </w:tr>
      <w:tr>
        <w:trPr>
          <w:trHeight w:val="446"/>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(iv) accelerated vesting of the Company stock options, if any, granted pursuant to</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the Matching Options provision, with any vested stock options having the post-</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termination exercise period specified in the applicable award agreement.</w:t>
            </w:r>
          </w:p>
        </w:tc>
      </w:tr>
      <w:tr>
        <w:trPr>
          <w:trHeight w:val="459"/>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Your rate of annual base salary and target annual bonus percentage used for</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purposes of calculating the cash severance and prorated bonus described above</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will be the rate set forth above in the section of this Term Sheet labelled “Annual</w:t>
            </w:r>
          </w:p>
        </w:tc>
      </w:tr>
      <w:tr>
        <w:trPr>
          <w:trHeight w:val="256"/>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w w:val="98"/>
              </w:rPr>
              <w:t>Base Salary” and “Annual Cash Bonus”, as such rate may be increased from time to</w:t>
            </w:r>
          </w:p>
        </w:tc>
      </w:tr>
      <w:tr>
        <w:trPr>
          <w:trHeight w:val="270"/>
        </w:trPr>
        <w:tc>
          <w:tcPr>
            <w:tcW w:w="2500" w:type="dxa"/>
            <w:vAlign w:val="bottom"/>
          </w:tcPr>
          <w:p>
            <w:pPr>
              <w:spacing w:after="0"/>
              <w:rPr>
                <w:sz w:val="23"/>
                <w:szCs w:val="23"/>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w w:val="99"/>
              </w:rPr>
              <w:t>time, without regard to any salary rate reduction implemented afterward (whether or</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not such reduction would constitute Good Reason).</w:t>
            </w:r>
          </w:p>
        </w:tc>
      </w:tr>
      <w:tr>
        <w:trPr>
          <w:trHeight w:val="446"/>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You will be eligible to participate in the Company’s Change in Control Severance</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Plan in accordance with its terms as in effect from time to time.</w:t>
            </w:r>
          </w:p>
        </w:tc>
      </w:tr>
      <w:tr>
        <w:trPr>
          <w:trHeight w:val="500"/>
        </w:trPr>
        <w:tc>
          <w:tcPr>
            <w:tcW w:w="2500" w:type="dxa"/>
            <w:vAlign w:val="bottom"/>
          </w:tcPr>
          <w:p>
            <w:pPr>
              <w:spacing w:after="0"/>
              <w:rPr>
                <w:sz w:val="20"/>
                <w:szCs w:val="20"/>
                <w:color w:val="auto"/>
              </w:rPr>
            </w:pPr>
            <w:r>
              <w:rPr>
                <w:rFonts w:ascii="Arial" w:cs="Arial" w:eastAsia="Arial" w:hAnsi="Arial"/>
                <w:sz w:val="22"/>
                <w:szCs w:val="22"/>
                <w:b w:val="1"/>
                <w:bCs w:val="1"/>
                <w:color w:val="auto"/>
              </w:rPr>
              <w:t>Certain Definitions:</w:t>
            </w: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For purposes of the Agreement, the following capitalized terms shall have the</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following meanings:</w:t>
            </w:r>
          </w:p>
        </w:tc>
      </w:tr>
      <w:tr>
        <w:trPr>
          <w:trHeight w:val="432"/>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“Cause” means:</w:t>
            </w:r>
          </w:p>
        </w:tc>
      </w:tr>
      <w:tr>
        <w:trPr>
          <w:trHeight w:val="20"/>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480"/>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w w:val="99"/>
              </w:rPr>
              <w:t>(i) your willful and continued failure to substantially perform your employment duties</w:t>
            </w:r>
          </w:p>
        </w:tc>
      </w:tr>
      <w:tr>
        <w:trPr>
          <w:trHeight w:val="257"/>
        </w:trPr>
        <w:tc>
          <w:tcPr>
            <w:tcW w:w="2500" w:type="dxa"/>
            <w:vAlign w:val="bottom"/>
          </w:tcPr>
          <w:p>
            <w:pPr>
              <w:spacing w:after="0"/>
              <w:rPr>
                <w:sz w:val="22"/>
                <w:szCs w:val="22"/>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(other than such failure resulting from physical or mental incapacity), after a written</w:t>
            </w:r>
          </w:p>
        </w:tc>
      </w:tr>
      <w:tr>
        <w:trPr>
          <w:trHeight w:val="283"/>
        </w:trPr>
        <w:tc>
          <w:tcPr>
            <w:tcW w:w="2500" w:type="dxa"/>
            <w:vAlign w:val="bottom"/>
          </w:tcPr>
          <w:p>
            <w:pPr>
              <w:spacing w:after="0"/>
              <w:rPr>
                <w:sz w:val="24"/>
                <w:szCs w:val="24"/>
                <w:color w:val="auto"/>
              </w:rPr>
            </w:pPr>
          </w:p>
        </w:tc>
        <w:tc>
          <w:tcPr>
            <w:tcW w:w="8600" w:type="dxa"/>
            <w:vAlign w:val="bottom"/>
            <w:gridSpan w:val="5"/>
          </w:tcPr>
          <w:p>
            <w:pPr>
              <w:ind w:left="500"/>
              <w:spacing w:after="0"/>
              <w:rPr>
                <w:sz w:val="20"/>
                <w:szCs w:val="20"/>
                <w:color w:val="auto"/>
              </w:rPr>
            </w:pPr>
            <w:r>
              <w:rPr>
                <w:rFonts w:ascii="Arial" w:cs="Arial" w:eastAsia="Arial" w:hAnsi="Arial"/>
                <w:sz w:val="22"/>
                <w:szCs w:val="22"/>
                <w:color w:val="auto"/>
              </w:rPr>
              <w:t>demand for substantial</w:t>
            </w:r>
          </w:p>
        </w:tc>
      </w:tr>
      <w:tr>
        <w:trPr>
          <w:trHeight w:val="1227"/>
        </w:trPr>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50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A-3</w:t>
            </w:r>
          </w:p>
        </w:tc>
      </w:tr>
    </w:tbl>
    <w:p>
      <w:pPr>
        <w:sectPr>
          <w:pgSz w:w="11900" w:h="16838" w:orient="portrait"/>
          <w:cols w:equalWidth="0" w:num="1">
            <w:col w:w="11100"/>
          </w:cols>
          <w:pgMar w:left="460" w:top="12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20" w:right="140"/>
        <w:spacing w:after="0" w:line="257" w:lineRule="auto"/>
        <w:rPr>
          <w:sz w:val="20"/>
          <w:szCs w:val="20"/>
          <w:color w:val="auto"/>
        </w:rPr>
      </w:pPr>
      <w:r>
        <w:rPr>
          <w:rFonts w:ascii="Arial" w:cs="Arial" w:eastAsia="Arial" w:hAnsi="Arial"/>
          <w:sz w:val="22"/>
          <w:szCs w:val="22"/>
          <w:color w:val="auto"/>
        </w:rPr>
        <w:t>performance is delivered to you that specifically identifies the manner in which the Company believes you have failed to perform your duties, and after you have failed to resume substantial performance of your duties on a continuous basis within thirty (30) calendar days of receiving such demand;</w:t>
      </w:r>
    </w:p>
    <w:p>
      <w:pPr>
        <w:spacing w:after="0" w:line="172" w:lineRule="exact"/>
        <w:rPr>
          <w:sz w:val="20"/>
          <w:szCs w:val="20"/>
          <w:color w:val="auto"/>
        </w:rPr>
      </w:pPr>
    </w:p>
    <w:p>
      <w:pPr>
        <w:ind w:left="2020" w:right="580" w:hanging="7"/>
        <w:spacing w:after="0" w:line="296" w:lineRule="auto"/>
        <w:tabs>
          <w:tab w:leader="none" w:pos="23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Company’s determination, in good faith, that you have engaged in willful misconduct or gross negligence relating to the business of the Company;</w:t>
      </w:r>
    </w:p>
    <w:p>
      <w:pPr>
        <w:spacing w:after="0" w:line="133" w:lineRule="exact"/>
        <w:rPr>
          <w:rFonts w:ascii="Arial" w:cs="Arial" w:eastAsia="Arial" w:hAnsi="Arial"/>
          <w:sz w:val="21"/>
          <w:szCs w:val="21"/>
          <w:color w:val="auto"/>
        </w:rPr>
      </w:pPr>
    </w:p>
    <w:p>
      <w:pPr>
        <w:ind w:left="2020" w:right="640" w:hanging="7"/>
        <w:spacing w:after="0" w:line="285" w:lineRule="auto"/>
        <w:tabs>
          <w:tab w:leader="none" w:pos="2368"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by you to, or your conviction of, a felony under federal or state law; or</w:t>
      </w:r>
    </w:p>
    <w:p>
      <w:pPr>
        <w:spacing w:after="0" w:line="141" w:lineRule="exact"/>
        <w:rPr>
          <w:rFonts w:ascii="Arial" w:cs="Arial" w:eastAsia="Arial" w:hAnsi="Arial"/>
          <w:sz w:val="22"/>
          <w:szCs w:val="22"/>
          <w:color w:val="auto"/>
        </w:rPr>
      </w:pPr>
    </w:p>
    <w:p>
      <w:pPr>
        <w:ind w:left="2020" w:right="540" w:hanging="7"/>
        <w:spacing w:after="0" w:line="272" w:lineRule="auto"/>
        <w:tabs>
          <w:tab w:leader="none" w:pos="2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material breach of any written policy of the Company, including without limitation the Company’s Code of Conduct.</w:t>
      </w:r>
    </w:p>
    <w:p>
      <w:pPr>
        <w:spacing w:after="0" w:line="156" w:lineRule="exact"/>
        <w:rPr>
          <w:sz w:val="20"/>
          <w:szCs w:val="20"/>
          <w:color w:val="auto"/>
        </w:rPr>
      </w:pPr>
    </w:p>
    <w:p>
      <w:pPr>
        <w:ind w:left="2020" w:right="120"/>
        <w:spacing w:after="0" w:line="27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without your express written consent, the occurrence of any of the following events:</w:t>
      </w:r>
    </w:p>
    <w:p>
      <w:pPr>
        <w:spacing w:after="0" w:line="156" w:lineRule="exact"/>
        <w:rPr>
          <w:sz w:val="20"/>
          <w:szCs w:val="20"/>
          <w:color w:val="auto"/>
        </w:rPr>
      </w:pPr>
    </w:p>
    <w:p>
      <w:pPr>
        <w:jc w:val="both"/>
        <w:ind w:left="2020" w:right="420" w:hanging="7"/>
        <w:spacing w:after="0" w:line="264" w:lineRule="auto"/>
        <w:tabs>
          <w:tab w:leader="none" w:pos="22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reduction in your annual base salary, excluding any reduction that occurs in connection with an across-the-board reduction of the salaries of substantially the entire senior management team;</w:t>
      </w:r>
    </w:p>
    <w:p>
      <w:pPr>
        <w:spacing w:after="0" w:line="164" w:lineRule="exact"/>
        <w:rPr>
          <w:rFonts w:ascii="Arial" w:cs="Arial" w:eastAsia="Arial" w:hAnsi="Arial"/>
          <w:sz w:val="22"/>
          <w:szCs w:val="22"/>
          <w:color w:val="auto"/>
        </w:rPr>
      </w:pPr>
    </w:p>
    <w:p>
      <w:pPr>
        <w:ind w:left="2020" w:right="580" w:hanging="7"/>
        <w:spacing w:after="0" w:line="272" w:lineRule="auto"/>
        <w:tabs>
          <w:tab w:leader="none" w:pos="2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relocation of your primary place of employment to a location more than 50 miles from Pittsburgh, Pennsylvania; or</w:t>
      </w:r>
    </w:p>
    <w:p>
      <w:pPr>
        <w:spacing w:after="0" w:line="155" w:lineRule="exact"/>
        <w:rPr>
          <w:rFonts w:ascii="Arial" w:cs="Arial" w:eastAsia="Arial" w:hAnsi="Arial"/>
          <w:sz w:val="22"/>
          <w:szCs w:val="22"/>
          <w:color w:val="auto"/>
        </w:rPr>
      </w:pPr>
    </w:p>
    <w:p>
      <w:pPr>
        <w:ind w:left="2360" w:hanging="347"/>
        <w:spacing w:after="0"/>
        <w:tabs>
          <w:tab w:leader="none" w:pos="23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material reduction in your authority, duties or responsibilities;</w:t>
      </w:r>
    </w:p>
    <w:p>
      <w:pPr>
        <w:spacing w:after="0" w:line="233" w:lineRule="exact"/>
        <w:rPr>
          <w:sz w:val="20"/>
          <w:szCs w:val="20"/>
          <w:color w:val="auto"/>
        </w:rPr>
      </w:pPr>
    </w:p>
    <w:p>
      <w:pPr>
        <w:ind w:left="2020" w:right="200"/>
        <w:spacing w:after="0" w:line="264"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that Good Reason shall not exist unless (A) you provide written notice to the Company within 90 days of the initial occurrence of any of the events described in clause (i), (ii) or (iii), or, if later, the date on which you first have knowledge of the circumstances constituting such event; (B) the Company fails to cure the event or circumstances within thirty (30) days after receipt of such notice; and (C) your termination of employment is effective not later than 180 days following the initial existence of the event giving rise to Good Reason.</w:t>
      </w:r>
    </w:p>
    <w:p>
      <w:pPr>
        <w:spacing w:after="0" w:line="166" w:lineRule="exact"/>
        <w:rPr>
          <w:sz w:val="20"/>
          <w:szCs w:val="20"/>
          <w:color w:val="auto"/>
        </w:rPr>
      </w:pPr>
    </w:p>
    <w:p>
      <w:pPr>
        <w:ind w:left="2020" w:right="80"/>
        <w:spacing w:after="0" w:line="296" w:lineRule="auto"/>
        <w:rPr>
          <w:sz w:val="20"/>
          <w:szCs w:val="20"/>
          <w:color w:val="auto"/>
        </w:rPr>
      </w:pPr>
      <w:r>
        <w:rPr>
          <w:rFonts w:ascii="Arial" w:cs="Arial" w:eastAsia="Arial" w:hAnsi="Arial"/>
          <w:sz w:val="21"/>
          <w:szCs w:val="21"/>
          <w:color w:val="auto"/>
        </w:rPr>
        <w:t>Resignation by you for purposes of accepting employment with another organization or in another location shall not be considered a resignation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0120"/>
          </w:cols>
          <w:pgMar w:left="1440" w:top="127" w:right="339" w:bottom="1440" w:gutter="0" w:footer="0" w:header="0"/>
        </w:sectPr>
      </w:pPr>
    </w:p>
    <w:bookmarkStart w:id="54" w:name="page55"/>
    <w:bookmarkEnd w:id="54"/>
    <w:p>
      <w:pPr>
        <w:jc w:val="center"/>
        <w:ind w:right="-11"/>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Restrictive Covenants</w:t>
      </w:r>
    </w:p>
    <w:p>
      <w:pPr>
        <w:spacing w:after="0" w:line="222" w:lineRule="exact"/>
        <w:rPr>
          <w:sz w:val="20"/>
          <w:szCs w:val="20"/>
          <w:color w:val="auto"/>
        </w:rPr>
      </w:pPr>
    </w:p>
    <w:p>
      <w:pPr>
        <w:ind w:left="332" w:hanging="332"/>
        <w:spacing w:after="0"/>
        <w:tabs>
          <w:tab w:leader="none" w:pos="33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your employment with the Company and for a period of one year thereafter (the</w:t>
      </w:r>
    </w:p>
    <w:p>
      <w:pPr>
        <w:spacing w:after="0" w:line="30" w:lineRule="exact"/>
        <w:rPr>
          <w:rFonts w:ascii="Arial" w:cs="Arial" w:eastAsia="Arial" w:hAnsi="Arial"/>
          <w:sz w:val="22"/>
          <w:szCs w:val="22"/>
          <w:color w:val="auto"/>
        </w:rPr>
      </w:pPr>
    </w:p>
    <w:p>
      <w:pPr>
        <w:ind w:left="332"/>
        <w:spacing w:after="0" w:line="247"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xml:space="preserve"> you shall not, to the detriment of any member of the Company Group (as defined below), directly or indirectly, as an owner, partner, employee, agent, consultant, advisor, servant or contractor, engage in or facilitate or support others to engage in any Competing Business Line, or otherwise engage in Competing Services. This provision shall not prevent you from owning less than 1% of a publicly owned entity or less than 3% of a private equity fund. For purposes of this provision, (A) “</w:t>
      </w:r>
      <w:r>
        <w:rPr>
          <w:rFonts w:ascii="Arial" w:cs="Arial" w:eastAsia="Arial" w:hAnsi="Arial"/>
          <w:sz w:val="22"/>
          <w:szCs w:val="22"/>
          <w:u w:val="single" w:color="auto"/>
          <w:color w:val="auto"/>
        </w:rPr>
        <w:t>Competing Business Line</w:t>
      </w:r>
      <w:r>
        <w:rPr>
          <w:rFonts w:ascii="Arial" w:cs="Arial" w:eastAsia="Arial" w:hAnsi="Arial"/>
          <w:sz w:val="22"/>
          <w:szCs w:val="22"/>
          <w:color w:val="auto"/>
        </w:rPr>
        <w:t>” means any business that is in competition with any business engaged in by the Company or its Subsidiaries with respect to which you provide services, or about which you received Confidential Information (as defined below) and (B) you will be deemed to be providing “</w:t>
      </w:r>
      <w:r>
        <w:rPr>
          <w:rFonts w:ascii="Arial" w:cs="Arial" w:eastAsia="Arial" w:hAnsi="Arial"/>
          <w:sz w:val="22"/>
          <w:szCs w:val="22"/>
          <w:u w:val="single" w:color="auto"/>
          <w:color w:val="auto"/>
        </w:rPr>
        <w:t>Competing Services</w:t>
      </w:r>
      <w:r>
        <w:rPr>
          <w:rFonts w:ascii="Arial" w:cs="Arial" w:eastAsia="Arial" w:hAnsi="Arial"/>
          <w:sz w:val="22"/>
          <w:szCs w:val="22"/>
          <w:color w:val="auto"/>
        </w:rPr>
        <w:t>” if the nature of such services are sufficiently similar in position scope and geographic scope to any position held by you during you employment with the Company or its Subsidiaries, such that engaging in such services on behalf of a Competing Business Line would threaten the Company’s or its Subsidiaries’ legitimate business interests. “</w:t>
      </w:r>
      <w:r>
        <w:rPr>
          <w:rFonts w:ascii="Arial" w:cs="Arial" w:eastAsia="Arial" w:hAnsi="Arial"/>
          <w:sz w:val="22"/>
          <w:szCs w:val="22"/>
          <w:u w:val="single" w:color="auto"/>
          <w:color w:val="auto"/>
        </w:rPr>
        <w:t>Company Group</w:t>
      </w:r>
      <w:r>
        <w:rPr>
          <w:rFonts w:ascii="Arial" w:cs="Arial" w:eastAsia="Arial" w:hAnsi="Arial"/>
          <w:sz w:val="22"/>
          <w:szCs w:val="22"/>
          <w:color w:val="auto"/>
        </w:rPr>
        <w:t>” means, collectively, the Company, WESCO Distribution, Inc., Anixter Inc., and their respective subsidiaries and affiliates.</w:t>
      </w:r>
    </w:p>
    <w:p>
      <w:pPr>
        <w:spacing w:after="0" w:line="183" w:lineRule="exact"/>
        <w:rPr>
          <w:rFonts w:ascii="Arial" w:cs="Arial" w:eastAsia="Arial" w:hAnsi="Arial"/>
          <w:sz w:val="22"/>
          <w:szCs w:val="22"/>
          <w:color w:val="auto"/>
        </w:rPr>
      </w:pPr>
    </w:p>
    <w:p>
      <w:pPr>
        <w:ind w:left="332" w:right="20" w:hanging="332"/>
        <w:spacing w:after="0" w:line="264" w:lineRule="auto"/>
        <w:tabs>
          <w:tab w:leader="none" w:pos="337"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Customer Non-Solicitation</w:t>
      </w:r>
      <w:r>
        <w:rPr>
          <w:rFonts w:ascii="Arial" w:cs="Arial" w:eastAsia="Arial" w:hAnsi="Arial"/>
          <w:sz w:val="21"/>
          <w:szCs w:val="21"/>
          <w:color w:val="auto"/>
        </w:rPr>
        <w:t>. During your employment with the Company and during the Restriction Period, you shall not directly or indirectly call upon, contact or solicit any customer or prospective customer of any member of the Company Group, (i) with whom you dealt directly or indirectly or for which you had responsibility while employed by the Company, or (ii) about whom you acquired Confidential Information during your employment with the Company, for the purpose of offering, selling or providing products or services that are competitive with those then offered by any member of the Company Group. You shall not solicit or divert, or attempt to solicit or divert, either directly or indirectly, any opportunity or business of any member of the Company Group to any competitor.</w:t>
      </w:r>
    </w:p>
    <w:p>
      <w:pPr>
        <w:spacing w:after="0" w:line="57" w:lineRule="exact"/>
        <w:rPr>
          <w:rFonts w:ascii="Arial" w:cs="Arial" w:eastAsia="Arial" w:hAnsi="Arial"/>
          <w:sz w:val="21"/>
          <w:szCs w:val="21"/>
          <w:color w:val="auto"/>
        </w:rPr>
      </w:pPr>
    </w:p>
    <w:p>
      <w:pPr>
        <w:ind w:left="332" w:right="420" w:hanging="332"/>
        <w:spacing w:after="0" w:line="257" w:lineRule="auto"/>
        <w:tabs>
          <w:tab w:leader="none" w:pos="337"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Employee Non-Solicitation</w:t>
      </w:r>
      <w:r>
        <w:rPr>
          <w:rFonts w:ascii="Arial" w:cs="Arial" w:eastAsia="Arial" w:hAnsi="Arial"/>
          <w:sz w:val="22"/>
          <w:szCs w:val="22"/>
          <w:color w:val="auto"/>
        </w:rPr>
        <w:t>. During your employment with the Company and during the Restriction Period, you shall not, directly or indirectly, solicit the employment of or hire as an employee or consultant or agent (i) any employee of any member of the Company Group or (ii) any former employee of any member of the Company Group whose employment ceased within 180 days prior to the date of such solicitation of hiring.</w:t>
      </w:r>
    </w:p>
    <w:p>
      <w:pPr>
        <w:spacing w:after="0" w:line="63" w:lineRule="exact"/>
        <w:rPr>
          <w:rFonts w:ascii="Arial" w:cs="Arial" w:eastAsia="Arial" w:hAnsi="Arial"/>
          <w:sz w:val="22"/>
          <w:szCs w:val="22"/>
          <w:color w:val="auto"/>
        </w:rPr>
      </w:pPr>
    </w:p>
    <w:p>
      <w:pPr>
        <w:ind w:left="332" w:right="220" w:hanging="332"/>
        <w:spacing w:after="0" w:line="250" w:lineRule="auto"/>
        <w:tabs>
          <w:tab w:leader="none" w:pos="337"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Reasonableness</w:t>
      </w:r>
      <w:r>
        <w:rPr>
          <w:rFonts w:ascii="Arial" w:cs="Arial" w:eastAsia="Arial" w:hAnsi="Arial"/>
          <w:sz w:val="22"/>
          <w:szCs w:val="22"/>
          <w:color w:val="auto"/>
        </w:rPr>
        <w:t>. You understand that the provisions of clauses (1), (2) and (3) may limit your ability to earn a livelihood in a business similar to the businesses of the Company Group but nevertheless agree and hereby acknowledge that the restrictions and limitations thereof are reasonable in scope, area, and duration, are reasonably necessary to protect the goodwill and business interests of the Company, and that the consideration provided under, or contemplated by, this Agreement is sufficient to justify the restrictions contained in such provisions. Accordingly, in consideration thereof and in light of your education, skills and abilities, you agree that you shall not assert that, and it should not be considered that, such</w:t>
      </w:r>
    </w:p>
    <w:p>
      <w:pPr>
        <w:sectPr>
          <w:pgSz w:w="11900" w:h="16838" w:orient="portrait"/>
          <w:cols w:equalWidth="0" w:num="1">
            <w:col w:w="11212"/>
          </w:cols>
          <w:pgMar w:left="328" w:top="1421"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840"/>
        <w:spacing w:after="0" w:line="272" w:lineRule="auto"/>
        <w:rPr>
          <w:sz w:val="20"/>
          <w:szCs w:val="20"/>
          <w:color w:val="auto"/>
        </w:rPr>
      </w:pPr>
      <w:r>
        <w:rPr>
          <w:rFonts w:ascii="Arial" w:cs="Arial" w:eastAsia="Arial" w:hAnsi="Arial"/>
          <w:sz w:val="22"/>
          <w:szCs w:val="22"/>
          <w:color w:val="auto"/>
        </w:rPr>
        <w:t>provisions are either unreasonable in scope, area, or duration, or will prevent you from earning a living, or otherwise are void, voidable, or unenforceable or should be voided or held unenforceable.</w:t>
      </w:r>
    </w:p>
    <w:p>
      <w:pPr>
        <w:spacing w:after="0" w:line="48" w:lineRule="exact"/>
        <w:rPr>
          <w:sz w:val="20"/>
          <w:szCs w:val="20"/>
          <w:color w:val="auto"/>
        </w:rPr>
      </w:pPr>
    </w:p>
    <w:p>
      <w:pPr>
        <w:ind w:left="340" w:right="60" w:hanging="332"/>
        <w:spacing w:after="0" w:line="285" w:lineRule="auto"/>
        <w:tabs>
          <w:tab w:leader="none" w:pos="34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shall not disparage, malign, or otherwise say or do anything which is intended to or could reasonably be expected to adversely affect the reputation or standing of the Company.</w:t>
      </w:r>
    </w:p>
    <w:p>
      <w:pPr>
        <w:spacing w:after="0" w:line="33" w:lineRule="exact"/>
        <w:rPr>
          <w:rFonts w:ascii="Arial" w:cs="Arial" w:eastAsia="Arial" w:hAnsi="Arial"/>
          <w:sz w:val="22"/>
          <w:szCs w:val="22"/>
          <w:color w:val="auto"/>
        </w:rPr>
      </w:pPr>
    </w:p>
    <w:p>
      <w:pPr>
        <w:ind w:left="340" w:hanging="332"/>
        <w:spacing w:after="0"/>
        <w:tabs>
          <w:tab w:leader="none" w:pos="3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660" w:right="60" w:firstLine="644"/>
        <w:spacing w:after="0" w:line="257" w:lineRule="auto"/>
        <w:tabs>
          <w:tab w:leader="none" w:pos="1977"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parties hereto agree and acknowledge that the covenants and agreements contained herein are reasonable in scope, area, and duration and necessary to protect the reasonable competitive business interests of the Company Group, including, without limitation, the value of the proprietary information and goodwill of the Company Group.</w:t>
      </w:r>
    </w:p>
    <w:p>
      <w:pPr>
        <w:spacing w:after="0" w:line="63" w:lineRule="exact"/>
        <w:rPr>
          <w:rFonts w:ascii="Arial" w:cs="Arial" w:eastAsia="Arial" w:hAnsi="Arial"/>
          <w:sz w:val="22"/>
          <w:szCs w:val="22"/>
          <w:color w:val="auto"/>
        </w:rPr>
      </w:pPr>
    </w:p>
    <w:p>
      <w:pPr>
        <w:ind w:left="660" w:right="200" w:firstLine="644"/>
        <w:spacing w:after="0" w:line="248" w:lineRule="auto"/>
        <w:tabs>
          <w:tab w:leader="none" w:pos="1977"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You agree that the covenants and undertakings contained in this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relate to matters which are of a special, unique and extraordinary character and that the Company cannot be reasonably or adequately compensated in damages in an action at law in the event that you breach any of these covenants or undertakings. Therefore, you agree that the Company shall be entitled, as a matter of course, without the need to prove irreparable injury, to an injunction, restraining order or other equitable relief from any court of competent jurisdiction, restraining any violation or threatened violation of any of such terms by you and such other persons as the court shall order. You agree to pay costs and legal fees incurred by the Company in obtaining such injunction and the Company agrees to pay costs and legal fees incurred by you in any unsuccessful effort to obtain such injunction.</w:t>
      </w:r>
    </w:p>
    <w:p>
      <w:pPr>
        <w:spacing w:after="0" w:line="77" w:lineRule="exact"/>
        <w:rPr>
          <w:rFonts w:ascii="Arial" w:cs="Arial" w:eastAsia="Arial" w:hAnsi="Arial"/>
          <w:sz w:val="22"/>
          <w:szCs w:val="22"/>
          <w:color w:val="auto"/>
        </w:rPr>
      </w:pPr>
    </w:p>
    <w:p>
      <w:pPr>
        <w:ind w:left="660" w:right="220" w:firstLine="644"/>
        <w:spacing w:after="0" w:line="285" w:lineRule="auto"/>
        <w:tabs>
          <w:tab w:leader="none" w:pos="1977" w:val="left"/>
        </w:tabs>
        <w:numPr>
          <w:ilvl w:val="1"/>
          <w:numId w:val="31"/>
        </w:numPr>
        <w:rPr>
          <w:rFonts w:ascii="Arial" w:cs="Arial" w:eastAsia="Arial" w:hAnsi="Arial"/>
          <w:sz w:val="22"/>
          <w:szCs w:val="22"/>
          <w:color w:val="auto"/>
        </w:rPr>
      </w:pPr>
      <w:r>
        <w:rPr>
          <w:rFonts w:ascii="Arial" w:cs="Arial" w:eastAsia="Arial" w:hAnsi="Arial"/>
          <w:sz w:val="22"/>
          <w:szCs w:val="22"/>
          <w:color w:val="auto"/>
        </w:rPr>
        <w:t>Rights and remedies provided for in this clause are cumulative and shall be in addition to rights and remedies otherwise available to the parties under any other agreement or applicable law.</w:t>
      </w:r>
    </w:p>
    <w:p>
      <w:pPr>
        <w:spacing w:after="0" w:line="33" w:lineRule="exact"/>
        <w:rPr>
          <w:rFonts w:ascii="Arial" w:cs="Arial" w:eastAsia="Arial" w:hAnsi="Arial"/>
          <w:sz w:val="22"/>
          <w:szCs w:val="22"/>
          <w:color w:val="auto"/>
        </w:rPr>
      </w:pPr>
    </w:p>
    <w:p>
      <w:pPr>
        <w:ind w:left="660" w:right="60" w:firstLine="644"/>
        <w:spacing w:after="0" w:line="260" w:lineRule="auto"/>
        <w:tabs>
          <w:tab w:leader="none" w:pos="1977" w:val="left"/>
        </w:tabs>
        <w:numPr>
          <w:ilvl w:val="1"/>
          <w:numId w:val="31"/>
        </w:numPr>
        <w:rPr>
          <w:rFonts w:ascii="Arial" w:cs="Arial" w:eastAsia="Arial" w:hAnsi="Arial"/>
          <w:sz w:val="21"/>
          <w:szCs w:val="21"/>
          <w:color w:val="auto"/>
        </w:rPr>
      </w:pPr>
      <w:r>
        <w:rPr>
          <w:rFonts w:ascii="Arial" w:cs="Arial" w:eastAsia="Arial" w:hAnsi="Arial"/>
          <w:sz w:val="21"/>
          <w:szCs w:val="21"/>
          <w:color w:val="auto"/>
        </w:rPr>
        <w:t xml:space="preserve">In the event that any provision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shall to any extent be held invalid, unreasonable or unenforceable in any circumstances, the parties hereto agree that the remainder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the application of such provision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 other circumstances shall be valid and enforceable to the fullest extent permitted by law. If any provision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is held to be unenforceable because of the scope or duration of or the area covered by such provision, the parties hereto agree that the court or arbitrator making such determination shall reduce the scope, duration and/or area of such provision (and shall substitute appropriate provisions for any such unenforceable provisions to the minimum extent necessary) in order to make such provision enforceable to the fullest extent permitted by law, and/or shall delete specific words and phrases, and such modified provision shall then be enforceable and shall be enforced. The parties hereto recognize that if, in any judicial proceeding, a court shall refuse to enforce any of the separate covenants contained in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then that unenforceable covenant contained in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shall be deemed eliminated from these provisions to the extent necessary to permit the remaining separate covenants to be enforced. In the event that any court or arbitrator determines that the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2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260"/>
        <w:spacing w:after="0" w:line="257" w:lineRule="auto"/>
        <w:rPr>
          <w:sz w:val="20"/>
          <w:szCs w:val="20"/>
          <w:color w:val="auto"/>
        </w:rPr>
      </w:pPr>
      <w:r>
        <w:rPr>
          <w:rFonts w:ascii="Arial" w:cs="Arial" w:eastAsia="Arial" w:hAnsi="Arial"/>
          <w:sz w:val="22"/>
          <w:szCs w:val="22"/>
          <w:color w:val="auto"/>
        </w:rPr>
        <w:t>or the area, or both, are unreasonable and that any of the covenants is to that extent unenforceable, the parties hereto agree that such covenants will remain in full force and effect, first, for the greatest time period, and second, in the greatest geographical area that would not render them unenforceable.</w:t>
      </w:r>
    </w:p>
    <w:p>
      <w:pPr>
        <w:spacing w:after="0" w:line="78" w:lineRule="exact"/>
        <w:rPr>
          <w:sz w:val="20"/>
          <w:szCs w:val="20"/>
          <w:color w:val="auto"/>
        </w:rPr>
      </w:pPr>
    </w:p>
    <w:p>
      <w:pPr>
        <w:ind w:left="340" w:right="60" w:hanging="332"/>
        <w:spacing w:after="0" w:line="247" w:lineRule="auto"/>
        <w:tabs>
          <w:tab w:leader="none" w:pos="345"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regarding the business or operations of the Company Group, both oral and written, including, but not limited to, documents and Company Group information contained in such documents; drawings; designs; plans; specifications; instructions; data; manuals; electronic media such as computer disks, computer programs, and data stored electronically; security code numbers; financial, marketing and strategic information; product pricing and customer information, that any member of the Company Group discloses to you or you otherwise learn or ascertain in any manner as a result of, or in relation to, your employment with the Company Group. Other than as required by applicable law, you agree: (i) to use Confidential Information only for the purposes required or appropriate for your employment with the Company Group; (ii) not to disclose to anyone Confidential Information without the Company’s prior written approval; and (iii) not to allow anyone’s use or access to Confidential Information, other than as required or appropriate for your employment with the Company Group. The foregoing shall not apply to information that is in the public domain, provided that you were not responsible, directly or indirectly, for such information entering into public domain without the Company’s approval. You agree to return to the Company all Confidential Information in your possession upon termination of your employment or at any time requested by the Company.</w:t>
      </w:r>
    </w:p>
    <w:p>
      <w:pPr>
        <w:spacing w:after="0" w:line="81" w:lineRule="exact"/>
        <w:rPr>
          <w:rFonts w:ascii="Arial" w:cs="Arial" w:eastAsia="Arial" w:hAnsi="Arial"/>
          <w:sz w:val="22"/>
          <w:szCs w:val="22"/>
          <w:color w:val="auto"/>
        </w:rPr>
      </w:pPr>
    </w:p>
    <w:p>
      <w:pPr>
        <w:ind w:left="340" w:right="120" w:hanging="332"/>
        <w:spacing w:after="0" w:line="264" w:lineRule="auto"/>
        <w:tabs>
          <w:tab w:leader="none" w:pos="345"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non-competition, non-solicitation, non-disparagement, and confidentiality covenants set forth in this Exhibit B shall be in addition to, and shall not be deemed to supersede, any other similar covenants between you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2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EIGHTH AMENDMENT TO FOURTH AMENDED AND RESTATED CREDIT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EIGHTH AMENDMENT TO FOURTH AMENDED AND RESTATED CREDIT AGREEMENT, dated as of March 13, 2026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by and among WESCO DISTRIBUTION,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the Consenting Lenders (as defined below) and BARCLAYS BANK PLC,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WHEREAS, the Borrower Representative, the other U.S. Borrowers from time to time party thereto, WESCO DISTRIBUTION CANADA LP, an Ontario limited partnership (“</w:t>
      </w:r>
      <w:r>
        <w:rPr>
          <w:rFonts w:ascii="Times New Roman" w:cs="Times New Roman" w:eastAsia="Times New Roman" w:hAnsi="Times New Roman"/>
          <w:sz w:val="22"/>
          <w:szCs w:val="22"/>
          <w:u w:val="single" w:color="auto"/>
          <w:color w:val="auto"/>
        </w:rPr>
        <w:t>WDC</w:t>
      </w:r>
      <w:r>
        <w:rPr>
          <w:rFonts w:ascii="Times New Roman" w:cs="Times New Roman" w:eastAsia="Times New Roman" w:hAnsi="Times New Roman"/>
          <w:sz w:val="22"/>
          <w:szCs w:val="22"/>
          <w:color w:val="auto"/>
        </w:rPr>
        <w:t>”), the other Canadian Borrowers from time to time party thereto (collectively with the Borrower Representative, the other U.S. Borrowers and WDC,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WESCO INTERNATIONAL, INC., a Delaware corporation, certain other Loan Parties from time to time party thereto, the financial institutions from time to time party thereto, as lenders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BARCLAYS BANK PLC, as Administrative Agent, Swingline Lender and as an Issuing Bank, are parties to that certain Fourth Amended and Restated Credit Agreement, dated as of June 22, 2020 (as amended, restated, amended and restated, supplemented or otherwise modified from time to time prior to the date hereof,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Borrower Representative has requested that the Credit Agreement be amended as provided for herein;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pursuant to Section 9.02 of the Credit Agreement, the Borrower Representative and the Lenders party hereto (constituting Required Lenders (determined immediately prior to giving effect to this Amendment), each such Lender, a “</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agree to amend the Credit Agreement as set forth herein (as so amended, the “</w:t>
      </w:r>
      <w:r>
        <w:rPr>
          <w:rFonts w:ascii="Times New Roman" w:cs="Times New Roman" w:eastAsia="Times New Roman" w:hAnsi="Times New Roman"/>
          <w:sz w:val="22"/>
          <w:szCs w:val="22"/>
          <w:u w:val="single" w:color="auto"/>
          <w:color w:val="auto"/>
        </w:rPr>
        <w:t>Amended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ONE — DEFINED TERMS</w:t>
      </w:r>
      <w:r>
        <w:rPr>
          <w:rFonts w:ascii="Times New Roman" w:cs="Times New Roman" w:eastAsia="Times New Roman" w:hAnsi="Times New Roman"/>
          <w:sz w:val="22"/>
          <w:szCs w:val="22"/>
          <w:color w:val="auto"/>
        </w:rPr>
        <w:t xml:space="preserve">. Capitalized terms used herein (including in the foregoing recitals hereto) but not otherwise defined herein shall have the meanings assigned thereto in the Amended Credit Agreement. The provisions of Section 1.01 of the Amended Credit Agreement are hereby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TWO — AMENDMENT</w:t>
      </w:r>
      <w:r>
        <w:rPr>
          <w:rFonts w:ascii="Times New Roman" w:cs="Times New Roman" w:eastAsia="Times New Roman" w:hAnsi="Times New Roman"/>
          <w:sz w:val="22"/>
          <w:szCs w:val="22"/>
          <w:color w:val="auto"/>
        </w:rPr>
        <w:t>. The Credit Agreement is, effective as of the Eighth Amendment Effective Date (as defined below), hereby amended to amend and restate Section 6.01(j) of the Credit Agreement in its entirety as follows:</w:t>
      </w:r>
    </w:p>
    <w:p>
      <w:pPr>
        <w:spacing w:after="0" w:line="158" w:lineRule="exact"/>
        <w:rPr>
          <w:sz w:val="20"/>
          <w:szCs w:val="20"/>
          <w:color w:val="auto"/>
        </w:rPr>
      </w:pPr>
    </w:p>
    <w:p>
      <w:pPr>
        <w:jc w:val="both"/>
        <w:ind w:left="740"/>
        <w:spacing w:after="0" w:line="257" w:lineRule="auto"/>
        <w:rPr>
          <w:sz w:val="20"/>
          <w:szCs w:val="20"/>
          <w:color w:val="auto"/>
        </w:rPr>
      </w:pPr>
      <w:r>
        <w:rPr>
          <w:rFonts w:ascii="Times New Roman" w:cs="Times New Roman" w:eastAsia="Times New Roman" w:hAnsi="Times New Roman"/>
          <w:sz w:val="22"/>
          <w:szCs w:val="22"/>
          <w:color w:val="auto"/>
        </w:rPr>
        <w:t>“(j) Indebtedness of any Loan Party or any Restricted Subsidiary in respect of performance bonds, bid bonds, appeal bonds, surety bonds and similar obligations, in each case provided in the ordinary course of business and so long as the aggregate</w:t>
      </w:r>
    </w:p>
    <w:p>
      <w:pPr>
        <w:sectPr>
          <w:pgSz w:w="11900" w:h="16838" w:orient="portrait"/>
          <w:cols w:equalWidth="0" w:num="1">
            <w:col w:w="11240"/>
          </w:cols>
          <w:pgMar w:left="320" w:top="122" w:right="339" w:bottom="1440" w:gutter="0" w:footer="0" w:header="0"/>
        </w:sectPr>
      </w:pPr>
    </w:p>
    <w:bookmarkStart w:id="58" w:name="page59"/>
    <w:bookmarkEnd w:id="58"/>
    <w:p>
      <w:pPr>
        <w:ind w:left="740"/>
        <w:spacing w:after="0" w:line="271" w:lineRule="auto"/>
        <w:rPr>
          <w:sz w:val="20"/>
          <w:szCs w:val="20"/>
          <w:color w:val="auto"/>
        </w:rPr>
      </w:pPr>
      <w:r>
        <w:rPr>
          <w:rFonts w:ascii="Times New Roman" w:cs="Times New Roman" w:eastAsia="Times New Roman" w:hAnsi="Times New Roman"/>
          <w:sz w:val="22"/>
          <w:szCs w:val="22"/>
          <w:color w:val="auto"/>
        </w:rPr>
        <w:t>amount of all Indebtedness pursuant to this clause (j) does not exceed the greater of $750,000,000 and 40% of EBITDA at any one time outstanding;”</w:t>
      </w:r>
    </w:p>
    <w:p>
      <w:pPr>
        <w:spacing w:after="0" w:line="158" w:lineRule="exact"/>
        <w:rPr>
          <w:sz w:val="20"/>
          <w:szCs w:val="20"/>
          <w:color w:val="auto"/>
        </w:rPr>
      </w:pPr>
    </w:p>
    <w:p>
      <w:pPr>
        <w:ind w:right="280"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THREE — CONDITIONS</w:t>
      </w:r>
      <w:r>
        <w:rPr>
          <w:rFonts w:ascii="Times New Roman" w:cs="Times New Roman" w:eastAsia="Times New Roman" w:hAnsi="Times New Roman"/>
          <w:sz w:val="22"/>
          <w:szCs w:val="22"/>
          <w:color w:val="auto"/>
        </w:rPr>
        <w:t>. This Amendment and the agreements of the Consenting Lenders herein shall become effective on the date (the “Eighth Amendment Effective Date”) when each of the following conditions shall have been satisfied:</w:t>
      </w:r>
    </w:p>
    <w:p>
      <w:pPr>
        <w:spacing w:after="0" w:line="167" w:lineRule="exact"/>
        <w:rPr>
          <w:sz w:val="20"/>
          <w:szCs w:val="20"/>
          <w:color w:val="auto"/>
        </w:rPr>
      </w:pPr>
    </w:p>
    <w:p>
      <w:pPr>
        <w:jc w:val="both"/>
        <w:ind w:firstLine="656"/>
        <w:spacing w:after="0" w:line="257"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Each of the Borrower Representative and the Consenting Lenders shall have signed a counterpart hereof (whether the same or different counterparts) and shall have delivered (including by way of facsimile or other electronic transmission) the same to the Administrative Agent (or its counsel).</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Administrative Agent shall have received, for its own account, payment for all reasonable expenses for which invoices have been presented (including the reasonable fees and expenses of legal counsel), at least two (2) Business Days prior to the Eighth Amendment Effective Date.</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set forth in Section Four hereof shall be true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correct.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FOUR — REPRESENTATIONS AND WARRANTIES; NO DEFAULTS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order to induce the Consenting Lenders to enter into this Amendment, the Borrower Representative, on behalf of itself and each of the other Borrowers, represents and warrants, on the Eighth Amendment Effective Date, to each of the Lenders and the Administrative Agent that:</w:t>
      </w:r>
    </w:p>
    <w:p>
      <w:pPr>
        <w:spacing w:after="0" w:line="173" w:lineRule="exact"/>
        <w:rPr>
          <w:sz w:val="20"/>
          <w:szCs w:val="20"/>
          <w:color w:val="auto"/>
        </w:rPr>
      </w:pPr>
    </w:p>
    <w:p>
      <w:pPr>
        <w:jc w:val="both"/>
        <w:ind w:firstLine="656"/>
        <w:spacing w:after="0" w:line="253"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Amended Credit Agreement each constitute a legal, valid and binding obligation of such Borrower, enforceable against such Borrower in accordance with its terms, except as enforceability may be limited by applicable bankruptcy, insolvency, reorganization, moratorium or similar laws affecting creditors’ rights generally and by general equitable principles (whether enforcement is sought by proceedings in equity or at law) and the implied covenants of good faith and fair dealing;</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representations and warranties contained in Article III of the Amended Credit Agreement and in the other Loan Documents are true and correct in all material respects on the Eighth Amendment Effective Date as if made on and as of such date (unless such representation or warranty relates to a specific date, in which case such representation or warranty were true and correct in all material respects as of such specific date; provided, that any representation and warranty that is qualified as to “materiality”, “Material Adverse Effect” or similar language shall be true and correct (after giving effect to any qualification therein) in all respects on such respective dates); and</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as of the Eighth Amendment Effective Date immediately prior to and after giving effect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9" w:name="page60"/>
    <w:bookmarkEnd w:id="59"/>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FIVE — SECURITY</w:t>
      </w:r>
      <w:r>
        <w:rPr>
          <w:rFonts w:ascii="Times New Roman" w:cs="Times New Roman" w:eastAsia="Times New Roman" w:hAnsi="Times New Roman"/>
          <w:sz w:val="22"/>
          <w:szCs w:val="22"/>
          <w:color w:val="auto"/>
        </w:rPr>
        <w:t>. The Borrower Representative acknowledges that notwithstanding the effectiveness of this Amendment, (i) all other Loan Documents shall continue to be in full force and effect, (ii) the security interests granted by the Loan Parties pursuant to the Loan Documents are not impaired or affected and (iii) all guarantees made by the Loan Parties pursuant to the Loan Documents and all Liens granted by the Loan Parties as security for the Secured Obligations continue in full force and effect; and, further, confirms and ratifies its obligations under each of the Loan Documents to which it is a party, as amended hereby.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SIX — [RESERVED]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SEVEN — SEVERABILITY</w:t>
      </w:r>
      <w:r>
        <w:rPr>
          <w:rFonts w:ascii="Times New Roman" w:cs="Times New Roman" w:eastAsia="Times New Roman" w:hAnsi="Times New Roman"/>
          <w:sz w:val="22"/>
          <w:szCs w:val="22"/>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EIGHT — CONTINUING EFFECT; NO OTHER WAIVERS OR AMENDMENTS</w:t>
      </w:r>
      <w:r>
        <w:rPr>
          <w:rFonts w:ascii="Times New Roman" w:cs="Times New Roman" w:eastAsia="Times New Roman" w:hAnsi="Times New Roman"/>
          <w:sz w:val="22"/>
          <w:szCs w:val="22"/>
          <w:color w:val="auto"/>
        </w:rPr>
        <w:t>. Except as expressly set forth herein, this Amendment shall not (i) constitute a substitution or novation, or a payment and reborrowing, or a termination, of the Obligations outstanding under the Amended Credit Agreement or instruments guaranteeing or securing the same, which shall remain in full force and effect, except as modified hereby or (ii) by implication or otherwise limit, impair, constitute a waiver of, or otherwise affect the rights and remedies of the Lenders, the Administrative Agent or the Loan Parties under the Amended Credit Agreement, the Collateral Documents or any other Loan Document, and shall not alter, modify, amend or in any way affect any of the terms, conditions, obligations, covenants or agreements contained in the Amended Credit Agreement, the Collateral Documents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Amended Credit Agreement, any Collateral Document or any other Loan Document in similar or different circumstances. After the Eighth Amendment Effective Date, any reference in any Loan Document to the “Credit Agreement” shall mean the Amended Credit Agreement. This Amendment shall constitute a Loan Document for all purposes of the Amended Credit Agreement and the other Loan Documents.</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NINE — COUNTERPARTS</w:t>
      </w:r>
      <w:r>
        <w:rPr>
          <w:rFonts w:ascii="Times New Roman" w:cs="Times New Roman" w:eastAsia="Times New Roman" w:hAnsi="Times New Roman"/>
          <w:sz w:val="22"/>
          <w:szCs w:val="22"/>
          <w:color w:val="auto"/>
        </w:rPr>
        <w:t>. This Amendment may be executed by one or more of the parties to this Amendment on any number of separate counterparts, and all of said counterparts taken together shall be deemed to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or thereby shall be deemed to include Electronic Signatures, deliveries or the keeping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2"/>
          <w:szCs w:val="22"/>
          <w:color w:val="auto"/>
        </w:rPr>
        <w:t>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TEN — GOVERNING LAW</w:t>
      </w:r>
      <w:r>
        <w:rPr>
          <w:rFonts w:ascii="Times New Roman" w:cs="Times New Roman" w:eastAsia="Times New Roman" w:hAnsi="Times New Roman"/>
          <w:sz w:val="22"/>
          <w:szCs w:val="22"/>
          <w:color w:val="auto"/>
        </w:rPr>
        <w:t xml:space="preserve">. THIS AMENDMENT AND THE RIGHTS AND OBLIGATIONS OF THE PARTIES UNDER THIS AMENDMENT SHALL BE GOVERNED BY, AND CONSTRUED AND INTERPRETED IN ACCORDANCE WITH, THE LAW OF THE STATE OF NEW YORK. The provisions of Sections 9.09 and 9.10 of the Credit Agreement are hereby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executed and delivered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 REPRESENTATIVE:</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WESCO DISTRIBUTION, INC.,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3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02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Brian M. Begg</w:t>
      </w:r>
    </w:p>
    <w:p>
      <w:pPr>
        <w:spacing w:after="0" w:line="6"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Eighth Amendment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3" w:right="339" w:bottom="1440" w:gutter="0" w:footer="0" w:header="0"/>
        </w:sectPr>
      </w:pPr>
    </w:p>
    <w:bookmarkStart w:id="62" w:name="page63"/>
    <w:bookmarkEnd w:id="62"/>
    <w:p>
      <w:pPr>
        <w:ind w:left="2780"/>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BARCLAYS BANK PLC, as the Administrative Agent</w:t>
      </w:r>
    </w:p>
    <w:p>
      <w:pPr>
        <w:spacing w:after="0" w:line="200" w:lineRule="exact"/>
        <w:rPr>
          <w:sz w:val="20"/>
          <w:szCs w:val="20"/>
          <w:color w:val="auto"/>
        </w:rPr>
      </w:pPr>
    </w:p>
    <w:p>
      <w:pPr>
        <w:spacing w:after="0" w:line="253"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8947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tab/>
        <w:t>Joseph Jordan</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3" w:name="page64"/>
    <w:bookmarkEnd w:id="63"/>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8947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tab/>
        <w:t>Joseph Jordan</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4" w:name="page65"/>
    <w:bookmarkEnd w:id="64"/>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Margaret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956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Margaret Stock</w:t>
      </w:r>
    </w:p>
    <w:p>
      <w:pPr>
        <w:spacing w:after="0" w:line="9" w:lineRule="exact"/>
        <w:rPr>
          <w:sz w:val="20"/>
          <w:szCs w:val="20"/>
          <w:color w:val="auto"/>
        </w:rPr>
      </w:pPr>
    </w:p>
    <w:p>
      <w:pPr>
        <w:ind w:left="2780"/>
        <w:spacing w:after="0"/>
        <w:tabs>
          <w:tab w:leader="none" w:pos="3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5" w:name="page66"/>
    <w:bookmarkEnd w:id="65"/>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Nicole Quintana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1002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Nicole Quintana</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6" w:name="page67"/>
    <w:bookmarkEnd w:id="66"/>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941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Patton</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7" w:name="page68"/>
    <w:bookmarkEnd w:id="67"/>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Cornell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945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tab/>
        <w:t>Patrick Cornell</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8" w:name="page69"/>
    <w:bookmarkEnd w:id="68"/>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Carolyn Weinschenk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1202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Carolyn Weinschenk</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69" w:name="page70"/>
    <w:bookmarkEnd w:id="69"/>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TD Bank, N.A.,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Antonio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1028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18"/>
          <w:szCs w:val="18"/>
          <w:color w:val="auto"/>
        </w:rPr>
        <w:t>Name:</w:t>
        <w:tab/>
        <w:t>Antonio Barbieri</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0" w:name="page71"/>
    <w:bookmarkEnd w:id="70"/>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945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tab/>
        <w:t>David B. Keith</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1" w:name="page72"/>
    <w:bookmarkEnd w:id="71"/>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1097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Jennifer JORDAN</w:t>
      </w:r>
    </w:p>
    <w:p>
      <w:pPr>
        <w:spacing w:after="0" w:line="9" w:lineRule="exact"/>
        <w:rPr>
          <w:sz w:val="20"/>
          <w:szCs w:val="20"/>
          <w:color w:val="auto"/>
        </w:rPr>
      </w:pPr>
    </w:p>
    <w:p>
      <w:pPr>
        <w:ind w:left="2780"/>
        <w:spacing w:after="0"/>
        <w:tabs>
          <w:tab w:leader="none" w:pos="3300" w:val="left"/>
        </w:tabs>
        <w:rPr>
          <w:sz w:val="20"/>
          <w:szCs w:val="20"/>
          <w:color w:val="auto"/>
        </w:rPr>
      </w:pPr>
      <w:r>
        <w:rPr>
          <w:rFonts w:ascii="Times New Roman" w:cs="Times New Roman" w:eastAsia="Times New Roman" w:hAnsi="Times New Roman"/>
          <w:sz w:val="18"/>
          <w:szCs w:val="18"/>
          <w:color w:val="auto"/>
        </w:rPr>
        <w:t>Title:</w:t>
        <w:tab/>
        <w:t>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2" w:name="page73"/>
    <w:bookmarkEnd w:id="72"/>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Roopa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9645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Roopa Chandra</w:t>
      </w:r>
    </w:p>
    <w:p>
      <w:pPr>
        <w:spacing w:after="0" w:line="9" w:lineRule="exact"/>
        <w:rPr>
          <w:sz w:val="20"/>
          <w:szCs w:val="20"/>
          <w:color w:val="auto"/>
        </w:rPr>
      </w:pPr>
    </w:p>
    <w:p>
      <w:pPr>
        <w:ind w:left="2780"/>
        <w:spacing w:after="0"/>
        <w:tabs>
          <w:tab w:leader="none" w:pos="3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3" w:name="page74"/>
    <w:bookmarkEnd w:id="73"/>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FIFTH THIRD BANK, NATIONAL ASSOCIATION,</w:t>
      </w: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7683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tab/>
        <w:t>Susan Rich</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4" w:name="page75"/>
    <w:bookmarkEnd w:id="74"/>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CITIZENS BANK, NATIONAL ASSOCIATION,</w:t>
      </w: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793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tab/>
        <w:t>James Horn</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5" w:name="page76"/>
    <w:bookmarkEnd w:id="75"/>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Canadian Imperial Bank of Commerce, New York Branch,</w:t>
      </w: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Kelly Petit de Mange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12249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Kelly Petit de Mange</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6" w:name="page77"/>
    <w:bookmarkEnd w:id="76"/>
    <w:p>
      <w:pPr>
        <w:ind w:left="27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 Consenting Lender and as an Issuing Bank</w:t>
      </w:r>
    </w:p>
    <w:p>
      <w:pPr>
        <w:spacing w:after="0" w:line="234"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882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7"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18"/>
          <w:szCs w:val="18"/>
          <w:color w:val="auto"/>
        </w:rPr>
        <w:t>Name:</w:t>
        <w:tab/>
        <w:t>Adam Osman</w:t>
      </w:r>
    </w:p>
    <w:p>
      <w:pPr>
        <w:spacing w:after="0" w:line="9"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Eighth Amendment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3"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 John J. Engel, certify that:</w:t>
      </w:r>
    </w:p>
    <w:p>
      <w:pPr>
        <w:spacing w:after="0" w:line="117" w:lineRule="exact"/>
        <w:rPr>
          <w:sz w:val="20"/>
          <w:szCs w:val="20"/>
          <w:color w:val="auto"/>
        </w:rPr>
      </w:pPr>
    </w:p>
    <w:p>
      <w:pPr>
        <w:ind w:left="400" w:hanging="187"/>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WESCO International, Inc.;</w:t>
      </w:r>
    </w:p>
    <w:p>
      <w:pPr>
        <w:spacing w:after="0" w:line="117" w:lineRule="exact"/>
        <w:rPr>
          <w:rFonts w:ascii="Times New Roman" w:cs="Times New Roman" w:eastAsia="Times New Roman" w:hAnsi="Times New Roman"/>
          <w:sz w:val="18"/>
          <w:szCs w:val="18"/>
          <w:color w:val="auto"/>
        </w:rPr>
      </w:pPr>
    </w:p>
    <w:p>
      <w:pPr>
        <w:ind w:left="-20" w:right="240" w:firstLine="233"/>
        <w:spacing w:after="0" w:line="282" w:lineRule="auto"/>
        <w:tabs>
          <w:tab w:leader="none" w:pos="3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0" w:right="300" w:firstLine="233"/>
        <w:spacing w:after="0" w:line="282" w:lineRule="auto"/>
        <w:tabs>
          <w:tab w:leader="none" w:pos="3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0" w:right="60" w:firstLine="233"/>
        <w:spacing w:after="0" w:line="266" w:lineRule="auto"/>
        <w:tabs>
          <w:tab w:leader="none" w:pos="3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 w:right="20" w:firstLine="233"/>
        <w:spacing w:after="0" w:line="266" w:lineRule="auto"/>
        <w:tabs>
          <w:tab w:leader="none" w:pos="4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 w:firstLine="233"/>
        <w:spacing w:after="0" w:line="266"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 w:right="80" w:firstLine="233"/>
        <w:spacing w:after="0" w:line="282" w:lineRule="auto"/>
        <w:tabs>
          <w:tab w:leader="none" w:pos="4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0" w:right="120" w:firstLine="233"/>
        <w:spacing w:after="0" w:line="266"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20" w:right="60" w:firstLine="233"/>
        <w:spacing w:after="0" w:line="282" w:lineRule="auto"/>
        <w:tabs>
          <w:tab w:leader="none" w:pos="3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20" w:firstLine="233"/>
        <w:spacing w:after="0" w:line="282"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right="40" w:firstLine="233"/>
        <w:spacing w:after="0" w:line="282" w:lineRule="auto"/>
        <w:tabs>
          <w:tab w:leader="none" w:pos="4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77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John J. Engel</w:t>
            </w:r>
          </w:p>
        </w:tc>
      </w:tr>
      <w:tr>
        <w:trPr>
          <w:trHeight w:val="218"/>
        </w:trPr>
        <w:tc>
          <w:tcPr>
            <w:tcW w:w="2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Engel</w:t>
            </w:r>
          </w:p>
        </w:tc>
      </w:tr>
      <w:tr>
        <w:trPr>
          <w:trHeight w:val="234"/>
        </w:trPr>
        <w:tc>
          <w:tcPr>
            <w:tcW w:w="2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1200"/>
          </w:cols>
          <w:pgMar w:left="340" w:top="887" w:right="3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 Indraneel Dev, certify that:</w:t>
      </w:r>
    </w:p>
    <w:p>
      <w:pPr>
        <w:spacing w:after="0" w:line="117" w:lineRule="exact"/>
        <w:rPr>
          <w:sz w:val="20"/>
          <w:szCs w:val="20"/>
          <w:color w:val="auto"/>
        </w:rPr>
      </w:pPr>
    </w:p>
    <w:p>
      <w:pPr>
        <w:ind w:left="400" w:hanging="187"/>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WESCO International, Inc.;</w:t>
      </w:r>
    </w:p>
    <w:p>
      <w:pPr>
        <w:spacing w:after="0" w:line="117" w:lineRule="exact"/>
        <w:rPr>
          <w:rFonts w:ascii="Times New Roman" w:cs="Times New Roman" w:eastAsia="Times New Roman" w:hAnsi="Times New Roman"/>
          <w:sz w:val="18"/>
          <w:szCs w:val="18"/>
          <w:color w:val="auto"/>
        </w:rPr>
      </w:pPr>
    </w:p>
    <w:p>
      <w:pPr>
        <w:ind w:left="-20" w:right="240" w:firstLine="233"/>
        <w:spacing w:after="0" w:line="282"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0" w:right="300" w:firstLine="233"/>
        <w:spacing w:after="0" w:line="282"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0" w:right="60" w:firstLine="233"/>
        <w:spacing w:after="0" w:line="266" w:lineRule="auto"/>
        <w:tabs>
          <w:tab w:leader="none" w:pos="3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 w:right="20" w:firstLine="233"/>
        <w:spacing w:after="0" w:line="266" w:lineRule="auto"/>
        <w:tabs>
          <w:tab w:leader="none" w:pos="4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 w:firstLine="233"/>
        <w:spacing w:after="0" w:line="26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 w:right="80" w:firstLine="233"/>
        <w:spacing w:after="0" w:line="282" w:lineRule="auto"/>
        <w:tabs>
          <w:tab w:leader="none" w:pos="4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0" w:right="120" w:firstLine="233"/>
        <w:spacing w:after="0" w:line="26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20" w:right="60" w:firstLine="233"/>
        <w:spacing w:after="0" w:line="282" w:lineRule="auto"/>
        <w:tabs>
          <w:tab w:leader="none" w:pos="3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20" w:firstLine="233"/>
        <w:spacing w:after="0" w:line="28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right="40" w:firstLine="233"/>
        <w:spacing w:after="0" w:line="282" w:lineRule="auto"/>
        <w:tabs>
          <w:tab w:leader="none" w:pos="4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77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Indraneel Dev</w:t>
            </w:r>
          </w:p>
        </w:tc>
      </w:tr>
      <w:tr>
        <w:trPr>
          <w:trHeight w:val="218"/>
        </w:trPr>
        <w:tc>
          <w:tcPr>
            <w:tcW w:w="2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Indraneel Dev</w:t>
            </w:r>
          </w:p>
        </w:tc>
      </w:tr>
      <w:tr>
        <w:trPr>
          <w:trHeight w:val="234"/>
        </w:trPr>
        <w:tc>
          <w:tcPr>
            <w:tcW w:w="2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00"/>
          </w:cols>
          <w:pgMar w:left="340" w:top="887" w:right="359" w:bottom="1440" w:gutter="0" w:footer="0" w:header="0"/>
        </w:sectPr>
      </w:pPr>
    </w:p>
    <w:bookmarkStart w:id="79" w:name="page80"/>
    <w:bookmarkEnd w:id="79"/>
    <w:p>
      <w:pPr>
        <w:ind w:left="51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WESCO International, Inc. (the “Company”) on Form 10-Q for the period ended March 31, 2026,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77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John J. Engel</w:t>
            </w:r>
          </w:p>
        </w:tc>
      </w:tr>
      <w:tr>
        <w:trPr>
          <w:trHeight w:val="218"/>
        </w:trPr>
        <w:tc>
          <w:tcPr>
            <w:tcW w:w="2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Engel</w:t>
            </w:r>
          </w:p>
        </w:tc>
      </w:tr>
      <w:tr>
        <w:trPr>
          <w:trHeight w:val="234"/>
        </w:trPr>
        <w:tc>
          <w:tcPr>
            <w:tcW w:w="2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1120"/>
          </w:cols>
          <w:pgMar w:left="320" w:top="887" w:right="459" w:bottom="1440" w:gutter="0" w:footer="0" w:header="0"/>
        </w:sectPr>
      </w:pPr>
    </w:p>
    <w:bookmarkStart w:id="80" w:name="page81"/>
    <w:bookmarkEnd w:id="80"/>
    <w:p>
      <w:pPr>
        <w:ind w:left="51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WESCO International, Inc. (the “Company”) on Form 10-Q for the period ended March 31, 2026,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77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Indraneel Dev</w:t>
            </w:r>
          </w:p>
        </w:tc>
      </w:tr>
      <w:tr>
        <w:trPr>
          <w:trHeight w:val="218"/>
        </w:trPr>
        <w:tc>
          <w:tcPr>
            <w:tcW w:w="2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Indraneel Dev</w:t>
            </w:r>
          </w:p>
        </w:tc>
      </w:tr>
      <w:tr>
        <w:trPr>
          <w:trHeight w:val="234"/>
        </w:trPr>
        <w:tc>
          <w:tcPr>
            <w:tcW w:w="2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120"/>
      </w:cols>
      <w:pgMar w:left="320" w:top="8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decimal"/>
      <w:start w:val="104"/>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4"/>
    </w:lvl>
  </w:abstractNum>
  <w:abstractNum w:abstractNumId="17">
    <w:nsid w:val="7C3DBD3D"/>
    <w:multiLevelType w:val="hybridMultilevel"/>
    <w:lvl w:ilvl="0">
      <w:lvlJc w:val="left"/>
      <w:lvlText w:val="%1."/>
      <w:numFmt w:val="decimal"/>
      <w:start w:val="8"/>
    </w:lvl>
  </w:abstractNum>
  <w:abstractNum w:abstractNumId="18">
    <w:nsid w:val="737B8DDC"/>
    <w:multiLevelType w:val="hybridMultilevel"/>
    <w:lvl w:ilvl="0">
      <w:lvlJc w:val="left"/>
      <w:lvlText w:val="(%1)"/>
      <w:numFmt w:val="lowerRoman"/>
      <w:start w:val="1"/>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5"/>
    </w:lvl>
    <w:lvl w:ilvl="1">
      <w:lvlJc w:val="left"/>
      <w:lvlText w:val="(%2)"/>
      <w:numFmt w:val="decimal"/>
      <w:start w:val="1"/>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4"/>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lowerRoman"/>
      <w:start w:val="2"/>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5"/>
    </w:lvl>
    <w:lvl w:ilvl="1">
      <w:lvlJc w:val="left"/>
      <w:lvlText w:val="(%2)"/>
      <w:numFmt w:val="decimal"/>
      <w:start w:val="1"/>
    </w:lvl>
  </w:abstractNum>
  <w:abstractNum w:abstractNumId="31">
    <w:nsid w:val="5C482A97"/>
    <w:multiLevelType w:val="hybridMultilevel"/>
    <w:lvl w:ilvl="0">
      <w:lvlJc w:val="left"/>
      <w:lvlText w:val="%1."/>
      <w:numFmt w:val="decimal"/>
      <w:start w:val="7"/>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55" Type="http://schemas.openxmlformats.org/officeDocument/2006/relationships/hyperlink" Target="https://www.sec.gov/Archives/edgar/data/929008/000119312526083054/d10115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2026-04-30T15:43:55Z</dcterms:created>
  <dcterms:modified xsi:type="dcterms:W3CDTF">2026-04-30T15:43:55Z</dcterms:modified>
</cp:coreProperties>
</file>