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Sundaram Easwaran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225 WEST STATION SQUARE DR.</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WESCO INTERNATIONAL INC</w:t>
              </w:r>
            </w:hyperlink>
            <w:r>
              <w:rPr/>
              <w:t xml:space="preserve"> [ </w:t>
            </w:r>
            <w:r>
              <w:rPr>
                <w:rFonts w:ascii="Times;serif" w:hAnsi="Times;serif"/>
                <w:color w:val="0000FF"/>
                <w:sz w:val="24"/>
                <w:shd w:fill="FFFFFF" w:val="clear"/>
              </w:rPr>
              <w:t>WCC</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01"/>
        <w:gridCol w:w="773"/>
        <w:gridCol w:w="598"/>
        <w:gridCol w:w="338"/>
        <w:gridCol w:w="1042"/>
        <w:gridCol w:w="426"/>
        <w:gridCol w:w="832"/>
        <w:gridCol w:w="1334"/>
        <w:gridCol w:w="962"/>
        <w:gridCol w:w="90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21.0587</w:t>
            </w:r>
            <w:r>
              <w:rPr>
                <w:rFonts w:ascii="Times;serif" w:hAnsi="Times;serif"/>
                <w:color w:val="008000"/>
                <w:position w:val="7"/>
                <w:sz w:val="16"/>
                <w:sz w:val="20"/>
                <w:shd w:fill="FFFFFF" w:val="clear"/>
              </w:rPr>
              <w:t>(1)</w:t>
            </w:r>
            <w:r>
              <w:rPr/>
              <w:t xml:space="preserve"> </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14,569.704</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90.467</w:t>
            </w:r>
            <w:r>
              <w:rPr>
                <w:rFonts w:ascii="Times;serif" w:hAnsi="Times;serif"/>
                <w:color w:val="008000"/>
                <w:position w:val="7"/>
                <w:sz w:val="16"/>
                <w:sz w:val="20"/>
                <w:shd w:fill="FFFFFF" w:val="clear"/>
              </w:rPr>
              <w:t>(2)</w:t>
            </w:r>
            <w:r>
              <w:rPr/>
              <w:t xml:space="preserve"> </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345.43</w:t>
            </w:r>
            <w:r>
              <w:rPr/>
              <w:t xml:space="preserve"> </w:t>
            </w:r>
          </w:p>
        </w:tc>
        <w:tc>
          <w:tcPr>
            <w:tcW w:w="13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14,660.171</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("DERs") in connection with the Issuer's quarterly dividend and accrued to the Reporting Person on restricted stock units ("RSUs") held by the Reporting Person. Each DER is the economic equivalent of one share of Issuer's common stock and vests on the same schedule as the underlying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deferred share units ("DSUs") credited to the Reporting Person's deferred compensation account pursuant to the Issuer's Deferred Compensation Plan for Non-Employee Directors (the "Plan"). Each DSU is the economic equivalent of one share of Issuer's common stock and is eligible for distribution in the form of Issuer's common stock based on the schedule elected by the Reporting Person in accordance with the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Michele Nelson,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0504" TargetMode="External"/><Relationship Id="rId5" Type="http://schemas.openxmlformats.org/officeDocument/2006/relationships/hyperlink" Target="http://www.sec.gov/cgi-bin/browse-edgar?action=getcompany&amp;CIK=00009290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686</Words>
  <Characters>3750</Characters>
  <CharactersWithSpaces>4370</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