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Dev Indraneel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40"/>
        <w:spacing w:after="0" w:line="320" w:lineRule="auto"/>
        <w:rPr>
          <w:sz w:val="20"/>
          <w:szCs w:val="20"/>
          <w:color w:val="auto"/>
        </w:rPr>
      </w:pPr>
      <w:r>
        <w:rPr>
          <w:rFonts w:ascii="Times New Roman" w:cs="Times New Roman" w:eastAsia="Times New Roman" w:hAnsi="Times New Roman"/>
          <w:sz w:val="17"/>
          <w:szCs w:val="17"/>
          <w:color w:val="0000FF"/>
        </w:rPr>
        <w:t>225 WEST STATION SQUARE DRIVE SUITE 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WESCO INTERNATIONAL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WCC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EVP &amp; CFO</w:t>
      </w:r>
    </w:p>
    <w:p>
      <w:pPr>
        <w:spacing w:after="0" w:line="460"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3760" w:type="dxa"/>
            <w:vAlign w:val="bottom"/>
          </w:tcPr>
          <w:p>
            <w:pPr>
              <w:ind w:left="16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80" w:type="dxa"/>
            <w:vAlign w:val="bottom"/>
            <w:gridSpan w:val="2"/>
            <w:vMerge w:val="continue"/>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PITTSBURGH  PA</w:t>
            </w:r>
          </w:p>
        </w:tc>
        <w:tc>
          <w:tcPr>
            <w:tcW w:w="170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rPr>
              <w:t>15219-1122</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40" w:type="dxa"/>
            <w:vAlign w:val="bottom"/>
            <w:tcBorders>
              <w:bottom w:val="single" w:sz="8" w:color="9A9A9A"/>
            </w:tcBorders>
          </w:tcPr>
          <w:p>
            <w:pPr>
              <w:spacing w:after="0"/>
              <w:rPr>
                <w:sz w:val="6"/>
                <w:szCs w:val="6"/>
                <w:color w:val="auto"/>
              </w:rPr>
            </w:pPr>
          </w:p>
        </w:tc>
        <w:tc>
          <w:tcPr>
            <w:tcW w:w="170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06/30/2026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24.3868</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16,880.4556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("DERs") in connection with the Issuer's quarterly dividend and accrued to the Reporting Person on restricted stock units ("RSUs") held by the Reporting Person. Each DER is the economic equivalent of one share of Issuer's common stock and vests on the same schedule as the underlying award.</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Michele Nelson,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60" w:type="dxa"/>
            <w:vAlign w:val="bottom"/>
            <w:tcBorders>
              <w:top w:val="single" w:sz="8" w:color="auto"/>
            </w:tcBorders>
            <w:vMerge w:val="restart"/>
          </w:tcPr>
          <w:p>
            <w:pPr>
              <w:spacing w:after="0"/>
              <w:rPr>
                <w:sz w:val="7"/>
                <w:szCs w:val="7"/>
                <w:color w:val="auto"/>
              </w:rPr>
            </w:pP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60" w:type="dxa"/>
            <w:vAlign w:val="bottom"/>
            <w:tcBorders>
              <w:top w:val="single" w:sz="8" w:color="auto"/>
            </w:tcBorders>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4974" TargetMode="External"/><Relationship Id="rId14" Type="http://schemas.openxmlformats.org/officeDocument/2006/relationships/hyperlink" Target="http://www.sec.gov/cgi-bin/browse-edgar?action=getcompany&amp;CIK=00009290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2026-07-02T15:29:30Z</dcterms:created>
  <dcterms:modified xsi:type="dcterms:W3CDTF">2026-07-02T15:29:30Z</dcterms:modified>
</cp:coreProperties>
</file>