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ENGEL JOHN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0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225 WEST STATION SQUARE DRIVE</w:t>
            </w:r>
          </w:p>
        </w:tc>
      </w:tr>
      <w:tr>
        <w:trPr>
          <w:trHeight w:val="267"/>
        </w:trPr>
        <w:tc>
          <w:tcPr>
            <w:tcW w:w="4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700</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PITTSBURGH</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15219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WESCO INTERNATIONAL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WCC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0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7"/>
                <w:szCs w:val="17"/>
                <w:color w:val="0000FF"/>
              </w:rPr>
              <w:t>Chairman, President &amp; CEO</w:t>
            </w:r>
          </w:p>
        </w:tc>
        <w:tc>
          <w:tcPr>
            <w:tcW w:w="0" w:type="dxa"/>
            <w:vAlign w:val="bottom"/>
          </w:tcPr>
          <w:p>
            <w:pPr>
              <w:spacing w:after="0"/>
              <w:rPr>
                <w:sz w:val="1"/>
                <w:szCs w:val="1"/>
                <w:color w:val="auto"/>
              </w:rPr>
            </w:pPr>
          </w:p>
        </w:tc>
      </w:tr>
      <w:tr>
        <w:trPr>
          <w:trHeight w:val="226"/>
        </w:trPr>
        <w:tc>
          <w:tcPr>
            <w:tcW w:w="30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06/30/2026</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31.3649</w:t>
            </w:r>
            <w:r>
              <w:rPr>
                <w:rFonts w:ascii="Times New Roman" w:cs="Times New Roman" w:eastAsia="Times New Roman" w:hAnsi="Times New Roman"/>
                <w:sz w:val="22"/>
                <w:szCs w:val="22"/>
                <w:color w:val="008000"/>
                <w:w w:val="93"/>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280"/>
              <w:spacing w:after="0"/>
              <w:rPr>
                <w:sz w:val="20"/>
                <w:szCs w:val="20"/>
                <w:color w:val="auto"/>
              </w:rPr>
            </w:pPr>
            <w:r>
              <w:rPr>
                <w:rFonts w:ascii="Times New Roman" w:cs="Times New Roman" w:eastAsia="Times New Roman" w:hAnsi="Times New Roman"/>
                <w:sz w:val="17"/>
                <w:szCs w:val="17"/>
                <w:color w:val="0000FF"/>
              </w:rPr>
              <w:t>478,977.1054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("DERs") in connection with the Issuer's quarterly dividend and accrued to the Reporting Person on restricted stock units ("RSUs") held by the Reporting Person. Each DER is the economic equivalent of one share of Issuer's common stock and vests on the same schedule as the underlying award.</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Michele Nelson,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60" w:type="dxa"/>
            <w:vAlign w:val="bottom"/>
            <w:tcBorders>
              <w:top w:val="single" w:sz="8" w:color="auto"/>
            </w:tcBorders>
            <w:vMerge w:val="restart"/>
          </w:tcPr>
          <w:p>
            <w:pPr>
              <w:spacing w:after="0"/>
              <w:rPr>
                <w:sz w:val="7"/>
                <w:szCs w:val="7"/>
                <w:color w:val="auto"/>
              </w:rPr>
            </w:pP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60" w:type="dxa"/>
            <w:vAlign w:val="bottom"/>
            <w:tcBorders>
              <w:top w:val="single" w:sz="8" w:color="auto"/>
            </w:tcBorders>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8669" TargetMode="External"/><Relationship Id="rId14" Type="http://schemas.openxmlformats.org/officeDocument/2006/relationships/hyperlink" Target="http://www.sec.gov/cgi-bin/browse-edgar?action=getcompany&amp;CIK=00009290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2026-07-02T15:27:14Z</dcterms:created>
  <dcterms:modified xsi:type="dcterms:W3CDTF">2026-07-02T15:27:14Z</dcterms:modified>
</cp:coreProperties>
</file>