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80920d8k.htm"/>
      <w:bookmarkStart w:id="1" w:name="ksd88092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sz w:val="24"/>
        </w:rPr>
      </w:pPr>
      <w:r>
        <w:rPr>
          <w:rFonts w:ascii="Times New Roman" w:hAnsi="Times New Roman"/>
          <w:sz w:val="24"/>
        </w:rPr>
        <w:t xml:space="preserve">Date of Report (Date of earliest event reported): </w:t>
      </w:r>
      <w:r>
        <w:rPr>
          <w:rFonts w:ascii="Times New Roman" w:hAnsi="Times New Roman"/>
          <w:b/>
          <w:sz w:val="24"/>
        </w:rPr>
        <w:t xml:space="preserve">April 30, 2025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WESCO International, Inc. </w:t>
      </w:r>
    </w:p>
    <w:p>
      <w:pPr>
        <w:pStyle w:val="TextBody"/>
        <w:bidi w:val="0"/>
        <w:spacing w:before="0" w:after="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945" w:type="dxa"/>
        <w:jc w:val="left"/>
        <w:tblInd w:w="0" w:type="dxa"/>
        <w:tblLayout w:type="fixed"/>
        <w:tblCellMar>
          <w:top w:w="0" w:type="dxa"/>
          <w:left w:w="0" w:type="dxa"/>
          <w:bottom w:w="0" w:type="dxa"/>
          <w:right w:w="0" w:type="dxa"/>
        </w:tblCellMar>
      </w:tblPr>
      <w:tblGrid>
        <w:gridCol w:w="3755"/>
        <w:gridCol w:w="60"/>
        <w:gridCol w:w="1295"/>
        <w:gridCol w:w="60"/>
        <w:gridCol w:w="1775"/>
      </w:tblGrid>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rPr>
            </w:pPr>
            <w:r>
              <w:rPr>
                <w:b/>
              </w:rPr>
              <w:t>001-14989</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r>
              <w:rPr>
                <w:b/>
              </w:rPr>
              <w:t>25-1723342</w:t>
            </w:r>
          </w:p>
        </w:tc>
      </w:tr>
      <w:tr>
        <w:trPr/>
        <w:tc>
          <w:tcPr>
            <w:tcW w:w="3755"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r>
        <w:trPr/>
        <w:tc>
          <w:tcPr>
            <w:tcW w:w="3755" w:type="dxa"/>
            <w:tcBorders/>
            <w:vAlign w:val="center"/>
          </w:tcPr>
          <w:p>
            <w:pPr>
              <w:pStyle w:val="TableContents"/>
              <w:bidi w:val="0"/>
              <w:spacing w:before="0" w:after="283"/>
              <w:jc w:val="left"/>
              <w:rPr>
                <w:sz w:val="4"/>
                <w:szCs w:val="4"/>
              </w:rPr>
            </w:pPr>
            <w:r>
              <w:rPr>
                <w:sz w:val="4"/>
                <w:szCs w:val="4"/>
              </w:rPr>
            </w:r>
          </w:p>
        </w:tc>
        <w:tc>
          <w:tcPr>
            <w:tcW w:w="3190" w:type="dxa"/>
            <w:gridSpan w:val="4"/>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center"/>
              <w:rPr>
                <w:b/>
              </w:rPr>
            </w:pPr>
            <w:r>
              <w:rPr>
                <w:b/>
              </w:rPr>
              <w:t>225 West Station Square Drive</w:t>
            </w:r>
          </w:p>
        </w:tc>
        <w:tc>
          <w:tcPr>
            <w:tcW w:w="60" w:type="dxa"/>
            <w:tcBorders/>
            <w:vAlign w:val="center"/>
          </w:tcPr>
          <w:p>
            <w:pPr>
              <w:pStyle w:val="TableContents"/>
              <w:bidi w:val="0"/>
              <w:spacing w:before="0" w:after="283"/>
              <w:jc w:val="left"/>
              <w:rPr/>
            </w:pPr>
            <w:r>
              <w:rPr/>
              <w:t> </w:t>
            </w:r>
          </w:p>
        </w:tc>
        <w:tc>
          <w:tcPr>
            <w:tcW w:w="3130" w:type="dxa"/>
            <w:gridSpan w:val="3"/>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center"/>
              <w:rPr>
                <w:b/>
              </w:rPr>
            </w:pPr>
            <w:r>
              <w:rPr>
                <w:b/>
              </w:rPr>
              <w:t>Suite 700</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center"/>
              <w:rPr>
                <w:b/>
              </w:rPr>
            </w:pPr>
            <w:r>
              <w:rPr>
                <w:b/>
              </w:rPr>
              <w:t>Pittsburgh, Pennsylvania</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r>
              <w:rPr>
                <w:b/>
              </w:rPr>
              <w:t>15219</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(Zip Code)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rPr>
        <w:t>(412) 454-2200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sz w:val="16"/>
        </w:rPr>
      </w:pPr>
      <w:r>
        <w:rPr>
          <w:rFonts w:ascii="Times New Roman" w:hAnsi="Times New Roman"/>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83"/>
        <w:gridCol w:w="60"/>
        <w:gridCol w:w="898"/>
        <w:gridCol w:w="60"/>
        <w:gridCol w:w="2204"/>
      </w:tblGrid>
      <w:tr>
        <w:trPr/>
        <w:tc>
          <w:tcPr>
            <w:tcW w:w="6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r>
      <w:tr>
        <w:trPr/>
        <w:tc>
          <w:tcPr>
            <w:tcW w:w="698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9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20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6983"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center"/>
              <w:rPr/>
            </w:pPr>
            <w:r>
              <w:rPr/>
              <w:t>WCC</w:t>
            </w:r>
          </w:p>
        </w:tc>
        <w:tc>
          <w:tcPr>
            <w:tcW w:w="60" w:type="dxa"/>
            <w:tcBorders/>
            <w:vAlign w:val="center"/>
          </w:tcPr>
          <w:p>
            <w:pPr>
              <w:pStyle w:val="TableContents"/>
              <w:bidi w:val="0"/>
              <w:spacing w:before="0" w:after="283"/>
              <w:jc w:val="left"/>
              <w:rPr/>
            </w:pPr>
            <w:r>
              <w:rPr/>
              <w:t> </w:t>
            </w:r>
          </w:p>
        </w:tc>
        <w:tc>
          <w:tcPr>
            <w:tcW w:w="2204" w:type="dxa"/>
            <w:tcBorders/>
            <w:vAlign w:val="center"/>
          </w:tcPr>
          <w:p>
            <w:pPr>
              <w:pStyle w:val="TableContents"/>
              <w:bidi w:val="0"/>
              <w:spacing w:before="0" w:after="283"/>
              <w:jc w:val="center"/>
              <w:rPr/>
            </w:pPr>
            <w:r>
              <w:rPr/>
              <w:t>New York Stock Exchange</w:t>
            </w:r>
          </w:p>
        </w:tc>
      </w:tr>
      <w:tr>
        <w:trPr/>
        <w:tc>
          <w:tcPr>
            <w:tcW w:w="6983" w:type="dxa"/>
            <w:tcBorders/>
            <w:vAlign w:val="center"/>
          </w:tcPr>
          <w:p>
            <w:pPr>
              <w:pStyle w:val="TableContents"/>
              <w:bidi w:val="0"/>
              <w:spacing w:before="0" w:after="283"/>
              <w:jc w:val="center"/>
              <w:rPr/>
            </w:pPr>
            <w:r>
              <w:rPr/>
              <w:t>Depositary Shares, each representing 1/1,000th interest in a share of Series A Fixed-Rate Reset Cumulative Perpetual Preferred Stock</w:t>
            </w:r>
          </w:p>
        </w:tc>
        <w:tc>
          <w:tcPr>
            <w:tcW w:w="60"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center"/>
              <w:rPr/>
            </w:pPr>
            <w:r>
              <w:rPr/>
              <w:t>WCC PR A</w:t>
            </w:r>
          </w:p>
        </w:tc>
        <w:tc>
          <w:tcPr>
            <w:tcW w:w="60" w:type="dxa"/>
            <w:tcBorders/>
            <w:vAlign w:val="center"/>
          </w:tcPr>
          <w:p>
            <w:pPr>
              <w:pStyle w:val="TableContents"/>
              <w:bidi w:val="0"/>
              <w:spacing w:before="0" w:after="283"/>
              <w:jc w:val="left"/>
              <w:rPr/>
            </w:pPr>
            <w:r>
              <w:rPr/>
              <w:t> </w:t>
            </w:r>
          </w:p>
        </w:tc>
        <w:tc>
          <w:tcPr>
            <w:tcW w:w="2204"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WESCO International, Inc. (the “Company”) has provided notice of its intent to redeem all of its outstanding 10.625% Series A Fixed-Rate Reset Cumulative Perpetual Preferred Stock, par value $0.01 per share (the “Series A Preferred Stock”), and the related depositary shares, each representing 1/1,000th of one share of Series A Preferred Stock (NYSE: WCC PR A - CUSIP No.: 95082P 303) (the “Depositary Shares”). Pursuant to the provisions of the Company’s Certificate of Designations of the Series A Preferred Stock, the Company is undertaking actions to redeem all of the 21,611.471 outstanding shares of Series A Preferred Stock, represented by 21,611,471 Depositary Shares, on June 22, 2025 (the “Redemption Date”). </w:t>
      </w:r>
    </w:p>
    <w:p>
      <w:pPr>
        <w:pStyle w:val="TextBody"/>
        <w:bidi w:val="0"/>
        <w:spacing w:before="240" w:after="0"/>
        <w:jc w:val="left"/>
        <w:rPr>
          <w:rFonts w:ascii="Times New Roman" w:hAnsi="Times New Roman"/>
          <w:sz w:val="20"/>
        </w:rPr>
      </w:pPr>
      <w:r>
        <w:rPr>
          <w:rFonts w:ascii="Times New Roman" w:hAnsi="Times New Roman"/>
          <w:sz w:val="20"/>
        </w:rPr>
        <w:t>The Series A Preferred Stock and corresponding Depositary Shares will be redeemed at a redemption price of $25,597.65625 per share of Series A Preferred Stock, or $25.59765625 per Depositary Share (the “Redemption Price”) (</w:t>
      </w:r>
      <w:r>
        <w:rPr>
          <w:rFonts w:ascii="Times New Roman" w:hAnsi="Times New Roman"/>
          <w:i/>
          <w:sz w:val="20"/>
        </w:rPr>
        <w:t>i.e.</w:t>
      </w:r>
      <w:r>
        <w:rPr>
          <w:rFonts w:ascii="Times New Roman" w:hAnsi="Times New Roman"/>
          <w:sz w:val="20"/>
        </w:rPr>
        <w:t xml:space="preserve">, the sum of $25,000 per share of Series A Preferred Stock plus accrued and unpaid dividends of $597.65625 per share of Series A Preferred Stock to, but excluding, the Redemption Date, or $25.00 per Depositary Share plus accrued and unpaid dividends of $0.59765625 per Depositary Share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Redemption Price shall be made on or after June 22, 2025 as soon as practicable upon presentation and surrender of receipts evidencing Depositary Shares to Computershare Inc. and Computershare Trust Company, N.A. at one of the following addresses: </w:t>
      </w:r>
    </w:p>
    <w:p>
      <w:pPr>
        <w:pStyle w:val="TextBody"/>
        <w:bidi w:val="0"/>
        <w:spacing w:before="360" w:after="0"/>
        <w:jc w:val="left"/>
        <w:rPr>
          <w:rFonts w:ascii="Times New Roman" w:hAnsi="Times New Roman"/>
          <w:b/>
          <w:sz w:val="20"/>
        </w:rPr>
      </w:pPr>
      <w:r>
        <w:rPr>
          <w:rFonts w:ascii="Times New Roman" w:hAnsi="Times New Roman"/>
          <w:b/>
          <w:sz w:val="20"/>
        </w:rPr>
        <w:t xml:space="preserve">By Mail: </w:t>
      </w:r>
    </w:p>
    <w:p>
      <w:pPr>
        <w:pStyle w:val="TextBody"/>
        <w:bidi w:val="0"/>
        <w:spacing w:before="120" w:after="0"/>
        <w:jc w:val="left"/>
        <w:rPr>
          <w:rFonts w:ascii="Times New Roman" w:hAnsi="Times New Roman"/>
          <w:sz w:val="20"/>
        </w:rPr>
      </w:pPr>
      <w:r>
        <w:rPr>
          <w:rFonts w:ascii="Times New Roman" w:hAnsi="Times New Roman"/>
          <w:sz w:val="20"/>
        </w:rPr>
        <w:t xml:space="preserve">Attn: Corporations Actions </w:t>
      </w:r>
    </w:p>
    <w:p>
      <w:pPr>
        <w:pStyle w:val="TextBody"/>
        <w:bidi w:val="0"/>
        <w:spacing w:before="0" w:after="0"/>
        <w:jc w:val="left"/>
        <w:rPr>
          <w:rFonts w:ascii="Times New Roman" w:hAnsi="Times New Roman"/>
          <w:sz w:val="20"/>
        </w:rPr>
      </w:pPr>
      <w:r>
        <w:rPr>
          <w:rFonts w:ascii="Times New Roman" w:hAnsi="Times New Roman"/>
          <w:sz w:val="20"/>
        </w:rPr>
        <w:t xml:space="preserve">P.O. Box 43014 </w:t>
      </w:r>
    </w:p>
    <w:p>
      <w:pPr>
        <w:pStyle w:val="TextBody"/>
        <w:bidi w:val="0"/>
        <w:spacing w:before="0" w:after="0"/>
        <w:jc w:val="left"/>
        <w:rPr>
          <w:rFonts w:ascii="Times New Roman" w:hAnsi="Times New Roman"/>
          <w:sz w:val="20"/>
        </w:rPr>
      </w:pPr>
      <w:r>
        <w:rPr>
          <w:rFonts w:ascii="Times New Roman" w:hAnsi="Times New Roman"/>
          <w:sz w:val="20"/>
        </w:rPr>
        <w:t xml:space="preserve">Providence, RI 02940-3014 </w:t>
      </w:r>
    </w:p>
    <w:p>
      <w:pPr>
        <w:pStyle w:val="TextBody"/>
        <w:bidi w:val="0"/>
        <w:spacing w:before="360" w:after="0"/>
        <w:jc w:val="left"/>
        <w:rPr>
          <w:rFonts w:ascii="Times New Roman" w:hAnsi="Times New Roman"/>
          <w:b/>
          <w:sz w:val="20"/>
        </w:rPr>
      </w:pPr>
      <w:r>
        <w:rPr>
          <w:rFonts w:ascii="Times New Roman" w:hAnsi="Times New Roman"/>
          <w:b/>
          <w:sz w:val="20"/>
        </w:rPr>
        <w:t xml:space="preserve">By Overnight Delivery: </w:t>
      </w:r>
    </w:p>
    <w:p>
      <w:pPr>
        <w:pStyle w:val="TextBody"/>
        <w:bidi w:val="0"/>
        <w:spacing w:before="120" w:after="0"/>
        <w:jc w:val="left"/>
        <w:rPr>
          <w:rFonts w:ascii="Times New Roman" w:hAnsi="Times New Roman"/>
          <w:sz w:val="20"/>
        </w:rPr>
      </w:pPr>
      <w:r>
        <w:rPr>
          <w:rFonts w:ascii="Times New Roman" w:hAnsi="Times New Roman"/>
          <w:sz w:val="20"/>
        </w:rPr>
        <w:t xml:space="preserve">Attn: Corporate Actions </w:t>
      </w:r>
    </w:p>
    <w:p>
      <w:pPr>
        <w:pStyle w:val="TextBody"/>
        <w:bidi w:val="0"/>
        <w:spacing w:before="0" w:after="0"/>
        <w:jc w:val="left"/>
        <w:rPr>
          <w:rFonts w:ascii="Times New Roman" w:hAnsi="Times New Roman"/>
          <w:sz w:val="20"/>
        </w:rPr>
      </w:pPr>
      <w:r>
        <w:rPr>
          <w:rFonts w:ascii="Times New Roman" w:hAnsi="Times New Roman"/>
          <w:sz w:val="20"/>
        </w:rPr>
        <w:t xml:space="preserve">150 Royall Street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240" w:after="0"/>
        <w:jc w:val="left"/>
        <w:rPr>
          <w:rFonts w:ascii="Times New Roman" w:hAnsi="Times New Roman"/>
          <w:sz w:val="20"/>
        </w:rPr>
      </w:pPr>
      <w:r>
        <w:rPr>
          <w:rFonts w:ascii="Times New Roman" w:hAnsi="Times New Roman"/>
          <w:sz w:val="20"/>
        </w:rPr>
        <w:t xml:space="preserve">Holders who hold their Depositary Shares in book-entry form will be issued checks automatically and are not required to present and surrender receipts evidencing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Redemption Date, dividends shall cease to accrue on the shares of Series A Preferred Stock that are redeemed, shares of Series A Preferred Stock and corresponding Depositary Shares being redeemed shall no longer be deemed to be outstanding, and all rights of the holders of such shares shall forthwith cease and terminate, except the right of the holders thereof to receive, from the funds so set aside in trust, from and after such date, the Redemption Price,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record a gain of approximately $30 million to net income attributable to holders of common stock in the second quarter of 2025 as a result of the redemption of the Series A Preferred Stock.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928" w:type="dxa"/>
        <w:jc w:val="left"/>
        <w:tblInd w:w="0" w:type="dxa"/>
        <w:tblLayout w:type="fixed"/>
        <w:tblCellMar>
          <w:top w:w="0" w:type="dxa"/>
          <w:left w:w="0" w:type="dxa"/>
          <w:bottom w:w="0" w:type="dxa"/>
          <w:right w:w="0" w:type="dxa"/>
        </w:tblCellMar>
      </w:tblPr>
      <w:tblGrid>
        <w:gridCol w:w="2000"/>
        <w:gridCol w:w="60"/>
        <w:gridCol w:w="23"/>
        <w:gridCol w:w="60"/>
        <w:gridCol w:w="650"/>
        <w:gridCol w:w="60"/>
        <w:gridCol w:w="5075"/>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85" w:type="dxa"/>
            <w:gridSpan w:val="3"/>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WESCO International, Inc.</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85" w:type="dxa"/>
            <w:gridSpan w:val="3"/>
            <w:tcBorders/>
            <w:vAlign w:val="center"/>
          </w:tcPr>
          <w:p>
            <w:pPr>
              <w:pStyle w:val="TableContents"/>
              <w:bidi w:val="0"/>
              <w:spacing w:before="0" w:after="283"/>
              <w:jc w:val="center"/>
              <w:rPr/>
            </w:pPr>
            <w:r>
              <w:rPr/>
              <w:t>(Registrant)</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April 30,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S. Schulz</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David S. Schulz</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797</Words>
  <Characters>4345</Characters>
  <CharactersWithSpaces>5139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