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9" w:lineRule="exact"/>
        <w:rPr>
          <w:sz w:val="24"/>
          <w:szCs w:val="24"/>
          <w:color w:val="auto"/>
        </w:rPr>
      </w:pPr>
    </w:p>
    <w:p>
      <w:pPr>
        <w:ind w:left="560" w:hanging="437"/>
        <w:spacing w:after="0"/>
        <w:tabs>
          <w:tab w:leader="none" w:pos="5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quarterly period ended September 30, 2026</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560" w:hanging="437"/>
        <w:spacing w:after="0"/>
        <w:tabs>
          <w:tab w:leader="none" w:pos="5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15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to</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2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 xml:space="preserve">Commission File Number: </w:t>
            </w:r>
            <w:r>
              <w:rPr>
                <w:rFonts w:ascii="Times New Roman" w:cs="Times New Roman" w:eastAsia="Times New Roman" w:hAnsi="Times New Roman"/>
                <w:sz w:val="18"/>
                <w:szCs w:val="18"/>
                <w:b w:val="1"/>
                <w:bCs w:val="1"/>
                <w:color w:val="auto"/>
                <w:w w:val="99"/>
              </w:rPr>
              <w:t>001-14989</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2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60" w:type="dxa"/>
            <w:vAlign w:val="bottom"/>
            <w:gridSpan w:val="8"/>
          </w:tcPr>
          <w:p>
            <w:pPr>
              <w:jc w:val="center"/>
              <w:ind w:right="3199"/>
              <w:spacing w:after="0"/>
              <w:rPr>
                <w:sz w:val="20"/>
                <w:szCs w:val="20"/>
                <w:color w:val="auto"/>
              </w:rPr>
            </w:pPr>
            <w:r>
              <w:rPr>
                <w:rFonts w:ascii="Times New Roman" w:cs="Times New Roman" w:eastAsia="Times New Roman" w:hAnsi="Times New Roman"/>
                <w:sz w:val="36"/>
                <w:szCs w:val="36"/>
                <w:b w:val="1"/>
                <w:bCs w:val="1"/>
                <w:color w:val="auto"/>
                <w:w w:val="99"/>
              </w:rPr>
              <w:t>WESCO International, Inc.</w:t>
            </w:r>
          </w:p>
        </w:tc>
        <w:tc>
          <w:tcPr>
            <w:tcW w:w="0" w:type="dxa"/>
            <w:vAlign w:val="bottom"/>
          </w:tcPr>
          <w:p>
            <w:pPr>
              <w:spacing w:after="0"/>
              <w:rPr>
                <w:sz w:val="1"/>
                <w:szCs w:val="1"/>
                <w:color w:val="auto"/>
              </w:rPr>
            </w:pPr>
          </w:p>
        </w:tc>
      </w:tr>
      <w:tr>
        <w:trPr>
          <w:trHeight w:val="255"/>
        </w:trPr>
        <w:tc>
          <w:tcPr>
            <w:tcW w:w="2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520" w:type="dxa"/>
            <w:vAlign w:val="bottom"/>
            <w:gridSpan w:val="7"/>
          </w:tcPr>
          <w:p>
            <w:pPr>
              <w:jc w:val="center"/>
              <w:ind w:right="36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251"/>
        </w:trPr>
        <w:tc>
          <w:tcPr>
            <w:tcW w:w="2200" w:type="dxa"/>
            <w:vAlign w:val="bottom"/>
          </w:tcPr>
          <w:p>
            <w:pPr>
              <w:spacing w:after="0"/>
              <w:rPr>
                <w:sz w:val="21"/>
                <w:szCs w:val="21"/>
                <w:color w:val="auto"/>
              </w:rPr>
            </w:pPr>
          </w:p>
        </w:tc>
        <w:tc>
          <w:tcPr>
            <w:tcW w:w="152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40" w:type="dxa"/>
            <w:vAlign w:val="bottom"/>
          </w:tcPr>
          <w:p>
            <w:pPr>
              <w:jc w:val="right"/>
              <w:ind w:right="2159"/>
              <w:spacing w:after="0"/>
              <w:rPr>
                <w:sz w:val="20"/>
                <w:szCs w:val="20"/>
                <w:color w:val="auto"/>
              </w:rPr>
            </w:pPr>
            <w:r>
              <w:rPr>
                <w:rFonts w:ascii="Times New Roman" w:cs="Times New Roman" w:eastAsia="Times New Roman" w:hAnsi="Times New Roman"/>
                <w:sz w:val="16"/>
                <w:szCs w:val="16"/>
                <w:b w:val="1"/>
                <w:bCs w:val="1"/>
                <w:color w:val="auto"/>
              </w:rPr>
              <w:t>25-1723342</w:t>
            </w:r>
          </w:p>
        </w:tc>
        <w:tc>
          <w:tcPr>
            <w:tcW w:w="0" w:type="dxa"/>
            <w:vAlign w:val="bottom"/>
          </w:tcPr>
          <w:p>
            <w:pPr>
              <w:spacing w:after="0"/>
              <w:rPr>
                <w:sz w:val="1"/>
                <w:szCs w:val="1"/>
                <w:color w:val="auto"/>
              </w:rPr>
            </w:pPr>
          </w:p>
        </w:tc>
      </w:tr>
      <w:tr>
        <w:trPr>
          <w:trHeight w:val="181"/>
        </w:trPr>
        <w:tc>
          <w:tcPr>
            <w:tcW w:w="3720" w:type="dxa"/>
            <w:vAlign w:val="bottom"/>
            <w:gridSpan w:val="4"/>
          </w:tcPr>
          <w:p>
            <w:pPr>
              <w:jc w:val="center"/>
              <w:ind w:left="1438"/>
              <w:spacing w:after="0" w:line="181"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40" w:type="dxa"/>
            <w:vAlign w:val="bottom"/>
          </w:tcPr>
          <w:p>
            <w:pPr>
              <w:jc w:val="center"/>
              <w:ind w:right="1339"/>
              <w:spacing w:after="0" w:line="181" w:lineRule="exact"/>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10"/>
        </w:trPr>
        <w:tc>
          <w:tcPr>
            <w:tcW w:w="3720" w:type="dxa"/>
            <w:vAlign w:val="bottom"/>
            <w:gridSpan w:val="4"/>
          </w:tcPr>
          <w:p>
            <w:pPr>
              <w:jc w:val="center"/>
              <w:ind w:left="1438"/>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40" w:type="dxa"/>
            <w:vAlign w:val="bottom"/>
          </w:tcPr>
          <w:p>
            <w:pPr>
              <w:jc w:val="center"/>
              <w:ind w:right="1319"/>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235"/>
        </w:trPr>
        <w:tc>
          <w:tcPr>
            <w:tcW w:w="3720" w:type="dxa"/>
            <w:vAlign w:val="bottom"/>
            <w:gridSpan w:val="4"/>
          </w:tcPr>
          <w:p>
            <w:pPr>
              <w:jc w:val="center"/>
              <w:ind w:left="1438"/>
              <w:spacing w:after="0"/>
              <w:rPr>
                <w:sz w:val="20"/>
                <w:szCs w:val="20"/>
                <w:color w:val="auto"/>
              </w:rPr>
            </w:pPr>
            <w:r>
              <w:rPr>
                <w:rFonts w:ascii="Times New Roman" w:cs="Times New Roman" w:eastAsia="Times New Roman" w:hAnsi="Times New Roman"/>
                <w:sz w:val="16"/>
                <w:szCs w:val="16"/>
                <w:b w:val="1"/>
                <w:bCs w:val="1"/>
                <w:color w:val="auto"/>
              </w:rPr>
              <w:t>225 West Station Square Drive</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40" w:type="dxa"/>
            <w:vAlign w:val="bottom"/>
            <w:vMerge w:val="restart"/>
          </w:tcPr>
          <w:p>
            <w:pPr>
              <w:jc w:val="right"/>
              <w:ind w:right="2339"/>
              <w:spacing w:after="0"/>
              <w:rPr>
                <w:sz w:val="20"/>
                <w:szCs w:val="20"/>
                <w:color w:val="auto"/>
              </w:rPr>
            </w:pPr>
            <w:r>
              <w:rPr>
                <w:rFonts w:ascii="Times New Roman" w:cs="Times New Roman" w:eastAsia="Times New Roman" w:hAnsi="Times New Roman"/>
                <w:sz w:val="16"/>
                <w:szCs w:val="16"/>
                <w:b w:val="1"/>
                <w:bCs w:val="1"/>
                <w:color w:val="auto"/>
              </w:rPr>
              <w:t>15219</w:t>
            </w:r>
          </w:p>
        </w:tc>
        <w:tc>
          <w:tcPr>
            <w:tcW w:w="0" w:type="dxa"/>
            <w:vAlign w:val="bottom"/>
          </w:tcPr>
          <w:p>
            <w:pPr>
              <w:spacing w:after="0"/>
              <w:rPr>
                <w:sz w:val="1"/>
                <w:szCs w:val="1"/>
                <w:color w:val="auto"/>
              </w:rPr>
            </w:pPr>
          </w:p>
        </w:tc>
      </w:tr>
      <w:tr>
        <w:trPr>
          <w:trHeight w:val="212"/>
        </w:trPr>
        <w:tc>
          <w:tcPr>
            <w:tcW w:w="2200" w:type="dxa"/>
            <w:vAlign w:val="bottom"/>
          </w:tcPr>
          <w:p>
            <w:pPr>
              <w:spacing w:after="0"/>
              <w:rPr>
                <w:sz w:val="18"/>
                <w:szCs w:val="18"/>
                <w:color w:val="auto"/>
              </w:rPr>
            </w:pPr>
          </w:p>
        </w:tc>
        <w:tc>
          <w:tcPr>
            <w:tcW w:w="152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Suite 700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20" w:type="dxa"/>
            <w:vAlign w:val="bottom"/>
            <w:gridSpan w:val="4"/>
          </w:tcPr>
          <w:p>
            <w:pPr>
              <w:ind w:left="1820"/>
              <w:spacing w:after="0"/>
              <w:rPr>
                <w:sz w:val="20"/>
                <w:szCs w:val="20"/>
                <w:color w:val="auto"/>
              </w:rPr>
            </w:pPr>
            <w:r>
              <w:rPr>
                <w:rFonts w:ascii="Times New Roman" w:cs="Times New Roman" w:eastAsia="Times New Roman" w:hAnsi="Times New Roman"/>
                <w:sz w:val="16"/>
                <w:szCs w:val="16"/>
                <w:b w:val="1"/>
                <w:bCs w:val="1"/>
                <w:color w:val="auto"/>
              </w:rPr>
              <w:t>Pittsburgh, Pennsylvania</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40" w:type="dxa"/>
            <w:vAlign w:val="bottom"/>
          </w:tcPr>
          <w:p>
            <w:pPr>
              <w:jc w:val="center"/>
              <w:ind w:right="1319"/>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230"/>
        </w:trPr>
        <w:tc>
          <w:tcPr>
            <w:tcW w:w="7400" w:type="dxa"/>
            <w:vAlign w:val="bottom"/>
            <w:gridSpan w:val="10"/>
          </w:tcPr>
          <w:p>
            <w:pPr>
              <w:jc w:val="center"/>
              <w:ind w:right="216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2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40" w:type="dxa"/>
            <w:vAlign w:val="bottom"/>
            <w:gridSpan w:val="4"/>
          </w:tcPr>
          <w:p>
            <w:pPr>
              <w:jc w:val="center"/>
              <w:ind w:left="896"/>
              <w:spacing w:after="0"/>
              <w:rPr>
                <w:sz w:val="20"/>
                <w:szCs w:val="20"/>
                <w:color w:val="auto"/>
              </w:rPr>
            </w:pPr>
            <w:r>
              <w:rPr>
                <w:rFonts w:ascii="Times New Roman" w:cs="Times New Roman" w:eastAsia="Times New Roman" w:hAnsi="Times New Roman"/>
                <w:sz w:val="16"/>
                <w:szCs w:val="16"/>
                <w:b w:val="1"/>
                <w:bCs w:val="1"/>
                <w:color w:val="auto"/>
              </w:rPr>
              <w:t>(412) 454-2200</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80" w:type="dxa"/>
            <w:vAlign w:val="bottom"/>
            <w:gridSpan w:val="6"/>
          </w:tcPr>
          <w:p>
            <w:pPr>
              <w:jc w:val="center"/>
              <w:ind w:left="56"/>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Not applicable.</w:t>
            </w:r>
          </w:p>
        </w:tc>
        <w:tc>
          <w:tcPr>
            <w:tcW w:w="3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Pr>
          <w:p>
            <w:pPr>
              <w:spacing w:after="0"/>
              <w:rPr>
                <w:sz w:val="21"/>
                <w:szCs w:val="21"/>
                <w:color w:val="auto"/>
              </w:rPr>
            </w:pPr>
          </w:p>
        </w:tc>
        <w:tc>
          <w:tcPr>
            <w:tcW w:w="9040" w:type="dxa"/>
            <w:vAlign w:val="bottom"/>
            <w:gridSpan w:val="10"/>
          </w:tcPr>
          <w:p>
            <w:pPr>
              <w:jc w:val="center"/>
              <w:ind w:right="21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317"/>
        </w:trPr>
        <w:tc>
          <w:tcPr>
            <w:tcW w:w="2200" w:type="dxa"/>
            <w:vAlign w:val="bottom"/>
          </w:tcPr>
          <w:p>
            <w:pPr>
              <w:spacing w:after="0"/>
              <w:rPr>
                <w:sz w:val="24"/>
                <w:szCs w:val="24"/>
                <w:color w:val="auto"/>
              </w:rPr>
            </w:pPr>
          </w:p>
        </w:tc>
        <w:tc>
          <w:tcPr>
            <w:tcW w:w="9040" w:type="dxa"/>
            <w:vAlign w:val="bottom"/>
            <w:gridSpan w:val="10"/>
          </w:tcPr>
          <w:p>
            <w:pPr>
              <w:jc w:val="center"/>
              <w:ind w:right="2099"/>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253"/>
        </w:trPr>
        <w:tc>
          <w:tcPr>
            <w:tcW w:w="3720" w:type="dxa"/>
            <w:vAlign w:val="bottom"/>
            <w:tcBorders>
              <w:bottom w:val="single" w:sz="8" w:color="auto"/>
            </w:tcBorders>
            <w:gridSpan w:val="4"/>
          </w:tcPr>
          <w:p>
            <w:pPr>
              <w:jc w:val="center"/>
              <w:ind w:left="698"/>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4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840" w:type="dxa"/>
            <w:vAlign w:val="bottom"/>
            <w:tcBorders>
              <w:bottom w:val="single" w:sz="8" w:color="auto"/>
            </w:tcBorders>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20"/>
        </w:trPr>
        <w:tc>
          <w:tcPr>
            <w:tcW w:w="3720" w:type="dxa"/>
            <w:vAlign w:val="bottom"/>
            <w:gridSpan w:val="4"/>
          </w:tcPr>
          <w:p>
            <w:pPr>
              <w:jc w:val="center"/>
              <w:ind w:left="698"/>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color w:val="auto"/>
              </w:rPr>
              <w:t>WCC</w:t>
            </w:r>
          </w:p>
        </w:tc>
        <w:tc>
          <w:tcPr>
            <w:tcW w:w="3840" w:type="dxa"/>
            <w:vAlign w:val="bottom"/>
          </w:tcPr>
          <w:p>
            <w:pPr>
              <w:jc w:val="center"/>
              <w:ind w:right="639"/>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190" w:lineRule="exact"/>
        <w:rPr>
          <w:sz w:val="24"/>
          <w:szCs w:val="24"/>
          <w:color w:val="auto"/>
        </w:rPr>
      </w:pPr>
    </w:p>
    <w:p>
      <w:pPr>
        <w:jc w:val="both"/>
        <w:ind w:firstLine="283"/>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600" w:val="left"/>
        </w:tabs>
        <w:rPr>
          <w:sz w:val="20"/>
          <w:szCs w:val="20"/>
          <w:color w:val="auto"/>
        </w:rPr>
      </w:pPr>
      <w:r>
        <w:rPr>
          <w:rFonts w:ascii="Times New Roman" w:cs="Times New Roman" w:eastAsia="Times New Roman" w:hAnsi="Times New Roman"/>
          <w:sz w:val="18"/>
          <w:szCs w:val="18"/>
          <w:color w:val="auto"/>
        </w:rPr>
        <w:t>requirements for at least the past 90 days.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4" w:lineRule="exact"/>
        <w:rPr>
          <w:sz w:val="24"/>
          <w:szCs w:val="24"/>
          <w:color w:val="auto"/>
        </w:rPr>
      </w:pPr>
    </w:p>
    <w:p>
      <w:pPr>
        <w:jc w:val="both"/>
        <w:ind w:firstLine="283"/>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283"/>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92"/>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9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ind w:left="20" w:right="920" w:firstLine="243"/>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260" w:right="1840"/>
        <w:spacing w:after="0" w:line="27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28, 2026, 48,669,827 shares of common stock, $0.01 par value,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29"/>
        </w:trPr>
        <w:tc>
          <w:tcPr>
            <w:tcW w:w="10400" w:type="dxa"/>
            <w:vAlign w:val="bottom"/>
            <w:gridSpan w:val="12"/>
          </w:tcPr>
          <w:p>
            <w:pPr>
              <w:ind w:left="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18"/>
        </w:trPr>
        <w:tc>
          <w:tcPr>
            <w:tcW w:w="260" w:type="dxa"/>
            <w:vAlign w:val="bottom"/>
          </w:tcPr>
          <w:p>
            <w:pPr>
              <w:spacing w:after="0"/>
              <w:rPr>
                <w:sz w:val="24"/>
                <w:szCs w:val="24"/>
                <w:color w:val="auto"/>
              </w:rPr>
            </w:pPr>
          </w:p>
        </w:tc>
        <w:tc>
          <w:tcPr>
            <w:tcW w:w="2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Item 1. Financial Statements.</w:t>
            </w:r>
          </w:p>
        </w:tc>
        <w:tc>
          <w:tcPr>
            <w:tcW w:w="8020" w:type="dxa"/>
            <w:vAlign w:val="bottom"/>
            <w:gridSpan w:val="5"/>
          </w:tcPr>
          <w:p>
            <w:pPr>
              <w:spacing w:after="0"/>
              <w:rPr>
                <w:sz w:val="24"/>
                <w:szCs w:val="24"/>
                <w:color w:val="auto"/>
              </w:rPr>
            </w:pPr>
          </w:p>
        </w:tc>
        <w:tc>
          <w:tcPr>
            <w:tcW w:w="46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0000FF"/>
                <w:w w:val="88"/>
              </w:rPr>
              <w:t>2</w:t>
            </w:r>
          </w:p>
        </w:tc>
        <w:tc>
          <w:tcPr>
            <w:tcW w:w="38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90"/>
        </w:trPr>
        <w:tc>
          <w:tcPr>
            <w:tcW w:w="260" w:type="dxa"/>
            <w:vAlign w:val="bottom"/>
          </w:tcPr>
          <w:p>
            <w:pPr>
              <w:spacing w:after="0"/>
              <w:rPr>
                <w:sz w:val="24"/>
                <w:szCs w:val="24"/>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25</w:t>
            </w:r>
          </w:p>
        </w:tc>
      </w:tr>
      <w:tr>
        <w:trPr>
          <w:trHeight w:val="20"/>
        </w:trPr>
        <w:tc>
          <w:tcPr>
            <w:tcW w:w="2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39"/>
        </w:trPr>
        <w:tc>
          <w:tcPr>
            <w:tcW w:w="260" w:type="dxa"/>
            <w:vAlign w:val="bottom"/>
          </w:tcPr>
          <w:p>
            <w:pPr>
              <w:spacing w:after="0"/>
              <w:rPr>
                <w:sz w:val="24"/>
                <w:szCs w:val="24"/>
                <w:color w:val="auto"/>
              </w:rPr>
            </w:pPr>
          </w:p>
        </w:tc>
        <w:tc>
          <w:tcPr>
            <w:tcW w:w="5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Risks.</w:t>
            </w:r>
          </w:p>
        </w:tc>
        <w:tc>
          <w:tcPr>
            <w:tcW w:w="2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r>
      <w:tr>
        <w:trPr>
          <w:trHeight w:val="20"/>
        </w:trPr>
        <w:tc>
          <w:tcPr>
            <w:tcW w:w="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39"/>
        </w:trPr>
        <w:tc>
          <w:tcPr>
            <w:tcW w:w="2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4.</w:t>
            </w:r>
          </w:p>
        </w:tc>
        <w:tc>
          <w:tcPr>
            <w:tcW w:w="18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660" w:type="dxa"/>
            <w:vAlign w:val="bottom"/>
            <w:gridSpan w:val="2"/>
          </w:tcPr>
          <w:p>
            <w:pPr>
              <w:spacing w:after="0"/>
              <w:rPr>
                <w:sz w:val="24"/>
                <w:szCs w:val="24"/>
                <w:color w:val="auto"/>
              </w:rPr>
            </w:pPr>
          </w:p>
        </w:tc>
        <w:tc>
          <w:tcPr>
            <w:tcW w:w="5100" w:type="dxa"/>
            <w:vAlign w:val="bottom"/>
            <w:gridSpan w:val="2"/>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r>
      <w:tr>
        <w:trPr>
          <w:trHeight w:val="20"/>
        </w:trPr>
        <w:tc>
          <w:tcPr>
            <w:tcW w:w="2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79"/>
        </w:trPr>
        <w:tc>
          <w:tcPr>
            <w:tcW w:w="10400" w:type="dxa"/>
            <w:vAlign w:val="bottom"/>
            <w:gridSpan w:val="12"/>
          </w:tcPr>
          <w:p>
            <w:pPr>
              <w:ind w:left="20"/>
              <w:spacing w:after="0"/>
              <w:rPr>
                <w:sz w:val="20"/>
                <w:szCs w:val="20"/>
                <w:color w:val="auto"/>
              </w:rPr>
            </w:pPr>
            <w:r>
              <w:rPr>
                <w:rFonts w:ascii="Times New Roman" w:cs="Times New Roman" w:eastAsia="Times New Roman" w:hAnsi="Times New Roman"/>
                <w:sz w:val="18"/>
                <w:szCs w:val="18"/>
                <w:b w:val="1"/>
                <w:bCs w:val="1"/>
                <w:color w:val="auto"/>
              </w:rPr>
              <w:t>PART II—OTHER INFORMATION</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8"/>
        </w:trPr>
        <w:tc>
          <w:tcPr>
            <w:tcW w:w="2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1.</w:t>
            </w:r>
          </w:p>
        </w:tc>
        <w:tc>
          <w:tcPr>
            <w:tcW w:w="96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r>
      <w:tr>
        <w:trPr>
          <w:trHeight w:val="20"/>
        </w:trPr>
        <w:tc>
          <w:tcPr>
            <w:tcW w:w="2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291"/>
        </w:trPr>
        <w:tc>
          <w:tcPr>
            <w:tcW w:w="260" w:type="dxa"/>
            <w:vAlign w:val="bottom"/>
          </w:tcPr>
          <w:p>
            <w:pPr>
              <w:spacing w:after="0"/>
              <w:rPr>
                <w:sz w:val="24"/>
                <w:szCs w:val="24"/>
                <w:color w:val="auto"/>
              </w:rPr>
            </w:pPr>
          </w:p>
        </w:tc>
        <w:tc>
          <w:tcPr>
            <w:tcW w:w="19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200" w:type="dxa"/>
            <w:vAlign w:val="bottom"/>
            <w:gridSpan w:val="6"/>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r>
      <w:tr>
        <w:trPr>
          <w:trHeight w:val="20"/>
        </w:trPr>
        <w:tc>
          <w:tcPr>
            <w:tcW w:w="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39"/>
        </w:trPr>
        <w:tc>
          <w:tcPr>
            <w:tcW w:w="2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2.</w:t>
            </w:r>
          </w:p>
        </w:tc>
        <w:tc>
          <w:tcPr>
            <w:tcW w:w="44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180" w:type="dxa"/>
            <w:vAlign w:val="bottom"/>
            <w:gridSpan w:val="3"/>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r>
      <w:tr>
        <w:trPr>
          <w:trHeight w:val="20"/>
        </w:trPr>
        <w:tc>
          <w:tcPr>
            <w:tcW w:w="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39"/>
        </w:trPr>
        <w:tc>
          <w:tcPr>
            <w:tcW w:w="2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6.</w:t>
            </w:r>
          </w:p>
        </w:tc>
        <w:tc>
          <w:tcPr>
            <w:tcW w:w="44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5180" w:type="dxa"/>
            <w:vAlign w:val="bottom"/>
            <w:gridSpan w:val="3"/>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r>
      <w:tr>
        <w:trPr>
          <w:trHeight w:val="20"/>
        </w:trPr>
        <w:tc>
          <w:tcPr>
            <w:tcW w:w="2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940" w:type="dxa"/>
            <w:vAlign w:val="bottom"/>
            <w:gridSpan w:val="8"/>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439"/>
        </w:trPr>
        <w:tc>
          <w:tcPr>
            <w:tcW w:w="26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940" w:type="dxa"/>
            <w:vAlign w:val="bottom"/>
            <w:gridSpan w:val="8"/>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r>
      <w:tr>
        <w:trPr>
          <w:trHeight w:val="925"/>
        </w:trPr>
        <w:tc>
          <w:tcPr>
            <w:tcW w:w="26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80" w:type="dxa"/>
            <w:vAlign w:val="bottom"/>
            <w:gridSpan w:val="8"/>
          </w:tcPr>
          <w:p>
            <w:pPr>
              <w:jc w:val="right"/>
              <w:ind w:right="1640"/>
              <w:spacing w:after="0"/>
              <w:rPr>
                <w:sz w:val="20"/>
                <w:szCs w:val="20"/>
                <w:color w:val="auto"/>
              </w:rPr>
            </w:pPr>
            <w:r>
              <w:rPr>
                <w:rFonts w:ascii="Times New Roman" w:cs="Times New Roman" w:eastAsia="Times New Roman" w:hAnsi="Times New Roman"/>
                <w:sz w:val="18"/>
                <w:szCs w:val="18"/>
                <w:color w:val="auto"/>
              </w:rPr>
              <w:t>1</w:t>
            </w: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21" w:lineRule="exact"/>
        <w:rPr>
          <w:sz w:val="20"/>
          <w:szCs w:val="20"/>
          <w:color w:val="auto"/>
        </w:rPr>
      </w:pPr>
    </w:p>
    <w:p>
      <w:pPr>
        <w:ind w:right="120" w:firstLine="243"/>
        <w:spacing w:after="0" w:line="281" w:lineRule="auto"/>
        <w:rPr>
          <w:sz w:val="20"/>
          <w:szCs w:val="20"/>
          <w:color w:val="auto"/>
        </w:rPr>
      </w:pPr>
      <w:r>
        <w:rPr>
          <w:rFonts w:ascii="Times New Roman" w:cs="Times New Roman" w:eastAsia="Times New Roman" w:hAnsi="Times New Roman"/>
          <w:sz w:val="18"/>
          <w:szCs w:val="18"/>
          <w:color w:val="auto"/>
        </w:rPr>
        <w:t>The interim financial information required by this item is set forth in the unaudited Condensed Consolidated Financial Statements and Notes thereto in this Quarterly Report on Form 10-Q, as follows:</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385"/>
        </w:trPr>
        <w:tc>
          <w:tcPr>
            <w:tcW w:w="3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610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80" w:type="dxa"/>
            <w:vAlign w:val="bottom"/>
          </w:tcPr>
          <w:p>
            <w:pPr>
              <w:spacing w:after="0"/>
              <w:rPr>
                <w:sz w:val="24"/>
                <w:szCs w:val="24"/>
                <w:color w:val="auto"/>
              </w:rPr>
            </w:pPr>
          </w:p>
        </w:tc>
      </w:tr>
      <w:tr>
        <w:trPr>
          <w:trHeight w:val="223"/>
        </w:trPr>
        <w:tc>
          <w:tcPr>
            <w:tcW w:w="6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and Comprehensive Income (unaudited)</w:t>
            </w:r>
          </w:p>
        </w:tc>
        <w:tc>
          <w:tcPr>
            <w:tcW w:w="3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80" w:type="dxa"/>
            <w:vAlign w:val="bottom"/>
          </w:tcPr>
          <w:p>
            <w:pPr>
              <w:spacing w:after="0"/>
              <w:rPr>
                <w:sz w:val="19"/>
                <w:szCs w:val="19"/>
                <w:color w:val="auto"/>
              </w:rPr>
            </w:pPr>
          </w:p>
        </w:tc>
      </w:tr>
      <w:tr>
        <w:trPr>
          <w:trHeight w:val="223"/>
        </w:trPr>
        <w:tc>
          <w:tcPr>
            <w:tcW w:w="4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5320" w:type="dxa"/>
            <w:vAlign w:val="bottom"/>
            <w:gridSpan w:val="3"/>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80" w:type="dxa"/>
            <w:vAlign w:val="bottom"/>
          </w:tcPr>
          <w:p>
            <w:pPr>
              <w:spacing w:after="0"/>
              <w:rPr>
                <w:sz w:val="19"/>
                <w:szCs w:val="19"/>
                <w:color w:val="auto"/>
              </w:rPr>
            </w:pPr>
          </w:p>
        </w:tc>
      </w:tr>
      <w:tr>
        <w:trPr>
          <w:trHeight w:val="223"/>
        </w:trPr>
        <w:tc>
          <w:tcPr>
            <w:tcW w:w="4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Equity (unaudited)</w:t>
            </w:r>
          </w:p>
        </w:tc>
        <w:tc>
          <w:tcPr>
            <w:tcW w:w="5680" w:type="dxa"/>
            <w:vAlign w:val="bottom"/>
            <w:gridSpan w:val="4"/>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80" w:type="dxa"/>
            <w:vAlign w:val="bottom"/>
          </w:tcPr>
          <w:p>
            <w:pPr>
              <w:spacing w:after="0"/>
              <w:rPr>
                <w:sz w:val="19"/>
                <w:szCs w:val="19"/>
                <w:color w:val="auto"/>
              </w:rPr>
            </w:pPr>
          </w:p>
        </w:tc>
      </w:tr>
      <w:tr>
        <w:trPr>
          <w:trHeight w:val="223"/>
        </w:trPr>
        <w:tc>
          <w:tcPr>
            <w:tcW w:w="4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504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260" w:type="dxa"/>
            <w:vAlign w:val="bottom"/>
            <w:vMerge w:val="restart"/>
          </w:tcPr>
          <w:p>
            <w:pPr>
              <w:ind w:left="39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4"/>
                <w:szCs w:val="14"/>
                <w:color w:val="auto"/>
              </w:rPr>
            </w:pPr>
          </w:p>
        </w:tc>
        <w:tc>
          <w:tcPr>
            <w:tcW w:w="136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151"/>
              <w:spacing w:after="0" w:line="17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Trade accounts receivable, net of allowance for expected credit losses of $84.5 and $63.6 in 2026 and 2025,</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4,069.6</w:t>
            </w:r>
          </w:p>
        </w:tc>
        <w:tc>
          <w:tcPr>
            <w:tcW w:w="0" w:type="dxa"/>
            <w:vAlign w:val="bottom"/>
          </w:tcPr>
          <w:p>
            <w:pPr>
              <w:spacing w:after="0"/>
              <w:rPr>
                <w:sz w:val="1"/>
                <w:szCs w:val="1"/>
                <w:color w:val="auto"/>
              </w:rPr>
            </w:pPr>
          </w:p>
        </w:tc>
      </w:tr>
      <w:tr>
        <w:trPr>
          <w:trHeight w:val="24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4,008.8</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0" w:type="dxa"/>
            <w:vAlign w:val="bottom"/>
          </w:tcPr>
          <w:p>
            <w:pPr>
              <w:spacing w:after="0"/>
              <w:rPr>
                <w:sz w:val="1"/>
                <w:szCs w:val="1"/>
                <w:color w:val="auto"/>
              </w:rPr>
            </w:pPr>
          </w:p>
        </w:tc>
      </w:tr>
      <w:tr>
        <w:trPr>
          <w:trHeight w:val="237"/>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9,456.2</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Property, buildings and equipment, net of accumulated depreciation of $695.1 and $626.1 in 2026 and 2025,</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0" w:type="dxa"/>
            <w:vAlign w:val="bottom"/>
          </w:tcPr>
          <w:p>
            <w:pPr>
              <w:spacing w:after="0"/>
              <w:rPr>
                <w:sz w:val="1"/>
                <w:szCs w:val="1"/>
                <w:color w:val="auto"/>
              </w:rPr>
            </w:pPr>
          </w:p>
        </w:tc>
      </w:tr>
      <w:tr>
        <w:trPr>
          <w:trHeight w:val="243"/>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3,343.4</w:t>
            </w:r>
          </w:p>
        </w:tc>
        <w:tc>
          <w:tcPr>
            <w:tcW w:w="0" w:type="dxa"/>
            <w:vAlign w:val="bottom"/>
          </w:tcPr>
          <w:p>
            <w:pPr>
              <w:spacing w:after="0"/>
              <w:rPr>
                <w:sz w:val="1"/>
                <w:szCs w:val="1"/>
                <w:color w:val="auto"/>
              </w:rPr>
            </w:pPr>
          </w:p>
        </w:tc>
      </w:tr>
      <w:tr>
        <w:trPr>
          <w:trHeight w:val="243"/>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0" w:type="dxa"/>
            <w:vAlign w:val="bottom"/>
          </w:tcPr>
          <w:p>
            <w:pPr>
              <w:spacing w:after="0"/>
              <w:rPr>
                <w:sz w:val="1"/>
                <w:szCs w:val="1"/>
                <w:color w:val="auto"/>
              </w:rPr>
            </w:pPr>
          </w:p>
        </w:tc>
      </w:tr>
      <w:tr>
        <w:trPr>
          <w:trHeight w:val="237"/>
        </w:trPr>
        <w:tc>
          <w:tcPr>
            <w:tcW w:w="8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18,774.8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16,494.9</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shd w:val="clear" w:color="auto" w:fill="CCEEFF"/>
          </w:tcPr>
          <w:p>
            <w:pPr>
              <w:ind w:left="330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3,030.5</w:t>
            </w:r>
          </w:p>
        </w:tc>
        <w:tc>
          <w:tcPr>
            <w:tcW w:w="0" w:type="dxa"/>
            <w:vAlign w:val="bottom"/>
          </w:tcPr>
          <w:p>
            <w:pPr>
              <w:spacing w:after="0"/>
              <w:rPr>
                <w:sz w:val="1"/>
                <w:szCs w:val="1"/>
                <w:color w:val="auto"/>
              </w:rPr>
            </w:pPr>
          </w:p>
        </w:tc>
      </w:tr>
      <w:tr>
        <w:trPr>
          <w:trHeight w:val="24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payroll and benefit costs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0" w:type="dxa"/>
            <w:vAlign w:val="bottom"/>
          </w:tcPr>
          <w:p>
            <w:pPr>
              <w:spacing w:after="0"/>
              <w:rPr>
                <w:sz w:val="1"/>
                <w:szCs w:val="1"/>
                <w:color w:val="auto"/>
              </w:rPr>
            </w:pPr>
          </w:p>
        </w:tc>
      </w:tr>
      <w:tr>
        <w:trPr>
          <w:trHeight w:val="237"/>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4,296.8</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debt discount and debt issuance costs of $50.6 and $48.0 in 2026 and 2025, respectively</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5,756.4</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r>
        <w:trPr>
          <w:trHeight w:val="237"/>
        </w:trPr>
        <w:tc>
          <w:tcPr>
            <w:tcW w:w="8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13,342.0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11,468.5</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$.01 par value; 20,000,000 shares authorized, no shares issued or outstanding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82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Common stock, $.01 par value; 210,000,000 shares authorized, 70,364,027 and 70,004,866 shares issued and</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48,669,487 and 48,658,333 shares outstanding in 2026 and 2025, respectively</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Class B nonvoting convertible common stock, $.01 par value; 20,000,000 shares authorized, 4,339,431 issued</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and no shares outstanding in 2026 and 2025, respectively</w:t>
            </w: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capital</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5,513.4</w:t>
            </w:r>
          </w:p>
        </w:tc>
        <w:tc>
          <w:tcPr>
            <w:tcW w:w="0" w:type="dxa"/>
            <w:vAlign w:val="bottom"/>
          </w:tcPr>
          <w:p>
            <w:pPr>
              <w:spacing w:after="0"/>
              <w:rPr>
                <w:sz w:val="1"/>
                <w:szCs w:val="1"/>
                <w:color w:val="auto"/>
              </w:rPr>
            </w:pPr>
          </w:p>
        </w:tc>
      </w:tr>
      <w:tr>
        <w:trPr>
          <w:trHeight w:val="24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26,033,971 and 25,685,964 shares in 2026 and 2025, respectively</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(1,590.3)</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37"/>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WESCO International, Inc. equity</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5,031.6</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5,432.8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0" w:type="dxa"/>
            <w:vAlign w:val="bottom"/>
          </w:tcPr>
          <w:p>
            <w:pPr>
              <w:spacing w:after="0"/>
              <w:rPr>
                <w:sz w:val="1"/>
                <w:szCs w:val="1"/>
                <w:color w:val="auto"/>
              </w:rPr>
            </w:pPr>
          </w:p>
        </w:tc>
      </w:tr>
      <w:tr>
        <w:trPr>
          <w:trHeight w:val="261"/>
        </w:trPr>
        <w:tc>
          <w:tcPr>
            <w:tcW w:w="82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16,494.9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8"/>
                <w:szCs w:val="18"/>
                <w:color w:val="auto"/>
              </w:rPr>
            </w:pPr>
          </w:p>
        </w:tc>
        <w:tc>
          <w:tcPr>
            <w:tcW w:w="2180" w:type="dxa"/>
            <w:vAlign w:val="bottom"/>
            <w:gridSpan w:val="4"/>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32"/>
        </w:trPr>
        <w:tc>
          <w:tcPr>
            <w:tcW w:w="6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20"/>
                <w:szCs w:val="20"/>
                <w:color w:val="auto"/>
              </w:rPr>
            </w:pPr>
          </w:p>
        </w:tc>
        <w:tc>
          <w:tcPr>
            <w:tcW w:w="2180" w:type="dxa"/>
            <w:vAlign w:val="bottom"/>
            <w:gridSpan w:val="4"/>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3"/>
        </w:trPr>
        <w:tc>
          <w:tcPr>
            <w:tcW w:w="6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19,971.6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17,442.4</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15,658.0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13,756.7</w:t>
            </w:r>
          </w:p>
        </w:tc>
      </w:tr>
      <w:tr>
        <w:trPr>
          <w:trHeight w:val="2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2,631.4</w:t>
            </w:r>
          </w:p>
        </w:tc>
      </w:tr>
      <w:tr>
        <w:trPr>
          <w:trHeight w:val="24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37"/>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r>
      <w:tr>
        <w:trPr>
          <w:trHeight w:val="2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7"/>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w:t>
            </w:r>
          </w:p>
        </w:tc>
      </w:tr>
      <w:tr>
        <w:trPr>
          <w:trHeight w:val="2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r>
      <w:tr>
        <w:trPr>
          <w:trHeight w:val="23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r>
      <w:tr>
        <w:trPr>
          <w:trHeight w:val="2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WESCO International, Inc.</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w:t>
            </w:r>
          </w:p>
        </w:tc>
      </w:tr>
      <w:tr>
        <w:trPr>
          <w:trHeight w:val="2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Gain on redemption of Series A Preferred Stock</w:t>
            </w: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37"/>
        </w:trPr>
        <w:tc>
          <w:tcPr>
            <w:tcW w:w="6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w:t>
            </w:r>
          </w:p>
        </w:tc>
      </w:tr>
      <w:tr>
        <w:trPr>
          <w:trHeight w:val="270"/>
        </w:trPr>
        <w:tc>
          <w:tcPr>
            <w:tcW w:w="6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attributable to common stockholders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43"/>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70"/>
        </w:trPr>
        <w:tc>
          <w:tcPr>
            <w:tcW w:w="6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and other</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43"/>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Post-retirement benefit plan adjustments, net of tax</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6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3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Gain on redemption of Series A Preferred Stock</w:t>
            </w: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61"/>
        </w:trPr>
        <w:tc>
          <w:tcPr>
            <w:tcW w:w="62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Comprehensive income attributable to common stockholders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8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Cloud computing arrangement amortization</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0" w:type="dxa"/>
            <w:vAlign w:val="bottom"/>
          </w:tcPr>
          <w:p>
            <w:pPr>
              <w:spacing w:after="0"/>
              <w:rPr>
                <w:sz w:val="1"/>
                <w:szCs w:val="1"/>
                <w:color w:val="auto"/>
              </w:rPr>
            </w:pPr>
          </w:p>
        </w:tc>
      </w:tr>
      <w:tr>
        <w:trPr>
          <w:trHeight w:val="243"/>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0" w:type="dxa"/>
            <w:vAlign w:val="bottom"/>
          </w:tcPr>
          <w:p>
            <w:pPr>
              <w:spacing w:after="0"/>
              <w:rPr>
                <w:sz w:val="1"/>
                <w:szCs w:val="1"/>
                <w:color w:val="auto"/>
              </w:rPr>
            </w:pPr>
          </w:p>
        </w:tc>
      </w:tr>
      <w:tr>
        <w:trPr>
          <w:trHeight w:val="243"/>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0" w:type="dxa"/>
            <w:vAlign w:val="bottom"/>
          </w:tcPr>
          <w:p>
            <w:pPr>
              <w:spacing w:after="0"/>
              <w:rPr>
                <w:sz w:val="1"/>
                <w:szCs w:val="1"/>
                <w:color w:val="auto"/>
              </w:rPr>
            </w:pPr>
          </w:p>
        </w:tc>
      </w:tr>
      <w:tr>
        <w:trPr>
          <w:trHeight w:val="243"/>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payroll and benefit costs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7"/>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payments, net of cash acquired</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(repayments of) proceeds from short-term debt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5,073.7</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(7,305.8)</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(4,399.1)</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for taxes related to net-share settlement of equity awards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of preferred stock</w:t>
            </w:r>
          </w:p>
        </w:tc>
        <w:tc>
          <w:tcPr>
            <w:tcW w:w="3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common stock dividends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preferred stock dividends</w:t>
            </w:r>
          </w:p>
        </w:tc>
        <w:tc>
          <w:tcPr>
            <w:tcW w:w="3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6"/>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0" w:type="dxa"/>
            <w:vAlign w:val="bottom"/>
          </w:tcPr>
          <w:p>
            <w:pPr>
              <w:spacing w:after="0"/>
              <w:rPr>
                <w:sz w:val="1"/>
                <w:szCs w:val="1"/>
                <w:color w:val="auto"/>
              </w:rPr>
            </w:pPr>
          </w:p>
        </w:tc>
      </w:tr>
      <w:tr>
        <w:trPr>
          <w:trHeight w:val="26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lease liabilities: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ectPr>
          <w:pgSz w:w="11900" w:h="16838" w:orient="portrait"/>
          <w:cols w:equalWidth="0" w:num="1">
            <w:col w:w="11220"/>
          </w:cols>
          <w:pgMar w:left="320" w:top="117" w:right="35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2"/>
                <w:szCs w:val="12"/>
                <w:color w:val="auto"/>
              </w:rPr>
            </w:pPr>
          </w:p>
        </w:tc>
        <w:tc>
          <w:tcPr>
            <w:tcW w:w="1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vMerge w:val="restart"/>
          </w:tcPr>
          <w:p>
            <w:pPr>
              <w:spacing w:after="0"/>
              <w:rPr>
                <w:sz w:val="12"/>
                <w:szCs w:val="12"/>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54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vMerge w:val="restart"/>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160" w:type="dxa"/>
            <w:vAlign w:val="bottom"/>
            <w:tcBorders>
              <w:bottom w:val="single" w:sz="8" w:color="auto"/>
            </w:tcBorders>
            <w:gridSpan w:val="3"/>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54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08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8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8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70,004,866</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4,339,431</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1,507.3</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5,513.4</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(1,590.3)</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(25,685,964)</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w:t>
            </w: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$ 5,026.4</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Exercise of stock-</w:t>
            </w:r>
          </w:p>
        </w:tc>
        <w:tc>
          <w:tcPr>
            <w:tcW w:w="140" w:type="dxa"/>
            <w:vAlign w:val="bottom"/>
          </w:tcPr>
          <w:p>
            <w:pPr>
              <w:spacing w:after="0"/>
              <w:rPr>
                <w:sz w:val="13"/>
                <w:szCs w:val="13"/>
                <w:color w:val="auto"/>
              </w:rPr>
            </w:pP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210,916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(24,295)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3"/>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based awards</w:t>
            </w: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Stock-based</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compensation</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expense</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Repurchases of</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including excise</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(92,657)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88"/>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28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Tax withholding</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related to</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vesting of</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units and</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retirement of</w:t>
            </w: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(53,762)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center"/>
              <w:ind w:left="44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3"/>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attributable to</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WESCO</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International,</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153.8</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93"/>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Translation</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adjustments and</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28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Balance, March</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70,162,020</w:t>
            </w:r>
          </w:p>
        </w:tc>
        <w:tc>
          <w:tcPr>
            <w:tcW w:w="8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4,339,431</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1,515.3</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5,635.8</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(1,622.6)</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(25,802,916)</w:t>
            </w:r>
          </w:p>
        </w:tc>
        <w:tc>
          <w:tcPr>
            <w:tcW w:w="8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center"/>
              <w:ind w:left="428"/>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(426.4)</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$ 5,097.9</w:t>
            </w:r>
          </w:p>
        </w:tc>
        <w:tc>
          <w:tcPr>
            <w:tcW w:w="0" w:type="dxa"/>
            <w:vAlign w:val="bottom"/>
          </w:tcPr>
          <w:p>
            <w:pPr>
              <w:spacing w:after="0"/>
              <w:rPr>
                <w:sz w:val="1"/>
                <w:szCs w:val="1"/>
                <w:color w:val="auto"/>
              </w:rPr>
            </w:pPr>
          </w:p>
        </w:tc>
      </w:tr>
      <w:tr>
        <w:trPr>
          <w:trHeight w:val="195"/>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31, 2026</w:t>
            </w:r>
          </w:p>
        </w:tc>
        <w:tc>
          <w:tcPr>
            <w:tcW w:w="14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280" w:type="dxa"/>
            <w:vAlign w:val="bottom"/>
            <w:tcBorders>
              <w:top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Exercise of stock-</w:t>
            </w:r>
          </w:p>
        </w:tc>
        <w:tc>
          <w:tcPr>
            <w:tcW w:w="1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187,102</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(79,542)</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based awards</w:t>
            </w: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Stock-based</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compensation</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95"/>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8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Repurchases of</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including excise</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(72,228)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Tax withholding</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related to</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vesting of</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units and</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retirement of</w:t>
            </w:r>
          </w:p>
        </w:tc>
        <w:tc>
          <w:tcPr>
            <w:tcW w:w="140" w:type="dxa"/>
            <w:vAlign w:val="bottom"/>
          </w:tcPr>
          <w:p>
            <w:pPr>
              <w:spacing w:after="0"/>
              <w:rPr>
                <w:sz w:val="12"/>
                <w:szCs w:val="12"/>
                <w:color w:val="auto"/>
              </w:rPr>
            </w:pP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8"/>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28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attributable to</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WESCO</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International,</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209.0</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0" w:type="dxa"/>
            <w:vAlign w:val="bottom"/>
          </w:tcPr>
          <w:p>
            <w:pPr>
              <w:spacing w:after="0"/>
              <w:rPr>
                <w:sz w:val="1"/>
                <w:szCs w:val="1"/>
                <w:color w:val="auto"/>
              </w:rPr>
            </w:pPr>
          </w:p>
        </w:tc>
      </w:tr>
      <w:tr>
        <w:trPr>
          <w:trHeight w:val="193"/>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Dividends to</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center"/>
              <w:ind w:left="428"/>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5"/>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8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Translation</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adjustments and</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28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Balance, June 30,</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70,348,011</w:t>
            </w:r>
          </w:p>
        </w:tc>
        <w:tc>
          <w:tcPr>
            <w:tcW w:w="8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4,339,431</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1,536.3</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5,820.3</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(1,675.8)</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(25,954,686)</w:t>
            </w:r>
          </w:p>
        </w:tc>
        <w:tc>
          <w:tcPr>
            <w:tcW w:w="8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center"/>
              <w:ind w:left="428"/>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(461.7)</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$ 5,212.6</w:t>
            </w:r>
          </w:p>
        </w:tc>
        <w:tc>
          <w:tcPr>
            <w:tcW w:w="0" w:type="dxa"/>
            <w:vAlign w:val="bottom"/>
          </w:tcPr>
          <w:p>
            <w:pPr>
              <w:spacing w:after="0"/>
              <w:rPr>
                <w:sz w:val="1"/>
                <w:szCs w:val="1"/>
                <w:color w:val="auto"/>
              </w:rPr>
            </w:pPr>
          </w:p>
        </w:tc>
      </w:tr>
      <w:tr>
        <w:trPr>
          <w:trHeight w:val="195"/>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280" w:type="dxa"/>
            <w:vAlign w:val="bottom"/>
            <w:tcBorders>
              <w:top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Exercise of stock-</w:t>
            </w:r>
          </w:p>
        </w:tc>
        <w:tc>
          <w:tcPr>
            <w:tcW w:w="1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17,933</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(6,118)</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based awards</w:t>
            </w: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Stock-based</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compensation</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95"/>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8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Repurchases of</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including excise</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(73,167)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Tax withholding</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related to</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vesting of</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units and</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retirement of</w:t>
            </w:r>
          </w:p>
        </w:tc>
        <w:tc>
          <w:tcPr>
            <w:tcW w:w="140" w:type="dxa"/>
            <w:vAlign w:val="bottom"/>
          </w:tcPr>
          <w:p>
            <w:pPr>
              <w:spacing w:after="0"/>
              <w:rPr>
                <w:sz w:val="12"/>
                <w:szCs w:val="12"/>
                <w:color w:val="auto"/>
              </w:rPr>
            </w:pP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8"/>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28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attributable to</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WESCO</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International,</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267.8</w:t>
            </w: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267.8</w:t>
            </w:r>
          </w:p>
        </w:tc>
        <w:tc>
          <w:tcPr>
            <w:tcW w:w="0" w:type="dxa"/>
            <w:vAlign w:val="bottom"/>
          </w:tcPr>
          <w:p>
            <w:pPr>
              <w:spacing w:after="0"/>
              <w:rPr>
                <w:sz w:val="1"/>
                <w:szCs w:val="1"/>
                <w:color w:val="auto"/>
              </w:rPr>
            </w:pPr>
          </w:p>
        </w:tc>
      </w:tr>
      <w:tr>
        <w:trPr>
          <w:trHeight w:val="193"/>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Common stock</w:t>
            </w: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Translation</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adjustments and</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28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8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0.7  70,364,027</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4,339,431</w:t>
            </w:r>
          </w:p>
        </w:tc>
        <w:tc>
          <w:tcPr>
            <w:tcW w:w="80" w:type="dxa"/>
            <w:vAlign w:val="bottom"/>
            <w:vMerge w:val="restart"/>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4"/>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  1,557.2</w:t>
            </w: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$ 6,063.5</w:t>
            </w:r>
          </w:p>
        </w:tc>
        <w:tc>
          <w:tcPr>
            <w:tcW w:w="8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(1,703.2)  (26,033,971)</w:t>
            </w: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(478.9)</w:t>
            </w: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$ 5,432.8</w:t>
            </w: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300" w:type="dxa"/>
            <w:vAlign w:val="bottom"/>
            <w:gridSpan w:val="4"/>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 w:right="339" w:bottom="1440" w:gutter="0" w:footer="0" w:header="0"/>
        </w:sectPr>
      </w:pPr>
    </w:p>
    <w:bookmarkStart w:id="8" w:name="page9"/>
    <w:bookmarkEnd w:id="8"/>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900" w:orient="portrait"/>
          <w:cols w:equalWidth="0" w:num="1">
            <w:col w:w="11240"/>
          </w:cols>
          <w:pgMar w:left="320" w:top="11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p>
      <w:pPr>
        <w:spacing w:after="0" w:line="6" w:lineRule="exact"/>
        <w:rPr>
          <w:sz w:val="20"/>
          <w:szCs w:val="20"/>
          <w:color w:val="auto"/>
        </w:rPr>
      </w:pPr>
    </w:p>
    <w:p>
      <w:pPr>
        <w:ind w:left="20" w:right="260"/>
        <w:spacing w:after="0" w:line="229" w:lineRule="auto"/>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8" w:lineRule="exact"/>
        <w:rPr>
          <w:sz w:val="20"/>
          <w:szCs w:val="20"/>
          <w:color w:val="auto"/>
        </w:rPr>
      </w:pPr>
    </w:p>
    <w:p>
      <w:pPr>
        <w:ind w:left="180" w:right="60" w:hanging="161"/>
        <w:spacing w:after="0" w:line="261" w:lineRule="auto"/>
        <w:rPr>
          <w:sz w:val="20"/>
          <w:szCs w:val="20"/>
          <w:color w:val="auto"/>
        </w:rPr>
      </w:pPr>
      <w:r>
        <w:rPr>
          <w:rFonts w:ascii="Times New Roman" w:cs="Times New Roman" w:eastAsia="Times New Roman" w:hAnsi="Times New Roman"/>
          <w:sz w:val="14"/>
          <w:szCs w:val="14"/>
          <w:color w:val="auto"/>
        </w:rPr>
        <w:t>Exercise of stock-based awards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w:t>
      </w:r>
    </w:p>
    <w:p>
      <w:pPr>
        <w:spacing w:after="0" w:line="4" w:lineRule="exact"/>
        <w:rPr>
          <w:sz w:val="20"/>
          <w:szCs w:val="20"/>
          <w:color w:val="auto"/>
        </w:rPr>
      </w:pPr>
    </w:p>
    <w:p>
      <w:pPr>
        <w:ind w:left="180" w:right="140"/>
        <w:spacing w:after="0" w:line="229" w:lineRule="auto"/>
        <w:rPr>
          <w:sz w:val="20"/>
          <w:szCs w:val="20"/>
          <w:color w:val="auto"/>
        </w:rPr>
      </w:pPr>
      <w:r>
        <w:rPr>
          <w:rFonts w:ascii="Times New Roman" w:cs="Times New Roman" w:eastAsia="Times New Roman" w:hAnsi="Times New Roman"/>
          <w:sz w:val="14"/>
          <w:szCs w:val="14"/>
          <w:color w:val="auto"/>
        </w:rPr>
        <w:t>compensation expense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Repurchases of</w:t>
      </w:r>
    </w:p>
    <w:p>
      <w:pPr>
        <w:spacing w:after="0" w:line="4" w:lineRule="exact"/>
        <w:rPr>
          <w:sz w:val="20"/>
          <w:szCs w:val="20"/>
          <w:color w:val="auto"/>
        </w:rPr>
      </w:pPr>
    </w:p>
    <w:p>
      <w:pPr>
        <w:ind w:left="180"/>
        <w:spacing w:after="0" w:line="211" w:lineRule="auto"/>
        <w:rPr>
          <w:sz w:val="20"/>
          <w:szCs w:val="20"/>
          <w:color w:val="auto"/>
        </w:rPr>
      </w:pPr>
      <w:r>
        <w:rPr>
          <w:rFonts w:ascii="Times New Roman" w:cs="Times New Roman" w:eastAsia="Times New Roman" w:hAnsi="Times New Roman"/>
          <w:sz w:val="14"/>
          <w:szCs w:val="14"/>
          <w:color w:val="auto"/>
        </w:rPr>
        <w:t>common stock, including excise</w:t>
      </w:r>
    </w:p>
    <w:p>
      <w:pPr>
        <w:ind w:left="180"/>
        <w:spacing w:after="0"/>
        <w:rPr>
          <w:sz w:val="20"/>
          <w:szCs w:val="20"/>
          <w:color w:val="auto"/>
        </w:rPr>
      </w:pPr>
      <w:r>
        <w:rPr>
          <w:rFonts w:ascii="Times New Roman" w:cs="Times New Roman" w:eastAsia="Times New Roman" w:hAnsi="Times New Roman"/>
          <w:sz w:val="14"/>
          <w:szCs w:val="14"/>
          <w:color w:val="auto"/>
        </w:rPr>
        <w:t>taxes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Tax withholding</w:t>
      </w:r>
    </w:p>
    <w:p>
      <w:pPr>
        <w:ind w:left="180"/>
        <w:spacing w:after="0" w:line="206" w:lineRule="auto"/>
        <w:rPr>
          <w:sz w:val="20"/>
          <w:szCs w:val="20"/>
          <w:color w:val="auto"/>
        </w:rPr>
      </w:pPr>
      <w:r>
        <w:rPr>
          <w:rFonts w:ascii="Times New Roman" w:cs="Times New Roman" w:eastAsia="Times New Roman" w:hAnsi="Times New Roman"/>
          <w:sz w:val="14"/>
          <w:szCs w:val="14"/>
          <w:color w:val="auto"/>
        </w:rPr>
        <w:t>related to</w:t>
      </w:r>
    </w:p>
    <w:p>
      <w:pPr>
        <w:ind w:left="180"/>
        <w:spacing w:after="0" w:line="221" w:lineRule="auto"/>
        <w:rPr>
          <w:sz w:val="20"/>
          <w:szCs w:val="20"/>
          <w:color w:val="auto"/>
        </w:rPr>
      </w:pPr>
      <w:r>
        <w:rPr>
          <w:rFonts w:ascii="Times New Roman" w:cs="Times New Roman" w:eastAsia="Times New Roman" w:hAnsi="Times New Roman"/>
          <w:sz w:val="14"/>
          <w:szCs w:val="14"/>
          <w:color w:val="auto"/>
        </w:rPr>
        <w:t>vesting of</w:t>
      </w:r>
    </w:p>
    <w:p>
      <w:pPr>
        <w:ind w:left="180"/>
        <w:spacing w:after="0" w:line="222" w:lineRule="auto"/>
        <w:rPr>
          <w:sz w:val="20"/>
          <w:szCs w:val="20"/>
          <w:color w:val="auto"/>
        </w:rPr>
      </w:pPr>
      <w:r>
        <w:rPr>
          <w:rFonts w:ascii="Times New Roman" w:cs="Times New Roman" w:eastAsia="Times New Roman" w:hAnsi="Times New Roman"/>
          <w:sz w:val="14"/>
          <w:szCs w:val="14"/>
          <w:color w:val="auto"/>
        </w:rPr>
        <w:t>restricted stock</w:t>
      </w:r>
    </w:p>
    <w:p>
      <w:pPr>
        <w:ind w:left="180" w:right="180"/>
        <w:spacing w:after="0" w:line="211" w:lineRule="auto"/>
        <w:rPr>
          <w:sz w:val="20"/>
          <w:szCs w:val="20"/>
          <w:color w:val="auto"/>
        </w:rPr>
      </w:pPr>
      <w:r>
        <w:rPr>
          <w:rFonts w:ascii="Times New Roman" w:cs="Times New Roman" w:eastAsia="Times New Roman" w:hAnsi="Times New Roman"/>
          <w:sz w:val="14"/>
          <w:szCs w:val="14"/>
          <w:color w:val="auto"/>
        </w:rPr>
        <w:t>units and retirement of</w:t>
      </w:r>
    </w:p>
    <w:p>
      <w:pPr>
        <w:ind w:left="180"/>
        <w:spacing w:after="0"/>
        <w:rPr>
          <w:sz w:val="20"/>
          <w:szCs w:val="20"/>
          <w:color w:val="auto"/>
        </w:rPr>
      </w:pPr>
      <w:r>
        <w:rPr>
          <w:rFonts w:ascii="Times New Roman" w:cs="Times New Roman" w:eastAsia="Times New Roman" w:hAnsi="Times New Roman"/>
          <w:sz w:val="14"/>
          <w:szCs w:val="14"/>
          <w:color w:val="auto"/>
        </w:rPr>
        <w:t>common stock</w:t>
      </w:r>
    </w:p>
    <w:p>
      <w:pPr>
        <w:spacing w:after="0" w:line="39" w:lineRule="exact"/>
        <w:rPr>
          <w:sz w:val="20"/>
          <w:szCs w:val="20"/>
          <w:color w:val="auto"/>
        </w:rPr>
      </w:pPr>
    </w:p>
    <w:p>
      <w:pPr>
        <w:ind w:left="180" w:right="220" w:hanging="161"/>
        <w:spacing w:after="0" w:line="261" w:lineRule="auto"/>
        <w:rPr>
          <w:sz w:val="20"/>
          <w:szCs w:val="20"/>
          <w:color w:val="auto"/>
        </w:rPr>
      </w:pPr>
      <w:r>
        <w:rPr>
          <w:rFonts w:ascii="Times New Roman" w:cs="Times New Roman" w:eastAsia="Times New Roman" w:hAnsi="Times New Roman"/>
          <w:sz w:val="14"/>
          <w:szCs w:val="14"/>
          <w:color w:val="auto"/>
        </w:rPr>
        <w:t>Noncontrolling interests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w:t>
      </w:r>
    </w:p>
    <w:p>
      <w:pPr>
        <w:ind w:left="180"/>
        <w:spacing w:after="0" w:line="206" w:lineRule="auto"/>
        <w:rPr>
          <w:sz w:val="20"/>
          <w:szCs w:val="20"/>
          <w:color w:val="auto"/>
        </w:rPr>
      </w:pPr>
      <w:r>
        <w:rPr>
          <w:rFonts w:ascii="Times New Roman" w:cs="Times New Roman" w:eastAsia="Times New Roman" w:hAnsi="Times New Roman"/>
          <w:sz w:val="14"/>
          <w:szCs w:val="14"/>
          <w:color w:val="auto"/>
        </w:rPr>
        <w:t>attributable to</w:t>
      </w:r>
    </w:p>
    <w:p>
      <w:pPr>
        <w:ind w:left="180" w:right="160"/>
        <w:spacing w:after="0" w:line="233" w:lineRule="auto"/>
        <w:rPr>
          <w:sz w:val="20"/>
          <w:szCs w:val="20"/>
          <w:color w:val="auto"/>
        </w:rPr>
      </w:pPr>
      <w:r>
        <w:rPr>
          <w:rFonts w:ascii="Times New Roman" w:cs="Times New Roman" w:eastAsia="Times New Roman" w:hAnsi="Times New Roman"/>
          <w:sz w:val="14"/>
          <w:szCs w:val="14"/>
          <w:color w:val="auto"/>
        </w:rPr>
        <w:t>WESCO International, Inc.</w:t>
      </w:r>
    </w:p>
    <w:p>
      <w:pPr>
        <w:spacing w:after="0" w:line="1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Common stock</w:t>
      </w:r>
    </w:p>
    <w:p>
      <w:pPr>
        <w:spacing w:after="0" w:line="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dividends</w:t>
      </w:r>
    </w:p>
    <w:p>
      <w:pPr>
        <w:spacing w:after="0" w:line="2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Preferred stock</w:t>
      </w:r>
    </w:p>
    <w:p>
      <w:pPr>
        <w:spacing w:after="0" w:line="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dividends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Translation</w:t>
      </w:r>
    </w:p>
    <w:p>
      <w:pPr>
        <w:spacing w:after="0" w:line="4" w:lineRule="exact"/>
        <w:rPr>
          <w:sz w:val="20"/>
          <w:szCs w:val="20"/>
          <w:color w:val="auto"/>
        </w:rPr>
      </w:pPr>
    </w:p>
    <w:p>
      <w:pPr>
        <w:ind w:left="180"/>
        <w:spacing w:after="0" w:line="229" w:lineRule="auto"/>
        <w:rPr>
          <w:sz w:val="20"/>
          <w:szCs w:val="20"/>
          <w:color w:val="auto"/>
        </w:rPr>
      </w:pPr>
      <w:r>
        <w:rPr>
          <w:rFonts w:ascii="Times New Roman" w:cs="Times New Roman" w:eastAsia="Times New Roman" w:hAnsi="Times New Roman"/>
          <w:sz w:val="14"/>
          <w:szCs w:val="14"/>
          <w:color w:val="auto"/>
        </w:rPr>
        <w:t>adjustments and other</w:t>
      </w:r>
    </w:p>
    <w:p>
      <w:pPr>
        <w:spacing w:after="0" w:line="26" w:lineRule="exact"/>
        <w:rPr>
          <w:sz w:val="20"/>
          <w:szCs w:val="20"/>
          <w:color w:val="auto"/>
        </w:rPr>
      </w:pPr>
    </w:p>
    <w:p>
      <w:pPr>
        <w:ind w:left="20" w:right="120"/>
        <w:spacing w:after="0" w:line="263" w:lineRule="auto"/>
        <w:rPr>
          <w:sz w:val="20"/>
          <w:szCs w:val="20"/>
          <w:color w:val="auto"/>
        </w:rPr>
      </w:pPr>
      <w:r>
        <w:rPr>
          <w:rFonts w:ascii="Times New Roman" w:cs="Times New Roman" w:eastAsia="Times New Roman" w:hAnsi="Times New Roman"/>
          <w:sz w:val="14"/>
          <w:szCs w:val="14"/>
          <w:b w:val="1"/>
          <w:bCs w:val="1"/>
          <w:color w:val="auto"/>
        </w:rPr>
        <w:t>Balance, March 31, 2025</w:t>
      </w:r>
    </w:p>
    <w:p>
      <w:pPr>
        <w:ind w:left="180" w:right="60" w:hanging="161"/>
        <w:spacing w:after="0" w:line="261" w:lineRule="auto"/>
        <w:rPr>
          <w:sz w:val="20"/>
          <w:szCs w:val="20"/>
          <w:color w:val="auto"/>
        </w:rPr>
      </w:pPr>
      <w:r>
        <w:rPr>
          <w:rFonts w:ascii="Times New Roman" w:cs="Times New Roman" w:eastAsia="Times New Roman" w:hAnsi="Times New Roman"/>
          <w:sz w:val="14"/>
          <w:szCs w:val="14"/>
          <w:color w:val="auto"/>
        </w:rPr>
        <w:t>Exercise of stock-based awards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w:t>
      </w:r>
    </w:p>
    <w:p>
      <w:pPr>
        <w:spacing w:after="0" w:line="4" w:lineRule="exact"/>
        <w:rPr>
          <w:sz w:val="20"/>
          <w:szCs w:val="20"/>
          <w:color w:val="auto"/>
        </w:rPr>
      </w:pPr>
    </w:p>
    <w:p>
      <w:pPr>
        <w:ind w:left="180" w:right="140"/>
        <w:spacing w:after="0" w:line="229" w:lineRule="auto"/>
        <w:rPr>
          <w:sz w:val="20"/>
          <w:szCs w:val="20"/>
          <w:color w:val="auto"/>
        </w:rPr>
      </w:pPr>
      <w:r>
        <w:rPr>
          <w:rFonts w:ascii="Times New Roman" w:cs="Times New Roman" w:eastAsia="Times New Roman" w:hAnsi="Times New Roman"/>
          <w:sz w:val="14"/>
          <w:szCs w:val="14"/>
          <w:color w:val="auto"/>
        </w:rPr>
        <w:t>compensation expense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Repurchases of</w:t>
      </w:r>
    </w:p>
    <w:p>
      <w:pPr>
        <w:spacing w:after="0" w:line="4" w:lineRule="exact"/>
        <w:rPr>
          <w:sz w:val="20"/>
          <w:szCs w:val="20"/>
          <w:color w:val="auto"/>
        </w:rPr>
      </w:pPr>
    </w:p>
    <w:p>
      <w:pPr>
        <w:ind w:left="180"/>
        <w:spacing w:after="0" w:line="211" w:lineRule="auto"/>
        <w:rPr>
          <w:sz w:val="20"/>
          <w:szCs w:val="20"/>
          <w:color w:val="auto"/>
        </w:rPr>
      </w:pPr>
      <w:r>
        <w:rPr>
          <w:rFonts w:ascii="Times New Roman" w:cs="Times New Roman" w:eastAsia="Times New Roman" w:hAnsi="Times New Roman"/>
          <w:sz w:val="14"/>
          <w:szCs w:val="14"/>
          <w:color w:val="auto"/>
        </w:rPr>
        <w:t>common stock, including excise</w:t>
      </w:r>
    </w:p>
    <w:p>
      <w:pPr>
        <w:ind w:left="180"/>
        <w:spacing w:after="0"/>
        <w:rPr>
          <w:sz w:val="20"/>
          <w:szCs w:val="20"/>
          <w:color w:val="auto"/>
        </w:rPr>
      </w:pPr>
      <w:r>
        <w:rPr>
          <w:rFonts w:ascii="Times New Roman" w:cs="Times New Roman" w:eastAsia="Times New Roman" w:hAnsi="Times New Roman"/>
          <w:sz w:val="14"/>
          <w:szCs w:val="14"/>
          <w:color w:val="auto"/>
        </w:rPr>
        <w:t>taxes</w:t>
      </w:r>
    </w:p>
    <w:p>
      <w:pPr>
        <w:spacing w:after="0" w:line="39" w:lineRule="exact"/>
        <w:rPr>
          <w:sz w:val="20"/>
          <w:szCs w:val="20"/>
          <w:color w:val="auto"/>
        </w:rPr>
      </w:pPr>
    </w:p>
    <w:p>
      <w:pPr>
        <w:ind w:left="180" w:right="60" w:hanging="161"/>
        <w:spacing w:after="0" w:line="261" w:lineRule="auto"/>
        <w:rPr>
          <w:sz w:val="20"/>
          <w:szCs w:val="20"/>
          <w:color w:val="auto"/>
        </w:rPr>
      </w:pPr>
      <w:r>
        <w:rPr>
          <w:rFonts w:ascii="Times New Roman" w:cs="Times New Roman" w:eastAsia="Times New Roman" w:hAnsi="Times New Roman"/>
          <w:sz w:val="14"/>
          <w:szCs w:val="14"/>
          <w:color w:val="auto"/>
        </w:rPr>
        <w:t>Redemption of preferred stock</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Tax withholding</w:t>
      </w:r>
    </w:p>
    <w:p>
      <w:pPr>
        <w:ind w:left="180"/>
        <w:spacing w:after="0" w:line="206" w:lineRule="auto"/>
        <w:rPr>
          <w:sz w:val="20"/>
          <w:szCs w:val="20"/>
          <w:color w:val="auto"/>
        </w:rPr>
      </w:pPr>
      <w:r>
        <w:rPr>
          <w:rFonts w:ascii="Times New Roman" w:cs="Times New Roman" w:eastAsia="Times New Roman" w:hAnsi="Times New Roman"/>
          <w:sz w:val="14"/>
          <w:szCs w:val="14"/>
          <w:color w:val="auto"/>
        </w:rPr>
        <w:t>related to</w:t>
      </w:r>
    </w:p>
    <w:p>
      <w:pPr>
        <w:ind w:left="180"/>
        <w:spacing w:after="0" w:line="221" w:lineRule="auto"/>
        <w:rPr>
          <w:sz w:val="20"/>
          <w:szCs w:val="20"/>
          <w:color w:val="auto"/>
        </w:rPr>
      </w:pPr>
      <w:r>
        <w:rPr>
          <w:rFonts w:ascii="Times New Roman" w:cs="Times New Roman" w:eastAsia="Times New Roman" w:hAnsi="Times New Roman"/>
          <w:sz w:val="14"/>
          <w:szCs w:val="14"/>
          <w:color w:val="auto"/>
        </w:rPr>
        <w:t>vesting of</w:t>
      </w:r>
    </w:p>
    <w:p>
      <w:pPr>
        <w:ind w:left="180"/>
        <w:spacing w:after="0" w:line="222" w:lineRule="auto"/>
        <w:rPr>
          <w:sz w:val="20"/>
          <w:szCs w:val="20"/>
          <w:color w:val="auto"/>
        </w:rPr>
      </w:pPr>
      <w:r>
        <w:rPr>
          <w:rFonts w:ascii="Times New Roman" w:cs="Times New Roman" w:eastAsia="Times New Roman" w:hAnsi="Times New Roman"/>
          <w:sz w:val="14"/>
          <w:szCs w:val="14"/>
          <w:color w:val="auto"/>
        </w:rPr>
        <w:t>restricted stock</w:t>
      </w:r>
    </w:p>
    <w:p>
      <w:pPr>
        <w:ind w:left="180" w:right="180"/>
        <w:spacing w:after="0" w:line="211" w:lineRule="auto"/>
        <w:rPr>
          <w:sz w:val="20"/>
          <w:szCs w:val="20"/>
          <w:color w:val="auto"/>
        </w:rPr>
      </w:pPr>
      <w:r>
        <w:rPr>
          <w:rFonts w:ascii="Times New Roman" w:cs="Times New Roman" w:eastAsia="Times New Roman" w:hAnsi="Times New Roman"/>
          <w:sz w:val="14"/>
          <w:szCs w:val="14"/>
          <w:color w:val="auto"/>
        </w:rPr>
        <w:t>units and retirement of</w:t>
      </w:r>
    </w:p>
    <w:p>
      <w:pPr>
        <w:ind w:left="180"/>
        <w:spacing w:after="0"/>
        <w:rPr>
          <w:sz w:val="20"/>
          <w:szCs w:val="20"/>
          <w:color w:val="auto"/>
        </w:rPr>
      </w:pPr>
      <w:r>
        <w:rPr>
          <w:rFonts w:ascii="Times New Roman" w:cs="Times New Roman" w:eastAsia="Times New Roman" w:hAnsi="Times New Roman"/>
          <w:sz w:val="14"/>
          <w:szCs w:val="14"/>
          <w:color w:val="auto"/>
        </w:rPr>
        <w:t>common stock</w:t>
      </w:r>
    </w:p>
    <w:p>
      <w:pPr>
        <w:spacing w:after="0" w:line="39" w:lineRule="exact"/>
        <w:rPr>
          <w:sz w:val="20"/>
          <w:szCs w:val="20"/>
          <w:color w:val="auto"/>
        </w:rPr>
      </w:pPr>
    </w:p>
    <w:p>
      <w:pPr>
        <w:ind w:left="180" w:right="220" w:hanging="161"/>
        <w:spacing w:after="0" w:line="261" w:lineRule="auto"/>
        <w:rPr>
          <w:sz w:val="20"/>
          <w:szCs w:val="20"/>
          <w:color w:val="auto"/>
        </w:rPr>
      </w:pPr>
      <w:r>
        <w:rPr>
          <w:rFonts w:ascii="Times New Roman" w:cs="Times New Roman" w:eastAsia="Times New Roman" w:hAnsi="Times New Roman"/>
          <w:sz w:val="14"/>
          <w:szCs w:val="14"/>
          <w:color w:val="auto"/>
        </w:rPr>
        <w:t>Noncontrolling interests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w:t>
      </w:r>
    </w:p>
    <w:p>
      <w:pPr>
        <w:ind w:left="180"/>
        <w:spacing w:after="0" w:line="206" w:lineRule="auto"/>
        <w:rPr>
          <w:sz w:val="20"/>
          <w:szCs w:val="20"/>
          <w:color w:val="auto"/>
        </w:rPr>
      </w:pPr>
      <w:r>
        <w:rPr>
          <w:rFonts w:ascii="Times New Roman" w:cs="Times New Roman" w:eastAsia="Times New Roman" w:hAnsi="Times New Roman"/>
          <w:sz w:val="14"/>
          <w:szCs w:val="14"/>
          <w:color w:val="auto"/>
        </w:rPr>
        <w:t>attributable to</w:t>
      </w:r>
    </w:p>
    <w:p>
      <w:pPr>
        <w:ind w:left="180" w:right="160"/>
        <w:spacing w:after="0" w:line="233" w:lineRule="auto"/>
        <w:rPr>
          <w:sz w:val="20"/>
          <w:szCs w:val="20"/>
          <w:color w:val="auto"/>
        </w:rPr>
      </w:pPr>
      <w:r>
        <w:rPr>
          <w:rFonts w:ascii="Times New Roman" w:cs="Times New Roman" w:eastAsia="Times New Roman" w:hAnsi="Times New Roman"/>
          <w:sz w:val="14"/>
          <w:szCs w:val="14"/>
          <w:color w:val="auto"/>
        </w:rPr>
        <w:t>WESCO International, Inc.</w:t>
      </w:r>
    </w:p>
    <w:p>
      <w:pPr>
        <w:spacing w:after="0" w:line="1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Common stock</w:t>
      </w:r>
    </w:p>
    <w:p>
      <w:pPr>
        <w:spacing w:after="0" w:line="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dividends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Gain on</w:t>
      </w:r>
    </w:p>
    <w:p>
      <w:pPr>
        <w:spacing w:after="0" w:line="4" w:lineRule="exact"/>
        <w:rPr>
          <w:sz w:val="20"/>
          <w:szCs w:val="20"/>
          <w:color w:val="auto"/>
        </w:rPr>
      </w:pPr>
    </w:p>
    <w:p>
      <w:pPr>
        <w:ind w:left="180" w:right="60"/>
        <w:spacing w:after="0" w:line="229" w:lineRule="auto"/>
        <w:rPr>
          <w:sz w:val="20"/>
          <w:szCs w:val="20"/>
          <w:color w:val="auto"/>
        </w:rPr>
      </w:pPr>
      <w:r>
        <w:rPr>
          <w:rFonts w:ascii="Times New Roman" w:cs="Times New Roman" w:eastAsia="Times New Roman" w:hAnsi="Times New Roman"/>
          <w:sz w:val="14"/>
          <w:szCs w:val="14"/>
          <w:color w:val="auto"/>
        </w:rPr>
        <w:t>redemption of preferred stock</w:t>
      </w:r>
    </w:p>
    <w:p>
      <w:pPr>
        <w:spacing w:after="0" w:line="2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Preferred stock</w:t>
      </w:r>
    </w:p>
    <w:p>
      <w:pPr>
        <w:spacing w:after="0" w:line="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dividends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Dividends to</w:t>
      </w:r>
    </w:p>
    <w:p>
      <w:pPr>
        <w:spacing w:after="0" w:line="4" w:lineRule="exact"/>
        <w:rPr>
          <w:sz w:val="20"/>
          <w:szCs w:val="20"/>
          <w:color w:val="auto"/>
        </w:rPr>
      </w:pPr>
    </w:p>
    <w:p>
      <w:pPr>
        <w:ind w:left="180" w:right="80"/>
        <w:spacing w:after="0" w:line="229" w:lineRule="auto"/>
        <w:rPr>
          <w:sz w:val="20"/>
          <w:szCs w:val="20"/>
          <w:color w:val="auto"/>
        </w:rPr>
      </w:pPr>
      <w:r>
        <w:rPr>
          <w:rFonts w:ascii="Times New Roman" w:cs="Times New Roman" w:eastAsia="Times New Roman" w:hAnsi="Times New Roman"/>
          <w:sz w:val="14"/>
          <w:szCs w:val="14"/>
          <w:color w:val="auto"/>
        </w:rPr>
        <w:t>noncontrolling interests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Translation</w:t>
      </w:r>
    </w:p>
    <w:p>
      <w:pPr>
        <w:spacing w:after="0" w:line="4" w:lineRule="exact"/>
        <w:rPr>
          <w:sz w:val="20"/>
          <w:szCs w:val="20"/>
          <w:color w:val="auto"/>
        </w:rPr>
      </w:pPr>
    </w:p>
    <w:p>
      <w:pPr>
        <w:ind w:left="180"/>
        <w:spacing w:after="0" w:line="229" w:lineRule="auto"/>
        <w:rPr>
          <w:sz w:val="20"/>
          <w:szCs w:val="20"/>
          <w:color w:val="auto"/>
        </w:rPr>
      </w:pPr>
      <w:r>
        <w:rPr>
          <w:rFonts w:ascii="Times New Roman" w:cs="Times New Roman" w:eastAsia="Times New Roman" w:hAnsi="Times New Roman"/>
          <w:sz w:val="14"/>
          <w:szCs w:val="14"/>
          <w:color w:val="auto"/>
        </w:rPr>
        <w:t>adjustments and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4"/>
                <w:szCs w:val="14"/>
                <w:color w:val="auto"/>
              </w:rPr>
            </w:pPr>
          </w:p>
        </w:tc>
        <w:tc>
          <w:tcPr>
            <w:tcW w:w="11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11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vMerge w:val="restart"/>
          </w:tcPr>
          <w:p>
            <w:pPr>
              <w:spacing w:after="0"/>
              <w:rPr>
                <w:sz w:val="12"/>
                <w:szCs w:val="12"/>
                <w:color w:val="auto"/>
              </w:rPr>
            </w:pP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54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vMerge w:val="restart"/>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54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080" w:type="dxa"/>
            <w:vAlign w:val="bottom"/>
            <w:gridSpan w:val="3"/>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6"/>
        </w:trPr>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0.7</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69,627,398</w:t>
            </w:r>
          </w:p>
        </w:tc>
        <w:tc>
          <w:tcPr>
            <w:tcW w:w="8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4,339,431</w:t>
            </w:r>
          </w:p>
        </w:tc>
        <w:tc>
          <w:tcPr>
            <w:tcW w:w="8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21,612</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2,051.6</w:t>
            </w:r>
          </w:p>
        </w:tc>
        <w:tc>
          <w:tcPr>
            <w:tcW w:w="80" w:type="dxa"/>
            <w:vAlign w:val="bottom"/>
          </w:tcPr>
          <w:p>
            <w:pPr>
              <w:spacing w:after="0"/>
              <w:rPr>
                <w:sz w:val="24"/>
                <w:szCs w:val="24"/>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$ 4,960.7</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(1,495.1)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(25,176,234)</w:t>
            </w:r>
          </w:p>
        </w:tc>
        <w:tc>
          <w:tcPr>
            <w:tcW w:w="8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(547.2)</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$ 4,965.5</w:t>
            </w:r>
          </w:p>
        </w:tc>
        <w:tc>
          <w:tcPr>
            <w:tcW w:w="0" w:type="dxa"/>
            <w:vAlign w:val="bottom"/>
          </w:tcPr>
          <w:p>
            <w:pPr>
              <w:spacing w:after="0"/>
              <w:rPr>
                <w:sz w:val="1"/>
                <w:szCs w:val="1"/>
                <w:color w:val="auto"/>
              </w:rPr>
            </w:pPr>
          </w:p>
        </w:tc>
      </w:tr>
      <w:tr>
        <w:trPr>
          <w:trHeight w:val="351"/>
        </w:trPr>
        <w:tc>
          <w:tcPr>
            <w:tcW w:w="160" w:type="dxa"/>
            <w:vAlign w:val="bottom"/>
          </w:tcPr>
          <w:p>
            <w:pPr>
              <w:spacing w:after="0"/>
              <w:rPr>
                <w:sz w:val="24"/>
                <w:szCs w:val="24"/>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500"/>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648"/>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(153,228)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080"/>
        </w:trPr>
        <w:tc>
          <w:tcPr>
            <w:tcW w:w="160" w:type="dxa"/>
            <w:vAlign w:val="bottom"/>
          </w:tcPr>
          <w:p>
            <w:pPr>
              <w:spacing w:after="0"/>
              <w:rPr>
                <w:sz w:val="24"/>
                <w:szCs w:val="24"/>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(89,463)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351"/>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783"/>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118.4</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0" w:type="dxa"/>
            <w:vAlign w:val="bottom"/>
          </w:tcPr>
          <w:p>
            <w:pPr>
              <w:spacing w:after="0"/>
              <w:rPr>
                <w:sz w:val="1"/>
                <w:szCs w:val="1"/>
                <w:color w:val="auto"/>
              </w:rPr>
            </w:pPr>
          </w:p>
        </w:tc>
      </w:tr>
      <w:tr>
        <w:trPr>
          <w:trHeight w:val="351"/>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351"/>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499"/>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0.7</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69,795,165</w:t>
            </w:r>
          </w:p>
        </w:tc>
        <w:tc>
          <w:tcPr>
            <w:tcW w:w="8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4,339,431</w:t>
            </w:r>
          </w:p>
        </w:tc>
        <w:tc>
          <w:tcPr>
            <w:tcW w:w="8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21,612</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2,049.5</w:t>
            </w:r>
          </w:p>
        </w:tc>
        <w:tc>
          <w:tcPr>
            <w:tcW w:w="80" w:type="dxa"/>
            <w:vAlign w:val="bottom"/>
          </w:tcPr>
          <w:p>
            <w:pPr>
              <w:spacing w:after="0"/>
              <w:rPr>
                <w:sz w:val="24"/>
                <w:szCs w:val="24"/>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$ 5,037.8</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(1,521.3)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(25,334,515)</w:t>
            </w:r>
          </w:p>
        </w:tc>
        <w:tc>
          <w:tcPr>
            <w:tcW w:w="8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(531.4)</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$ 5,030.1</w:t>
            </w: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160" w:type="dxa"/>
            <w:vAlign w:val="bottom"/>
          </w:tcPr>
          <w:p>
            <w:pPr>
              <w:spacing w:after="0"/>
              <w:rPr>
                <w:sz w:val="24"/>
                <w:szCs w:val="24"/>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00"/>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648"/>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351"/>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(21,612)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(573.3)</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(573.3)</w:t>
            </w:r>
          </w:p>
        </w:tc>
        <w:tc>
          <w:tcPr>
            <w:tcW w:w="0" w:type="dxa"/>
            <w:vAlign w:val="bottom"/>
          </w:tcPr>
          <w:p>
            <w:pPr>
              <w:spacing w:after="0"/>
              <w:rPr>
                <w:sz w:val="1"/>
                <w:szCs w:val="1"/>
                <w:color w:val="auto"/>
              </w:rPr>
            </w:pPr>
          </w:p>
        </w:tc>
      </w:tr>
      <w:tr>
        <w:trPr>
          <w:trHeight w:val="1080"/>
        </w:trPr>
        <w:tc>
          <w:tcPr>
            <w:tcW w:w="160" w:type="dxa"/>
            <w:vAlign w:val="bottom"/>
          </w:tcPr>
          <w:p>
            <w:pPr>
              <w:spacing w:after="0"/>
              <w:rPr>
                <w:sz w:val="24"/>
                <w:szCs w:val="24"/>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351"/>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783"/>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174.5</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0" w:type="dxa"/>
            <w:vAlign w:val="bottom"/>
          </w:tcPr>
          <w:p>
            <w:pPr>
              <w:spacing w:after="0"/>
              <w:rPr>
                <w:sz w:val="1"/>
                <w:szCs w:val="1"/>
                <w:color w:val="auto"/>
              </w:rPr>
            </w:pPr>
          </w:p>
        </w:tc>
      </w:tr>
      <w:tr>
        <w:trPr>
          <w:trHeight w:val="351"/>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500"/>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351"/>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499"/>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499"/>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-7622540</wp:posOffset>
            </wp:positionV>
            <wp:extent cx="7132320"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-7082155</wp:posOffset>
            </wp:positionV>
            <wp:extent cx="7132320"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-6353810</wp:posOffset>
            </wp:positionV>
            <wp:extent cx="7132320" cy="68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85800"/>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-5445125</wp:posOffset>
            </wp:positionV>
            <wp:extent cx="7132320"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97205"/>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-4725035</wp:posOffset>
            </wp:positionV>
            <wp:extent cx="713232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-4184650</wp:posOffset>
            </wp:positionV>
            <wp:extent cx="71323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-3738880</wp:posOffset>
            </wp:positionV>
            <wp:extent cx="7132320" cy="317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-3010535</wp:posOffset>
            </wp:positionV>
            <wp:extent cx="71323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-2101850</wp:posOffset>
            </wp:positionV>
            <wp:extent cx="713232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-1381760</wp:posOffset>
            </wp:positionV>
            <wp:extent cx="713232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-841375</wp:posOffset>
            </wp:positionV>
            <wp:extent cx="7132320"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-301625</wp:posOffset>
            </wp:positionV>
            <wp:extent cx="7132320" cy="316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3" w:lineRule="exact"/>
        <w:rPr>
          <w:sz w:val="20"/>
          <w:szCs w:val="20"/>
          <w:color w:val="auto"/>
        </w:rPr>
      </w:pPr>
    </w:p>
    <w:p>
      <w:pPr>
        <w:sectPr>
          <w:pgSz w:w="11900" w:h="16900" w:orient="portrait"/>
          <w:cols w:equalWidth="0" w:num="2">
            <w:col w:w="1120" w:space="120"/>
            <w:col w:w="10000"/>
          </w:cols>
          <w:pgMar w:left="320" w:top="117" w:right="339" w:bottom="0" w:gutter="0" w:footer="0" w:header="0"/>
          <w:type w:val="continuous"/>
        </w:sectPr>
      </w:pPr>
    </w:p>
    <w:tbl>
      <w:tblPr>
        <w:tblLayout w:type="fixed"/>
        <w:tblInd w:w="0" w:type="dxa"/>
        <w:tblCellMar>
          <w:top w:w="0" w:type="dxa"/>
          <w:left w:w="0" w:type="dxa"/>
          <w:bottom w:w="0" w:type="dxa"/>
          <w:right w:w="0" w:type="dxa"/>
        </w:tblCellMar>
      </w:tblPr>
      <w:tr>
        <w:trPr>
          <w:trHeight w:val="30"/>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w:t>
            </w:r>
          </w:p>
        </w:tc>
        <w:tc>
          <w:tcPr>
            <w:tcW w:w="5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1240" w:type="dxa"/>
            <w:vAlign w:val="bottom"/>
            <w:vMerge w:val="continue"/>
          </w:tcPr>
          <w:p>
            <w:pPr>
              <w:spacing w:after="0"/>
              <w:rPr>
                <w:sz w:val="11"/>
                <w:szCs w:val="11"/>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   0.7</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69,803,944</w:t>
            </w:r>
          </w:p>
        </w:tc>
        <w:tc>
          <w:tcPr>
            <w:tcW w:w="8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   4,339,431</w:t>
            </w:r>
          </w:p>
        </w:tc>
        <w:tc>
          <w:tcPr>
            <w:tcW w:w="80" w:type="dxa"/>
            <w:vAlign w:val="bottom"/>
            <w:vMerge w:val="restart"/>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  1,484.8</w:t>
            </w: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$ 5,205.0</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(1,546.8)</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(25,483,375)</w:t>
            </w:r>
          </w:p>
        </w:tc>
        <w:tc>
          <w:tcPr>
            <w:tcW w:w="80" w:type="dxa"/>
            <w:vAlign w:val="bottom"/>
          </w:tcPr>
          <w:p>
            <w:pPr>
              <w:spacing w:after="0"/>
              <w:rPr>
                <w:sz w:val="11"/>
                <w:szCs w:val="11"/>
                <w:color w:val="auto"/>
              </w:rPr>
            </w:pPr>
          </w:p>
        </w:tc>
        <w:tc>
          <w:tcPr>
            <w:tcW w:w="3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1"/>
                <w:szCs w:val="11"/>
                <w:color w:val="auto"/>
              </w:rPr>
            </w:pPr>
          </w:p>
        </w:tc>
        <w:tc>
          <w:tcPr>
            <w:tcW w:w="3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(381.5)</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$ 4,755.0</w:t>
            </w:r>
          </w:p>
        </w:tc>
        <w:tc>
          <w:tcPr>
            <w:tcW w:w="0" w:type="dxa"/>
            <w:vAlign w:val="bottom"/>
          </w:tcPr>
          <w:p>
            <w:pPr>
              <w:spacing w:after="0"/>
              <w:rPr>
                <w:sz w:val="1"/>
                <w:szCs w:val="1"/>
                <w:color w:val="auto"/>
              </w:rPr>
            </w:pPr>
          </w:p>
        </w:tc>
      </w:tr>
      <w:tr>
        <w:trPr>
          <w:trHeight w:val="195"/>
        </w:trPr>
        <w:tc>
          <w:tcPr>
            <w:tcW w:w="1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340" w:type="dxa"/>
            <w:vAlign w:val="bottom"/>
            <w:gridSpan w:val="4"/>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240" w:type="dxa"/>
            <w:vAlign w:val="bottom"/>
            <w:tcBorders>
              <w:top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Exercise of stock-</w:t>
            </w:r>
          </w:p>
        </w:tc>
        <w:tc>
          <w:tcPr>
            <w:tcW w:w="56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183,832</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vMerge w:val="restart"/>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(78,392)</w:t>
            </w: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98"/>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based awards</w:t>
            </w:r>
          </w:p>
        </w:tc>
        <w:tc>
          <w:tcPr>
            <w:tcW w:w="56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Stock-based</w:t>
            </w: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compensation</w:t>
            </w: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95"/>
        </w:trPr>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expense</w:t>
            </w: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Repurchases of</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including excise</w:t>
            </w: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(119,042)</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53"/>
        </w:trPr>
        <w:tc>
          <w:tcPr>
            <w:tcW w:w="1240" w:type="dxa"/>
            <w:vAlign w:val="bottom"/>
            <w:shd w:val="clear" w:color="auto" w:fill="CCEEFF"/>
          </w:tcPr>
          <w:p>
            <w:pPr>
              <w:ind w:left="180"/>
              <w:spacing w:after="0" w:line="153" w:lineRule="exact"/>
              <w:rPr>
                <w:sz w:val="20"/>
                <w:szCs w:val="20"/>
                <w:color w:val="auto"/>
              </w:rPr>
            </w:pPr>
            <w:r>
              <w:rPr>
                <w:rFonts w:ascii="Times New Roman" w:cs="Times New Roman" w:eastAsia="Times New Roman" w:hAnsi="Times New Roman"/>
                <w:sz w:val="14"/>
                <w:szCs w:val="14"/>
                <w:color w:val="auto"/>
              </w:rPr>
              <w:t>taxes</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17" w:right="339" w:bottom="0" w:gutter="0" w:footer="0" w:header="0"/>
          <w:type w:val="continuous"/>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related to</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vesting of</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units and</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retirement of</w:t>
            </w:r>
          </w:p>
        </w:tc>
        <w:tc>
          <w:tcPr>
            <w:tcW w:w="200" w:type="dxa"/>
            <w:vAlign w:val="bottom"/>
          </w:tcPr>
          <w:p>
            <w:pPr>
              <w:spacing w:after="0"/>
              <w:rPr>
                <w:sz w:val="12"/>
                <w:szCs w:val="12"/>
                <w:color w:val="auto"/>
              </w:rPr>
            </w:pPr>
          </w:p>
        </w:tc>
        <w:tc>
          <w:tcPr>
            <w:tcW w:w="3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2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24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Noncontrolling</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8"/>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interests</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attributable to</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WESCO</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International,</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187.5</w:t>
            </w: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0" w:type="dxa"/>
            <w:vAlign w:val="bottom"/>
          </w:tcPr>
          <w:p>
            <w:pPr>
              <w:spacing w:after="0"/>
              <w:rPr>
                <w:sz w:val="1"/>
                <w:szCs w:val="1"/>
                <w:color w:val="auto"/>
              </w:rPr>
            </w:pPr>
          </w:p>
        </w:tc>
      </w:tr>
      <w:tr>
        <w:trPr>
          <w:trHeight w:val="193"/>
        </w:trPr>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Common stock</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98"/>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Translation</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adjustments and</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196"/>
        </w:trPr>
        <w:tc>
          <w:tcPr>
            <w:tcW w:w="1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2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69,987,578</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4,339,431</w:t>
            </w:r>
          </w:p>
        </w:tc>
        <w:tc>
          <w:tcPr>
            <w:tcW w:w="80" w:type="dxa"/>
            <w:vAlign w:val="bottom"/>
            <w:vMerge w:val="restart"/>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  1,495.5</w:t>
            </w: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$ 5,370.4</w:t>
            </w:r>
          </w:p>
        </w:tc>
        <w:tc>
          <w:tcPr>
            <w:tcW w:w="8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(1,589.6)  (25,680,809)</w:t>
            </w: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(429.2)</w:t>
            </w: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$ 4,841.7</w:t>
            </w: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340" w:type="dxa"/>
            <w:vAlign w:val="bottom"/>
            <w:gridSpan w:val="4"/>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WESCO International, Inc. (“Wesco International”) and its subsidiaries (collectively, “Wesco” or the “Company”), headquartered in Pittsburgh, Pennsylvania, is a leading provider of business-to-business distribution, logistics services and supply chain solutions.</w:t>
      </w:r>
    </w:p>
    <w:p>
      <w:pPr>
        <w:spacing w:after="0" w:line="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has operating segments comprising three strategic business units consisting of Electrical &amp; Electronic Solutions (“EES”), Communications &amp; Security Solutions (“CSS”) and Utility &amp; Broadband Solutions (“UBS”).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Wesco have been prepared in accordance with Rule 10-01 of Regulation S-X of the Securities and Exchange Commission (the “SEC”). The unaudited condensed consolidated financial information should be read in conjunction with the audited Consolidated Financial Statements and Notes thereto included in WESCO International, Inc.’s Annual Report on Form 10-K for the year ended December 31, 2025, as filed with the SEC on February 13, 2026. The Condensed Consolidated Balance Sheet at December 31, 2025 was derived from the audited Consolidated Financial Statements as of that date, but does not include all the disclosures required by accounting principles generally accepted in the United States of America.</w:t>
      </w:r>
    </w:p>
    <w:p>
      <w:pPr>
        <w:spacing w:after="0" w:line="7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Balance Sheet as of September 30, 2026, the unaudited Condensed Consolidated Statements of Income and Comprehensive Income, the unaudited Condensed Consolidated Statements of Equity for the three and nine months ended September 30, 2026 and 2025, and the unaudited Condensed Consolidated Statements of Cash Flows for the nine months ended September 30, 2026 and 2025, respectively, in the opinion of management, have been prepared on the same basis as the audited Consolidated Financial Statements and include all adjustments necessary for the fair statement of the results of the interim periods presented herein. All adjustments reflected in the unaudited condensed consolidated financial information are of a normal recurring nature unless indicated. The results for the interim periods presented herein are not necessarily indicative of the results to be expected for the full year.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17"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is intended to enhance expense disclosures, primarily by requiring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information about certain income statement expense line items on an annual and interim basis. The amendments in this ASU are effective for fiscal years beginning after December 15, 2026 and interim periods within fiscal years beginning after December 15, 2027. The amendments in this ASU should be applied prospectively; however, retrospective application is permitted. Management is currently evaluating the impact that this accounting standard will have on its consolidated financial statements and notes thereto.</w:t>
      </w:r>
    </w:p>
    <w:p>
      <w:pPr>
        <w:spacing w:after="0" w:line="74"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which is intended to modernize and simplify the guidance for capitalizing costs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internal-use software by removing the stage-based approach and aligning the disclosure requirements with those for other long-lived assets. The amendments in this ASU are effective for annual periods beginning after December 15, 2027 and may be applied prospectively, retrospectively, or using a modified prospective approach. Early adoption is permitted. Management is currently evaluating the timing of the adoption of this accounting standard and the impact that it will have on its consolidated financial statements and notes thereto.</w:t>
      </w:r>
    </w:p>
    <w:p>
      <w:pPr>
        <w:spacing w:after="0" w:line="7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Other pronouncements issued by the FASB or other authoritative accounting standards groups with future effective dates are either not applicable or are not expected to be material to Wesco’s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75"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Wesco distributes products and provides services to customers globally in various end markets within its business segments. The segments operate in the United States, Canada and various other countries.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disaggregates Wesco’s Net sales by geography for the periods presented:</w:t>
      </w:r>
    </w:p>
    <w:p>
      <w:pPr>
        <w:spacing w:after="0" w:line="174"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4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360" w:type="dxa"/>
            <w:vAlign w:val="bottom"/>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33"/>
        </w:trPr>
        <w:tc>
          <w:tcPr>
            <w:tcW w:w="4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20"/>
                <w:szCs w:val="20"/>
                <w:color w:val="auto"/>
              </w:rPr>
            </w:pPr>
          </w:p>
        </w:tc>
      </w:tr>
      <w:tr>
        <w:trPr>
          <w:trHeight w:val="223"/>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12,907.6</w:t>
            </w: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2,360.9</w:t>
            </w:r>
          </w:p>
        </w:tc>
      </w:tr>
      <w:tr>
        <w:trPr>
          <w:trHeight w:val="243"/>
        </w:trPr>
        <w:tc>
          <w:tcPr>
            <w:tcW w:w="43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 International</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2,650.3</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2,173.9</w:t>
            </w:r>
          </w:p>
        </w:tc>
      </w:tr>
      <w:tr>
        <w:trPr>
          <w:trHeight w:val="237"/>
        </w:trPr>
        <w:tc>
          <w:tcPr>
            <w:tcW w:w="4300" w:type="dxa"/>
            <w:vAlign w:val="bottom"/>
          </w:tcPr>
          <w:p>
            <w:pPr>
              <w:ind w:left="140"/>
              <w:spacing w:after="0" w:line="236" w:lineRule="exact"/>
              <w:rPr>
                <w:sz w:val="20"/>
                <w:szCs w:val="20"/>
                <w:color w:val="auto"/>
              </w:rPr>
            </w:pPr>
            <w:r>
              <w:rPr>
                <w:rFonts w:ascii="Times New Roman" w:cs="Times New Roman" w:eastAsia="Times New Roman" w:hAnsi="Times New Roman"/>
                <w:sz w:val="18"/>
                <w:szCs w:val="18"/>
                <w:color w:val="auto"/>
              </w:rPr>
              <w:t>Total by geography</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7,226.4</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6,199.1</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19,971.6</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17,442.4</w:t>
            </w: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 individual country's net sales are greater than 10% of total Net sales.</w:t>
      </w:r>
    </w:p>
    <w:p>
      <w:pPr>
        <w:spacing w:after="0" w:line="50"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Wesco attributes revenues from external customers to individual countries on the basis of point of sale.</w:t>
      </w:r>
    </w:p>
    <w:p>
      <w:pPr>
        <w:spacing w:after="0" w:line="8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Due to the terms of certain contractual arrangements, Wesco bills or receives payment from its customers in advance of satisfying the respective performance obligation. Such advance billings or payments are recorded as deferred revenue and recognized as revenue when the performance obligation has been satisfied and control has transferred to the customer, which is generally upon shipment. Revenue associated with these arrangements is generally recognized within a year or less from the date of the advance billing or payment receipt. At September 30, 2026, December 31, 2025 and December 31, 2024, $293.5 million, $151.4 million and $141.8 million, respectively, of deferred revenue was recorded as a component of Other current liabilities in the unaudited Condensed Consolidated Balance Sheets. At September 30, 2026, $151.7 million of deferred revenue was recorded as a component of Other noncurrent liabilities in the unaudited Condensed Consolidated Balance Sheet. The deferred revenue recorded as a component of Other noncurrent liabilities in the Condensed Consolidated Balance Sheets at December 31, 2025 and December 31, 2024 was not material.</w:t>
      </w:r>
    </w:p>
    <w:p>
      <w:pPr>
        <w:spacing w:after="0" w:line="8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 of revenue that was recognized in the periods presented that was included in the deferred revenue balance at the beginning of the period:</w:t>
      </w:r>
    </w:p>
    <w:p>
      <w:pPr>
        <w:spacing w:after="0" w:line="110" w:lineRule="exact"/>
        <w:rPr>
          <w:sz w:val="20"/>
          <w:szCs w:val="20"/>
          <w:color w:val="auto"/>
        </w:rPr>
      </w:pPr>
    </w:p>
    <w:tbl>
      <w:tblPr>
        <w:tblLayout w:type="fixed"/>
        <w:tblInd w:w="1760" w:type="dxa"/>
        <w:tblCellMar>
          <w:top w:w="0" w:type="dxa"/>
          <w:left w:w="0" w:type="dxa"/>
          <w:bottom w:w="0" w:type="dxa"/>
          <w:right w:w="0" w:type="dxa"/>
        </w:tblCellMar>
      </w:tblPr>
      <w:tr>
        <w:trPr>
          <w:trHeight w:val="212"/>
        </w:trPr>
        <w:tc>
          <w:tcPr>
            <w:tcW w:w="2560" w:type="dxa"/>
            <w:vAlign w:val="bottom"/>
          </w:tcPr>
          <w:p>
            <w:pPr>
              <w:spacing w:after="0"/>
              <w:rPr>
                <w:sz w:val="18"/>
                <w:szCs w:val="18"/>
                <w:color w:val="auto"/>
              </w:rPr>
            </w:pPr>
          </w:p>
        </w:tc>
        <w:tc>
          <w:tcPr>
            <w:tcW w:w="2220" w:type="dxa"/>
            <w:vAlign w:val="bottom"/>
            <w:gridSpan w:val="4"/>
          </w:tcPr>
          <w:p>
            <w:pPr>
              <w:jc w:val="center"/>
              <w:ind w:left="33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center"/>
              <w:ind w:left="356"/>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40" w:type="dxa"/>
            <w:vAlign w:val="bottom"/>
          </w:tcPr>
          <w:p>
            <w:pPr>
              <w:spacing w:after="0"/>
              <w:rPr>
                <w:sz w:val="18"/>
                <w:szCs w:val="18"/>
                <w:color w:val="auto"/>
              </w:rPr>
            </w:pPr>
          </w:p>
        </w:tc>
      </w:tr>
      <w:tr>
        <w:trPr>
          <w:trHeight w:val="233"/>
        </w:trPr>
        <w:tc>
          <w:tcPr>
            <w:tcW w:w="25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3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29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Borders>
              <w:bottom w:val="single" w:sz="8" w:color="auto"/>
            </w:tcBorders>
          </w:tcPr>
          <w:p>
            <w:pPr>
              <w:spacing w:after="0"/>
              <w:rPr>
                <w:sz w:val="20"/>
                <w:szCs w:val="20"/>
                <w:color w:val="auto"/>
              </w:rPr>
            </w:pPr>
          </w:p>
        </w:tc>
      </w:tr>
      <w:tr>
        <w:trPr>
          <w:trHeight w:val="223"/>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r>
      <w:tr>
        <w:trPr>
          <w:trHeight w:val="23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r>
    </w:tbl>
    <w:p>
      <w:pPr>
        <w:spacing w:after="0" w:line="18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Wesco’s revenues are adjusted for variable consideration, which includes customer volume rebates, returns and discounts. Wesco measures variable consideration by estimating expected outcomes using analysis and inputs based upon historical data, as well as current and forecasted information. Variable consideration is reviewed by management on a monthly basis and revenue is adjusted as necessary. Variable consideration reduced revenue by approximately $134.8 million and $112.8 million, for the three months ended September 30, 2026 and 2025, respectively, and by approximately $377.6 million and $335.2 million for the nine months ended September 30, 2026 and 2025, respectively. As of September 30, 2026 and December 31, 2025, the Company's estimated product return obligation was $40.1 million and $33.7 million, respectively.</w:t>
      </w:r>
    </w:p>
    <w:p>
      <w:pPr>
        <w:spacing w:after="0" w:line="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Billings to customers for shipping and handling are recognized in Net sales. Wesco has elected to recognize shipping and handling costs as a fulfillment cost. Shipping and handling costs recorded as a component of Selling, general and administrative (“SG&amp;A”) expenses totaled $102.5 million and $90.7 million for the three months ended September 30, 2026 and 2025, respectively, and $286.9 million and $251.1 million for the nine months ended September 30, 2026 and 2025,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Newark Engineering Group</w:t>
      </w:r>
    </w:p>
    <w:p>
      <w:pPr>
        <w:spacing w:after="0" w:line="11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July 1, 2026, the Company acquired 100% of the equity securities of Newark Engineering Group (“Newark”), a Singapore-based provider of engineered cooling solutions and lifecycle services for data centers for total cash consideration of $127.7 million, net of cash acquired. Newark brings specialized expertise in designing, installing and maintaining advanced thermal management systems critical to data center performance and reliability. This acquisition expands the Company's participation in the data center value chain while strengthening the Company's presence across Southeast Asia. The Company funded the purchase price paid at closing with cash on hand as well as borrowings under its revolving credit facility. The assets acquired primarily include a customer relationships intangible asset with an estimated fair value of $65.5 million, which was determined using an income-based valuation approach. In addition, goodwill in the amount of $63.9 million was allocated to the Company’s CSS reportable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the carrying value of goodwill by reportable segment, which correspond to our reporting units, for the period presented:</w:t>
      </w:r>
    </w:p>
    <w:p>
      <w:pPr>
        <w:spacing w:after="0" w:line="104"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EES</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CSS</w:t>
            </w: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UBS</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6"/>
        </w:trPr>
        <w:tc>
          <w:tcPr>
            <w:tcW w:w="4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4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January 1, 2026</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3,343.4</w:t>
            </w:r>
          </w:p>
        </w:tc>
      </w:tr>
      <w:tr>
        <w:trPr>
          <w:trHeight w:val="243"/>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 to goodwill for acquisition</w:t>
            </w:r>
          </w:p>
        </w:tc>
        <w:tc>
          <w:tcPr>
            <w:tcW w:w="102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43"/>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0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7"/>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September 30, 2026</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3,376.0</w:t>
            </w:r>
          </w:p>
        </w:tc>
      </w:tr>
      <w:tr>
        <w:trPr>
          <w:trHeight w:val="20"/>
        </w:trPr>
        <w:tc>
          <w:tcPr>
            <w:tcW w:w="4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intangible assets are as follows:</w:t>
      </w:r>
    </w:p>
    <w:p>
      <w:pPr>
        <w:spacing w:after="0" w:line="174" w:lineRule="exact"/>
        <w:rPr>
          <w:sz w:val="20"/>
          <w:szCs w:val="20"/>
          <w:color w:val="auto"/>
        </w:rPr>
      </w:pPr>
    </w:p>
    <w:tbl>
      <w:tblPr>
        <w:tblLayout w:type="fixed"/>
        <w:tblInd w:w="380" w:type="dxa"/>
        <w:tblCellMar>
          <w:top w:w="0" w:type="dxa"/>
          <w:left w:w="0" w:type="dxa"/>
          <w:bottom w:w="0" w:type="dxa"/>
          <w:right w:w="0" w:type="dxa"/>
        </w:tblCellMar>
      </w:tblPr>
      <w:tr>
        <w:trPr>
          <w:trHeight w:val="215"/>
        </w:trPr>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14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146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2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0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4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Indefinite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9 - 20</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agreements</w:t>
            </w:r>
          </w:p>
        </w:tc>
        <w:tc>
          <w:tcPr>
            <w:tcW w:w="128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2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12</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28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3"/>
        </w:trPr>
        <w:tc>
          <w:tcPr>
            <w:tcW w:w="2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Technology know-how</w:t>
            </w:r>
          </w:p>
        </w:tc>
        <w:tc>
          <w:tcPr>
            <w:tcW w:w="1280" w:type="dxa"/>
            <w:vAlign w:val="bottom"/>
            <w:tcBorders>
              <w:bottom w:val="single" w:sz="8" w:color="CCEEFF"/>
            </w:tcBorders>
          </w:tcPr>
          <w:p>
            <w:pPr>
              <w:jc w:val="center"/>
              <w:ind w:left="12"/>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57"/>
        </w:trPr>
        <w:tc>
          <w:tcPr>
            <w:tcW w:w="20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r>
              <w:rPr>
                <w:rFonts w:ascii="Times New Roman" w:cs="Times New Roman" w:eastAsia="Times New Roman" w:hAnsi="Times New Roman"/>
                <w:sz w:val="18"/>
                <w:szCs w:val="18"/>
                <w:u w:val="single" w:color="auto"/>
                <w:color w:val="auto"/>
              </w:rPr>
              <w:t>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the original cost and related accumulated amortization of fully-amortized intangible assets.</w:t>
      </w:r>
    </w:p>
    <w:p>
      <w:pPr>
        <w:spacing w:after="0" w:line="96"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totaled $22.4 million for the three months ended September 30, 2026 and 2025, and $65.2 million and $66.9 million for the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 following table sets forth the remaining estimated amortization expense for intangible assets for the next five years and thereafter:</w:t>
      </w:r>
    </w:p>
    <w:p>
      <w:pPr>
        <w:sectPr>
          <w:pgSz w:w="11900" w:h="16838" w:orient="portrait"/>
          <w:cols w:equalWidth="0" w:num="1">
            <w:col w:w="11240"/>
          </w:cols>
          <w:pgMar w:left="320" w:top="225" w:right="339" w:bottom="1440" w:gutter="0" w:footer="0" w:header="0"/>
        </w:sectPr>
      </w:pPr>
    </w:p>
    <w:p>
      <w:pPr>
        <w:spacing w:after="0" w:line="18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b w:val="1"/>
          <w:bCs w:val="1"/>
          <w:color w:val="auto"/>
        </w:rPr>
        <w:t>For the 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21590</wp:posOffset>
            </wp:positionV>
            <wp:extent cx="371157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11575" cy="154305"/>
                    </a:xfrm>
                    <a:prstGeom prst="rect">
                      <a:avLst/>
                    </a:prstGeom>
                    <a:noFill/>
                  </pic:spPr>
                </pic:pic>
              </a:graphicData>
            </a:graphic>
          </wp:anchor>
        </w:drawing>
      </w:r>
    </w:p>
    <w:p>
      <w:pPr>
        <w:spacing w:after="0" w:line="2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Remaining 2026</w:t>
      </w:r>
    </w:p>
    <w:p>
      <w:pPr>
        <w:spacing w:after="0" w:line="3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17145</wp:posOffset>
            </wp:positionV>
            <wp:extent cx="371157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11575" cy="154305"/>
                    </a:xfrm>
                    <a:prstGeom prst="rect">
                      <a:avLst/>
                    </a:prstGeom>
                    <a:noFill/>
                  </pic:spPr>
                </pic:pic>
              </a:graphicData>
            </a:graphic>
          </wp:anchor>
        </w:drawing>
      </w:r>
    </w:p>
    <w:p>
      <w:pPr>
        <w:spacing w:after="0" w:line="1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2028</w:t>
      </w:r>
    </w:p>
    <w:p>
      <w:pPr>
        <w:spacing w:after="0" w:line="3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17145</wp:posOffset>
            </wp:positionV>
            <wp:extent cx="371157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11575" cy="154305"/>
                    </a:xfrm>
                    <a:prstGeom prst="rect">
                      <a:avLst/>
                    </a:prstGeom>
                    <a:noFill/>
                  </pic:spPr>
                </pic:pic>
              </a:graphicData>
            </a:graphic>
          </wp:anchor>
        </w:drawing>
      </w:r>
    </w:p>
    <w:p>
      <w:pPr>
        <w:spacing w:after="0" w:line="1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2030</w:t>
      </w:r>
    </w:p>
    <w:p>
      <w:pPr>
        <w:spacing w:after="0" w:line="3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17145</wp:posOffset>
            </wp:positionV>
            <wp:extent cx="3711575"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11575" cy="179705"/>
                    </a:xfrm>
                    <a:prstGeom prst="rect">
                      <a:avLst/>
                    </a:prstGeom>
                    <a:noFill/>
                  </pic:spPr>
                </pic:pic>
              </a:graphicData>
            </a:graphic>
          </wp:anchor>
        </w:drawing>
      </w:r>
    </w:p>
    <w:p>
      <w:pPr>
        <w:spacing w:after="0" w:line="57"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25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61"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22.8</w:t>
      </w:r>
    </w:p>
    <w:p>
      <w:pPr>
        <w:spacing w:after="0" w:line="36" w:lineRule="exact"/>
        <w:rPr>
          <w:sz w:val="20"/>
          <w:szCs w:val="20"/>
          <w:color w:val="auto"/>
        </w:rPr>
      </w:pPr>
    </w:p>
    <w:p>
      <w:pPr>
        <w:jc w:val="right"/>
        <w:ind w:right="2640"/>
        <w:spacing w:after="0"/>
        <w:rPr>
          <w:sz w:val="20"/>
          <w:szCs w:val="20"/>
          <w:color w:val="auto"/>
        </w:rPr>
      </w:pPr>
      <w:r>
        <w:rPr>
          <w:rFonts w:ascii="Times New Roman" w:cs="Times New Roman" w:eastAsia="Times New Roman" w:hAnsi="Times New Roman"/>
          <w:sz w:val="18"/>
          <w:szCs w:val="18"/>
          <w:color w:val="auto"/>
        </w:rPr>
        <w:t>90.4</w:t>
      </w:r>
    </w:p>
    <w:p>
      <w:pPr>
        <w:spacing w:after="0" w:line="36" w:lineRule="exact"/>
        <w:rPr>
          <w:sz w:val="20"/>
          <w:szCs w:val="20"/>
          <w:color w:val="auto"/>
        </w:rPr>
      </w:pPr>
    </w:p>
    <w:p>
      <w:pPr>
        <w:jc w:val="right"/>
        <w:ind w:right="2640"/>
        <w:spacing w:after="0"/>
        <w:rPr>
          <w:sz w:val="20"/>
          <w:szCs w:val="20"/>
          <w:color w:val="auto"/>
        </w:rPr>
      </w:pPr>
      <w:r>
        <w:rPr>
          <w:rFonts w:ascii="Times New Roman" w:cs="Times New Roman" w:eastAsia="Times New Roman" w:hAnsi="Times New Roman"/>
          <w:sz w:val="18"/>
          <w:szCs w:val="18"/>
          <w:color w:val="auto"/>
        </w:rPr>
        <w:t>88.7</w:t>
      </w:r>
    </w:p>
    <w:p>
      <w:pPr>
        <w:spacing w:after="0" w:line="36" w:lineRule="exact"/>
        <w:rPr>
          <w:sz w:val="20"/>
          <w:szCs w:val="20"/>
          <w:color w:val="auto"/>
        </w:rPr>
      </w:pPr>
    </w:p>
    <w:p>
      <w:pPr>
        <w:jc w:val="right"/>
        <w:ind w:right="2640"/>
        <w:spacing w:after="0"/>
        <w:rPr>
          <w:sz w:val="20"/>
          <w:szCs w:val="20"/>
          <w:color w:val="auto"/>
        </w:rPr>
      </w:pPr>
      <w:r>
        <w:rPr>
          <w:rFonts w:ascii="Times New Roman" w:cs="Times New Roman" w:eastAsia="Times New Roman" w:hAnsi="Times New Roman"/>
          <w:sz w:val="18"/>
          <w:szCs w:val="18"/>
          <w:color w:val="auto"/>
        </w:rPr>
        <w:t>87.7</w:t>
      </w:r>
    </w:p>
    <w:p>
      <w:pPr>
        <w:spacing w:after="0" w:line="36" w:lineRule="exact"/>
        <w:rPr>
          <w:sz w:val="20"/>
          <w:szCs w:val="20"/>
          <w:color w:val="auto"/>
        </w:rPr>
      </w:pPr>
    </w:p>
    <w:p>
      <w:pPr>
        <w:jc w:val="right"/>
        <w:ind w:right="2640"/>
        <w:spacing w:after="0"/>
        <w:rPr>
          <w:sz w:val="20"/>
          <w:szCs w:val="20"/>
          <w:color w:val="auto"/>
        </w:rPr>
      </w:pPr>
      <w:r>
        <w:rPr>
          <w:rFonts w:ascii="Times New Roman" w:cs="Times New Roman" w:eastAsia="Times New Roman" w:hAnsi="Times New Roman"/>
          <w:sz w:val="18"/>
          <w:szCs w:val="18"/>
          <w:color w:val="auto"/>
        </w:rPr>
        <w:t>81.5</w:t>
      </w:r>
    </w:p>
    <w:p>
      <w:pPr>
        <w:spacing w:after="0" w:line="36" w:lineRule="exact"/>
        <w:rPr>
          <w:sz w:val="20"/>
          <w:szCs w:val="20"/>
          <w:color w:val="auto"/>
        </w:rPr>
      </w:pPr>
    </w:p>
    <w:p>
      <w:pPr>
        <w:jc w:val="right"/>
        <w:ind w:right="2640"/>
        <w:spacing w:after="0"/>
        <w:rPr>
          <w:sz w:val="20"/>
          <w:szCs w:val="20"/>
          <w:color w:val="auto"/>
        </w:rPr>
      </w:pPr>
      <w:r>
        <w:rPr>
          <w:rFonts w:ascii="Times New Roman" w:cs="Times New Roman" w:eastAsia="Times New Roman" w:hAnsi="Times New Roman"/>
          <w:sz w:val="18"/>
          <w:szCs w:val="18"/>
          <w:color w:val="auto"/>
        </w:rPr>
        <w:t>603.9</w:t>
      </w:r>
    </w:p>
    <w:p>
      <w:pPr>
        <w:spacing w:after="0" w:line="50"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975.0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1448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5680" w:space="720"/>
            <w:col w:w="4840"/>
          </w:cols>
          <w:pgMar w:left="320" w:top="225" w:right="33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2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Wesco’s stock-based compensation awards consist of stock options, stock-settled stock appreciation rights, restricted stock units and performance-based awards. Compensation cost for all stock-based awards is measured at fair value on the date of grant and compensation cost is recognized, net of estimated forfeitures, over the service period for awards expected to vest. The fair value of stock options and stock-settled stock appreciation rights is determined using the Black-Scholes model. The fair value of restricted stock units is determined by the grant-date closing price of Wesco’s common stock. The fair value of performance-based awards with performance conditions is determined by a Monte Carlo simulation as well as the grant-date closing price of Wesco’s common stock. The forfeiture assumption is based on Wesco’s historical participant behavior that is reviewed on at least an annual basis. For stock options and stock-settled stock appreciation rights that are exercised, and for restricted stock units and performance-based awards that vest, shares are issued out of Wesco's outstanding common stock.</w:t>
      </w:r>
    </w:p>
    <w:p>
      <w:pPr>
        <w:spacing w:after="0" w:line="8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Stock options and stock-settled stock appreciation rights vest ratably over a three-year period and terminate on the tenth anniversary of the grant date unless terminated sooner under certain conditions. Restricted stock units awarded under the WESCO International, Inc. 2021 Omnibus Incentive Plan, which was adopted on May 27, 2021, typically vest ratably over a three-year period on each of the first, second and third anniversaries of the grant date. Vesting of performance-based awards is based on a three-year performance period, and the number of shares earned, if any, depends on the attainment of certain performance levels, as described below. Outstanding awards would vest upon the consummation of a change in control transaction, with performance-based awards vesting at the greater of the target level or actual.</w:t>
      </w:r>
    </w:p>
    <w:p>
      <w:pPr>
        <w:spacing w:after="0" w:line="7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2024 performance-based awards are based on two equally weighted performance measures: the three-year average growth rate of Wesco’s net income attributable to common stockholders and the three-year cumulative return on net assets. The 2025 and 2026 performance-based awards are based on two equally weighted performance measures: the growth rate of Wesco’s earnings per share and return on net assets, both of which are measured on an annual basis as well as on a three-year cumulative basis, with each of the three years and the three-year cumulative measurement equally weighted. The 2025 and 2026 performance-based awards also include a relative Total Stockholder Return (“TSR”) modifier that impacts the number of shares earned based on the Company's TSR over the performance period in relation to the TSR of the companies comprising the S&amp;P MidCap 400 Index. These awards are accounted for as awards with performance conditions; compensation cost is recognized over the performance period based upon Wesco’s determination of whether it is probable that the performance targets will be achieved. The fair value of the relative TSR modifier as of each grant date for the 2025 and 2026 awards was measured using a Monte Carlo simulation.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and 2025, Wesco granted the following stock options, restricted stock units, and performance-based awards at the following weighted-average fair values:</w:t>
      </w:r>
    </w:p>
    <w:p>
      <w:pPr>
        <w:spacing w:after="0" w:line="56" w:lineRule="exact"/>
        <w:rPr>
          <w:sz w:val="20"/>
          <w:szCs w:val="20"/>
          <w:color w:val="auto"/>
        </w:rPr>
      </w:pPr>
    </w:p>
    <w:tbl>
      <w:tblPr>
        <w:tblLayout w:type="fixed"/>
        <w:tblInd w:w="380" w:type="dxa"/>
        <w:tblCellMar>
          <w:top w:w="0" w:type="dxa"/>
          <w:left w:w="0" w:type="dxa"/>
          <w:bottom w:w="0" w:type="dxa"/>
          <w:right w:w="0" w:type="dxa"/>
        </w:tblCellMar>
      </w:tblPr>
      <w:tr>
        <w:trPr>
          <w:trHeight w:val="215"/>
        </w:trPr>
        <w:tc>
          <w:tcPr>
            <w:tcW w:w="4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72"/>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4"/>
                <w:szCs w:val="14"/>
                <w:color w:val="auto"/>
              </w:rPr>
            </w:pPr>
          </w:p>
        </w:tc>
        <w:tc>
          <w:tcPr>
            <w:tcW w:w="148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4"/>
                <w:szCs w:val="14"/>
                <w:color w:val="auto"/>
              </w:rPr>
            </w:pPr>
          </w:p>
        </w:tc>
        <w:tc>
          <w:tcPr>
            <w:tcW w:w="150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4"/>
                <w:szCs w:val="14"/>
                <w:color w:val="auto"/>
              </w:rPr>
            </w:pPr>
          </w:p>
        </w:tc>
        <w:tc>
          <w:tcPr>
            <w:tcW w:w="1400" w:type="dxa"/>
            <w:vAlign w:val="bottom"/>
          </w:tcPr>
          <w:p>
            <w:pPr>
              <w:jc w:val="right"/>
              <w:ind w:right="212"/>
              <w:spacing w:after="0" w:line="172"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8"/>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granted</w:t>
            </w: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89,221</w:t>
            </w: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w:t>
            </w:r>
          </w:p>
        </w:tc>
      </w:tr>
      <w:tr>
        <w:trPr>
          <w:trHeight w:val="257"/>
        </w:trPr>
        <w:tc>
          <w:tcPr>
            <w:tcW w:w="4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240,469</w:t>
            </w:r>
          </w:p>
        </w:tc>
      </w:tr>
      <w:tr>
        <w:trPr>
          <w:trHeight w:val="243"/>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181.98</w:t>
            </w:r>
          </w:p>
        </w:tc>
      </w:tr>
      <w:tr>
        <w:trPr>
          <w:trHeight w:val="257"/>
        </w:trPr>
        <w:tc>
          <w:tcPr>
            <w:tcW w:w="4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43"/>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Performance-based awards granted</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77,289</w:t>
            </w: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191.75</w:t>
            </w:r>
          </w:p>
        </w:tc>
      </w:tr>
    </w:tbl>
    <w:p>
      <w:pPr>
        <w:spacing w:after="0" w:line="18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fair values of stock options, as disclosed in the table above, were estimated using the following weighted-average assumptions in the respective periods:</w:t>
      </w:r>
    </w:p>
    <w:p>
      <w:pPr>
        <w:spacing w:after="0" w:line="164" w:lineRule="exact"/>
        <w:rPr>
          <w:sz w:val="20"/>
          <w:szCs w:val="20"/>
          <w:color w:val="auto"/>
        </w:rPr>
      </w:pPr>
    </w:p>
    <w:tbl>
      <w:tblPr>
        <w:tblLayout w:type="fixed"/>
        <w:tblInd w:w="1000" w:type="dxa"/>
        <w:tblCellMar>
          <w:top w:w="0" w:type="dxa"/>
          <w:left w:w="0" w:type="dxa"/>
          <w:bottom w:w="0" w:type="dxa"/>
          <w:right w:w="0" w:type="dxa"/>
        </w:tblCellMar>
      </w:tblPr>
      <w:tr>
        <w:trPr>
          <w:trHeight w:val="215"/>
        </w:trPr>
        <w:tc>
          <w:tcPr>
            <w:tcW w:w="3440" w:type="dxa"/>
            <w:vAlign w:val="bottom"/>
          </w:tcPr>
          <w:p>
            <w:pPr>
              <w:spacing w:after="0"/>
              <w:rPr>
                <w:sz w:val="18"/>
                <w:szCs w:val="18"/>
                <w:color w:val="auto"/>
              </w:rPr>
            </w:pPr>
          </w:p>
        </w:tc>
        <w:tc>
          <w:tcPr>
            <w:tcW w:w="29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3060" w:type="dxa"/>
            <w:vAlign w:val="bottom"/>
            <w:tcBorders>
              <w:bottom w:val="single" w:sz="8" w:color="auto"/>
            </w:tcBorders>
            <w:gridSpan w:val="3"/>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72"/>
        </w:trPr>
        <w:tc>
          <w:tcPr>
            <w:tcW w:w="3440" w:type="dxa"/>
            <w:vAlign w:val="bottom"/>
          </w:tcPr>
          <w:p>
            <w:pPr>
              <w:spacing w:after="0"/>
              <w:rPr>
                <w:sz w:val="14"/>
                <w:szCs w:val="14"/>
                <w:color w:val="auto"/>
              </w:rPr>
            </w:pPr>
          </w:p>
        </w:tc>
        <w:tc>
          <w:tcPr>
            <w:tcW w:w="1580" w:type="dxa"/>
            <w:vAlign w:val="bottom"/>
            <w:gridSpan w:val="2"/>
          </w:tcPr>
          <w:p>
            <w:pPr>
              <w:ind w:left="240"/>
              <w:spacing w:after="0" w:line="17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ind w:left="160"/>
              <w:spacing w:after="0" w:line="17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580" w:type="dxa"/>
            <w:vAlign w:val="bottom"/>
            <w:gridSpan w:val="2"/>
          </w:tcPr>
          <w:p>
            <w:pPr>
              <w:ind w:left="240"/>
              <w:spacing w:after="0" w:line="17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80" w:type="dxa"/>
            <w:vAlign w:val="bottom"/>
          </w:tcPr>
          <w:p>
            <w:pPr>
              <w:jc w:val="right"/>
              <w:ind w:right="173"/>
              <w:spacing w:after="0" w:line="172"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34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8"/>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0.59 %</w:t>
            </w:r>
          </w:p>
        </w:tc>
        <w:tc>
          <w:tcPr>
            <w:tcW w:w="100" w:type="dxa"/>
            <w:vAlign w:val="bottom"/>
          </w:tcPr>
          <w:p>
            <w:pPr>
              <w:spacing w:after="0"/>
              <w:rPr>
                <w:sz w:val="21"/>
                <w:szCs w:val="21"/>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2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risk-free interest rate is based on the U.S. Treasury Daily Yield Curve rate as of the grant date. The expected life is based on historical exercise experience, the expected volatility is based on the volatility of the Company’s daily stock price over the expected life preceding the grant date of the award, and the expected dividend yield is based on the calculated yield on the Company’s common stock at the date of grant using the then current fiscal year projected dividend distribution rate.</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a summary of stock options and related information for the nine months ended September 30, 2026:</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6"/>
                <w:szCs w:val="16"/>
                <w:color w:val="auto"/>
              </w:rPr>
            </w:pPr>
          </w:p>
        </w:tc>
        <w:tc>
          <w:tcPr>
            <w:tcW w:w="1220" w:type="dxa"/>
            <w:vAlign w:val="bottom"/>
            <w:vMerge w:val="restart"/>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4"/>
                <w:szCs w:val="14"/>
                <w:color w:val="auto"/>
              </w:rPr>
            </w:pPr>
          </w:p>
        </w:tc>
        <w:tc>
          <w:tcPr>
            <w:tcW w:w="1220" w:type="dxa"/>
            <w:vAlign w:val="bottom"/>
          </w:tcPr>
          <w:p>
            <w:pPr>
              <w:jc w:val="center"/>
              <w:ind w:right="116"/>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4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7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 (In</w:t>
            </w:r>
          </w:p>
        </w:tc>
        <w:tc>
          <w:tcPr>
            <w:tcW w:w="200" w:type="dxa"/>
            <w:vAlign w:val="bottom"/>
          </w:tcPr>
          <w:p>
            <w:pPr>
              <w:spacing w:after="0"/>
              <w:rPr>
                <w:sz w:val="14"/>
                <w:szCs w:val="14"/>
                <w:color w:val="auto"/>
              </w:rPr>
            </w:pPr>
          </w:p>
        </w:tc>
        <w:tc>
          <w:tcPr>
            <w:tcW w:w="1220" w:type="dxa"/>
            <w:vAlign w:val="bottom"/>
          </w:tcPr>
          <w:p>
            <w:pPr>
              <w:jc w:val="center"/>
              <w:ind w:right="116"/>
              <w:spacing w:after="0" w:line="162"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00" w:type="dxa"/>
            <w:vAlign w:val="bottom"/>
          </w:tcPr>
          <w:p>
            <w:pPr>
              <w:spacing w:after="0"/>
              <w:rPr>
                <w:sz w:val="18"/>
                <w:szCs w:val="18"/>
                <w:color w:val="auto"/>
              </w:rPr>
            </w:pPr>
          </w:p>
        </w:tc>
        <w:tc>
          <w:tcPr>
            <w:tcW w:w="122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38"/>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285,935</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156.62</w:t>
            </w:r>
          </w:p>
        </w:tc>
        <w:tc>
          <w:tcPr>
            <w:tcW w:w="10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297.80</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150.63</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222.29</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2026</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192,677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153.29</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nine months ended September 30, 2026, the aggregate intrinsic value of stock options exercised during such period was $4.6 million.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stock-settled stock appreciation rights and related information for the nine months ended September 30, 2026:</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6"/>
                <w:szCs w:val="16"/>
                <w:color w:val="auto"/>
              </w:rPr>
            </w:pPr>
          </w:p>
        </w:tc>
        <w:tc>
          <w:tcPr>
            <w:tcW w:w="1220" w:type="dxa"/>
            <w:vAlign w:val="bottom"/>
            <w:vMerge w:val="restart"/>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4"/>
                <w:szCs w:val="14"/>
                <w:color w:val="auto"/>
              </w:rPr>
            </w:pPr>
          </w:p>
        </w:tc>
        <w:tc>
          <w:tcPr>
            <w:tcW w:w="1220" w:type="dxa"/>
            <w:vAlign w:val="bottom"/>
          </w:tcPr>
          <w:p>
            <w:pPr>
              <w:jc w:val="center"/>
              <w:ind w:right="116"/>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4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7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 (In</w:t>
            </w:r>
          </w:p>
        </w:tc>
        <w:tc>
          <w:tcPr>
            <w:tcW w:w="200" w:type="dxa"/>
            <w:vAlign w:val="bottom"/>
          </w:tcPr>
          <w:p>
            <w:pPr>
              <w:spacing w:after="0"/>
              <w:rPr>
                <w:sz w:val="14"/>
                <w:szCs w:val="14"/>
                <w:color w:val="auto"/>
              </w:rPr>
            </w:pPr>
          </w:p>
        </w:tc>
        <w:tc>
          <w:tcPr>
            <w:tcW w:w="1220" w:type="dxa"/>
            <w:vAlign w:val="bottom"/>
          </w:tcPr>
          <w:p>
            <w:pPr>
              <w:jc w:val="center"/>
              <w:ind w:right="116"/>
              <w:spacing w:after="0" w:line="162"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00" w:type="dxa"/>
            <w:vAlign w:val="bottom"/>
          </w:tcPr>
          <w:p>
            <w:pPr>
              <w:spacing w:after="0"/>
              <w:rPr>
                <w:sz w:val="18"/>
                <w:szCs w:val="18"/>
                <w:color w:val="auto"/>
              </w:rPr>
            </w:pPr>
          </w:p>
        </w:tc>
        <w:tc>
          <w:tcPr>
            <w:tcW w:w="122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38"/>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411,759</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2026</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145,464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the aggregate intrinsic value of stock-settled stock appreciation rights exercised during such period was $74.7 million.</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a summary of restricted stock units and related information for the nine months ended September 30, 2026:</w:t>
      </w:r>
    </w:p>
    <w:p>
      <w:pPr>
        <w:spacing w:after="0" w:line="208" w:lineRule="exact"/>
        <w:rPr>
          <w:sz w:val="20"/>
          <w:szCs w:val="20"/>
          <w:color w:val="auto"/>
        </w:rPr>
      </w:pPr>
    </w:p>
    <w:tbl>
      <w:tblPr>
        <w:tblLayout w:type="fixed"/>
        <w:tblInd w:w="192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5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5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40" w:type="dxa"/>
            <w:vAlign w:val="bottom"/>
          </w:tcPr>
          <w:p>
            <w:pPr>
              <w:spacing w:after="0"/>
              <w:rPr>
                <w:sz w:val="14"/>
                <w:szCs w:val="14"/>
                <w:color w:val="auto"/>
              </w:rPr>
            </w:pPr>
          </w:p>
        </w:tc>
        <w:tc>
          <w:tcPr>
            <w:tcW w:w="1220" w:type="dxa"/>
            <w:vAlign w:val="bottom"/>
          </w:tcPr>
          <w:p>
            <w:pPr>
              <w:jc w:val="center"/>
              <w:ind w:right="154"/>
              <w:spacing w:after="0" w:line="162"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38"/>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457,943</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0" w:type="dxa"/>
            <w:vAlign w:val="bottom"/>
          </w:tcPr>
          <w:p>
            <w:pPr>
              <w:spacing w:after="0"/>
              <w:rPr>
                <w:sz w:val="1"/>
                <w:szCs w:val="1"/>
                <w:color w:val="auto"/>
              </w:rPr>
            </w:pPr>
          </w:p>
        </w:tc>
      </w:tr>
      <w:tr>
        <w:trPr>
          <w:trHeight w:val="243"/>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298.41</w:t>
            </w: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(164,554)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169.21</w:t>
            </w:r>
          </w:p>
        </w:tc>
        <w:tc>
          <w:tcPr>
            <w:tcW w:w="0" w:type="dxa"/>
            <w:vAlign w:val="bottom"/>
          </w:tcPr>
          <w:p>
            <w:pPr>
              <w:spacing w:after="0"/>
              <w:rPr>
                <w:sz w:val="1"/>
                <w:szCs w:val="1"/>
                <w:color w:val="auto"/>
              </w:rPr>
            </w:pPr>
          </w:p>
        </w:tc>
      </w:tr>
      <w:tr>
        <w:trPr>
          <w:trHeight w:val="243"/>
        </w:trPr>
        <w:tc>
          <w:tcPr>
            <w:tcW w:w="4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214.91</w:t>
            </w:r>
          </w:p>
        </w:tc>
        <w:tc>
          <w:tcPr>
            <w:tcW w:w="0" w:type="dxa"/>
            <w:vAlign w:val="bottom"/>
          </w:tcPr>
          <w:p>
            <w:pPr>
              <w:spacing w:after="0"/>
              <w:rPr>
                <w:sz w:val="1"/>
                <w:szCs w:val="1"/>
                <w:color w:val="auto"/>
              </w:rPr>
            </w:pPr>
          </w:p>
        </w:tc>
      </w:tr>
      <w:tr>
        <w:trPr>
          <w:trHeight w:val="261"/>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30,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a summary of performance-based awards and related information for the nine months ended September 30, 2026:</w:t>
      </w:r>
    </w:p>
    <w:p>
      <w:pPr>
        <w:spacing w:after="0" w:line="208" w:lineRule="exact"/>
        <w:rPr>
          <w:sz w:val="20"/>
          <w:szCs w:val="20"/>
          <w:color w:val="auto"/>
        </w:rPr>
      </w:pPr>
    </w:p>
    <w:tbl>
      <w:tblPr>
        <w:tblLayout w:type="fixed"/>
        <w:tblInd w:w="192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7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5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40" w:type="dxa"/>
            <w:vAlign w:val="bottom"/>
          </w:tcPr>
          <w:p>
            <w:pPr>
              <w:spacing w:after="0"/>
              <w:rPr>
                <w:sz w:val="14"/>
                <w:szCs w:val="14"/>
                <w:color w:val="auto"/>
              </w:rPr>
            </w:pPr>
          </w:p>
        </w:tc>
        <w:tc>
          <w:tcPr>
            <w:tcW w:w="1240" w:type="dxa"/>
            <w:vAlign w:val="bottom"/>
          </w:tcPr>
          <w:p>
            <w:pPr>
              <w:jc w:val="center"/>
              <w:ind w:right="174"/>
              <w:spacing w:after="0" w:line="162"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6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38"/>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194,635</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171.72</w:t>
            </w: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324.11</w:t>
            </w: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176.01</w:t>
            </w:r>
          </w:p>
        </w:tc>
        <w:tc>
          <w:tcPr>
            <w:tcW w:w="0" w:type="dxa"/>
            <w:vAlign w:val="bottom"/>
          </w:tcPr>
          <w:p>
            <w:pPr>
              <w:spacing w:after="0"/>
              <w:rPr>
                <w:sz w:val="1"/>
                <w:szCs w:val="1"/>
                <w:color w:val="auto"/>
              </w:rPr>
            </w:pPr>
          </w:p>
        </w:tc>
      </w:tr>
      <w:tr>
        <w:trPr>
          <w:trHeight w:val="262"/>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September 30,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Wesco recognized $20.7 million and $10.7 million of non-cash stock-based compensation expense for the three months ended September 30, 2026 and 2025, respectively, and $55.9 million and $29.3 million of non-cash stock-based compensation expense for the nine months ended September 30, 2026 and 2025, respectively, which is included in SG&amp;A expenses for such periods. As of September 30, 2026, there was $93.0 million of total unrecognized compensation expense related to unvested stock-based compensation arrangements for all awards previously made, which is expected to be recognized as follows:</w:t>
      </w:r>
    </w:p>
    <w:p>
      <w:pPr>
        <w:spacing w:after="0" w:line="132" w:lineRule="exact"/>
        <w:rPr>
          <w:sz w:val="20"/>
          <w:szCs w:val="20"/>
          <w:color w:val="auto"/>
        </w:rPr>
      </w:pPr>
    </w:p>
    <w:tbl>
      <w:tblPr>
        <w:tblLayout w:type="fixed"/>
        <w:tblInd w:w="2820" w:type="dxa"/>
        <w:tblCellMar>
          <w:top w:w="0" w:type="dxa"/>
          <w:left w:w="0" w:type="dxa"/>
          <w:bottom w:w="0" w:type="dxa"/>
          <w:right w:w="0" w:type="dxa"/>
        </w:tblCellMar>
      </w:tblPr>
      <w:tr>
        <w:trPr>
          <w:trHeight w:val="215"/>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ending December 31,</w:t>
            </w:r>
          </w:p>
        </w:tc>
        <w:tc>
          <w:tcPr>
            <w:tcW w:w="1020" w:type="dxa"/>
            <w:vAlign w:val="bottom"/>
          </w:tcPr>
          <w:p>
            <w:pPr>
              <w:spacing w:after="0"/>
              <w:rPr>
                <w:sz w:val="18"/>
                <w:szCs w:val="18"/>
                <w:color w:val="auto"/>
              </w:rPr>
            </w:pPr>
          </w:p>
        </w:tc>
        <w:tc>
          <w:tcPr>
            <w:tcW w:w="186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2026</w:t>
            </w:r>
          </w:p>
        </w:tc>
        <w:tc>
          <w:tcPr>
            <w:tcW w:w="10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4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2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May 31, 2022, the Company’s Board of Directors adopted a resolution authorizing the repurchase of up to $1 billion of the Company’s common stock and 10.625% Series A Fixed-Rate Reset Cumulative Perpetual Preferred Stock (the “Series A Preferred Stock”). The share repurchase authorization has no expiration date and may be modified, suspended, or terminated at any time without prior notice.</w:t>
      </w:r>
    </w:p>
    <w:p>
      <w:pPr>
        <w:spacing w:after="0" w:line="6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entered into spot repurchase transactions through a broker to purchase 73,167 and 238,052 shares of its common stock, respectively, in the open market for cash totaling $25.2 million and $75.8 million, respectively, including excise taxes. Wesco funded the repurchases with available cash and borrowings under its accounts receivable securitization and revolving credit facilities. During the three and nine months ended September 30, 2025, the Company entered into spot repurchase transactions through a broker to purchase 119,042 and 419,570 shares of its common stock, respectively, in the open market for cash totaling $25.3 million and $75.8 million, respectively, including excise taxes. Wesco funded the repurchases with available cash and borrowings under its accounts receivable securitization and revolving credit facilities.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 Redemption</w:t>
      </w:r>
    </w:p>
    <w:p>
      <w:pPr>
        <w:spacing w:after="0" w:line="11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February 13, 2025, the Company's Board of Directors adopted a resolution authorizing the redemption of all outstanding shares of the Company's Series A Preferred Stock. As this authorization was separate from the May 31, 2022 share purchase authorization noted above, the redemption of Series A Preferred Stock did not impact the approximate dollar value of shares that may be repurchased under the earlier 2022 authorization.</w:t>
      </w:r>
    </w:p>
    <w:p>
      <w:pPr>
        <w:spacing w:after="0" w:line="6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of June 22, 2025, the Company redeemed all 21,612 outstanding shares of its Series A Preferred Stock, and the related depositary shares, each representing 1/1,000th of one share of Series A Preferred Stock, at a redemption price of $25,000 per share, for a total payment of $540.3 million. The Company recognized a $27.6 million gain from the redemption as income attributable to common stockholders. Wesco funded the redemption with the net proceeds from the March 2025 issuance of the 6.375% senior notes due 2033.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7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Company’s dividends on common stock are declared at the discretion of the Board of Directors. The following table is a summary of cash dividends declared and paid on the Company’s common stock for the nine months ended September 30, 2026:</w:t>
      </w:r>
    </w:p>
    <w:p>
      <w:pPr>
        <w:spacing w:after="0" w:line="153"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19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Dividend Payment (in</w:t>
            </w:r>
          </w:p>
        </w:tc>
      </w:tr>
      <w:tr>
        <w:trPr>
          <w:trHeight w:val="238"/>
        </w:trPr>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Date Declared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320" w:type="dxa"/>
            <w:vAlign w:val="bottom"/>
          </w:tcPr>
          <w:p>
            <w:pPr>
              <w:spacing w:after="0"/>
              <w:rPr>
                <w:sz w:val="20"/>
                <w:szCs w:val="20"/>
                <w:color w:val="auto"/>
              </w:rPr>
            </w:pPr>
          </w:p>
        </w:tc>
        <w:tc>
          <w:tcPr>
            <w:tcW w:w="1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 Per Share</w:t>
            </w:r>
          </w:p>
        </w:tc>
        <w:tc>
          <w:tcPr>
            <w:tcW w:w="200" w:type="dxa"/>
            <w:vAlign w:val="bottom"/>
          </w:tcPr>
          <w:p>
            <w:pPr>
              <w:spacing w:after="0"/>
              <w:rPr>
                <w:sz w:val="20"/>
                <w:szCs w:val="20"/>
                <w:color w:val="auto"/>
              </w:rPr>
            </w:pPr>
          </w:p>
        </w:tc>
        <w:tc>
          <w:tcPr>
            <w:tcW w:w="18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millions)</w:t>
            </w:r>
          </w:p>
        </w:tc>
      </w:tr>
      <w:tr>
        <w:trPr>
          <w:trHeight w:val="27"/>
        </w:trPr>
        <w:tc>
          <w:tcPr>
            <w:tcW w:w="19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3"/>
        </w:trPr>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March 31, 2026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70"/>
        </w:trPr>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28, 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2026</w:t>
            </w: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June 30, 2026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70"/>
        </w:trPr>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27, 2026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11, 2026</w:t>
            </w:r>
          </w:p>
        </w:tc>
        <w:tc>
          <w:tcPr>
            <w:tcW w:w="19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is a summary of cash dividends declared and paid on the Company’s common stock for the nine months ended September 30, 2025:</w:t>
      </w:r>
    </w:p>
    <w:p>
      <w:pPr>
        <w:spacing w:after="0" w:line="217"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Dividend Payment (in</w:t>
            </w:r>
          </w:p>
        </w:tc>
      </w:tr>
      <w:tr>
        <w:trPr>
          <w:trHeight w:val="238"/>
        </w:trPr>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Date Declared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320" w:type="dxa"/>
            <w:vAlign w:val="bottom"/>
          </w:tcPr>
          <w:p>
            <w:pPr>
              <w:spacing w:after="0"/>
              <w:rPr>
                <w:sz w:val="20"/>
                <w:szCs w:val="20"/>
                <w:color w:val="auto"/>
              </w:rPr>
            </w:pPr>
          </w:p>
        </w:tc>
        <w:tc>
          <w:tcPr>
            <w:tcW w:w="1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 Per Share</w:t>
            </w:r>
          </w:p>
        </w:tc>
        <w:tc>
          <w:tcPr>
            <w:tcW w:w="200" w:type="dxa"/>
            <w:vAlign w:val="bottom"/>
          </w:tcPr>
          <w:p>
            <w:pPr>
              <w:spacing w:after="0"/>
              <w:rPr>
                <w:sz w:val="20"/>
                <w:szCs w:val="20"/>
                <w:color w:val="auto"/>
              </w:rPr>
            </w:pPr>
          </w:p>
        </w:tc>
        <w:tc>
          <w:tcPr>
            <w:tcW w:w="18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millions)</w:t>
            </w:r>
          </w:p>
        </w:tc>
      </w:tr>
      <w:tr>
        <w:trPr>
          <w:trHeight w:val="27"/>
        </w:trPr>
        <w:tc>
          <w:tcPr>
            <w:tcW w:w="19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14, 2025</w:t>
            </w:r>
          </w:p>
        </w:tc>
        <w:tc>
          <w:tcPr>
            <w:tcW w:w="1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March 31, 2025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22.1</w:t>
            </w:r>
          </w:p>
        </w:tc>
      </w:tr>
      <w:tr>
        <w:trPr>
          <w:trHeight w:val="270"/>
        </w:trPr>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13, 2025</w:t>
            </w: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June 30, 2025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0.454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22.1</w:t>
            </w:r>
          </w:p>
        </w:tc>
      </w:tr>
      <w:tr>
        <w:trPr>
          <w:trHeight w:val="270"/>
        </w:trPr>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28, 2025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12, 2025</w:t>
            </w:r>
          </w:p>
        </w:tc>
        <w:tc>
          <w:tcPr>
            <w:tcW w:w="19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22.1</w:t>
            </w:r>
          </w:p>
        </w:tc>
      </w:tr>
    </w:tbl>
    <w:p>
      <w:pPr>
        <w:spacing w:after="0" w:line="23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No quarterly cash dividends were paid on the Company’s Series A Preferred Stock during the three and nine months ended September 30, 2026 or the three months ended September 30, 2025, as the Series A Preferred Stock was redeemed in June 2025. During the nine months ended September 30, 2025, the Company's Board of Directors declared and the Company paid cash dividends relating to its Series A Preferred Stock totaling $27.3 million. As a result of the redemption, for the three months ended June 30, 2025, the dividend rate per depositary share was prorated to $0.598, compared to the prior period dividend rates of $0.664.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PER SHARE</w:t>
      </w:r>
    </w:p>
    <w:p>
      <w:pPr>
        <w:spacing w:after="0" w:line="1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common stockholders by the weighted-average number of common shares outstanding during the periods. Diluted earnings per share is computed by dividing net income attributable to common stockholders by the weighted-average common shares and common share equivalents outstanding during the periods. The dilutive effect of common share equivalents is considered in the diluted earnings per share computation using the treasury stock method, which includes consideration of equity awards.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presented: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380" w:type="dxa"/>
            <w:vAlign w:val="bottom"/>
            <w:gridSpan w:val="4"/>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33"/>
        </w:trPr>
        <w:tc>
          <w:tcPr>
            <w:tcW w:w="5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4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WESCO International, Inc.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Gain on redemption of Series A Preferred Stock</w:t>
            </w:r>
          </w:p>
        </w:tc>
        <w:tc>
          <w:tcPr>
            <w:tcW w:w="3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4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in computing basic</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shares issuable upon exercise of dilutive equity awards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169"/>
        </w:trPr>
        <w:tc>
          <w:tcPr>
            <w:tcW w:w="57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Weighted-average common shares outstanding and common share equivalents</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36"/>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used in computing diluted earnings per share</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43"/>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computation of diluted earnings per share attributable to common stockholders excludes stock-based awards that would have had an antidilutive effect on earnings per share. For the three months ended September 30, 2026, there were approximately 0.1 million antidilutive shares. For the nine months ended September 30, 2026, the number of antidilutive shares was immaterial. For the three and nine months ended September 30, 2025, there were approximately 0.1 million and 0.2 million antidilutive shares, respectively.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Wesco's outstanding indebtedness:</w:t>
      </w:r>
    </w:p>
    <w:p>
      <w:pPr>
        <w:spacing w:after="0" w:line="228"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6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172"/>
        </w:trPr>
        <w:tc>
          <w:tcPr>
            <w:tcW w:w="6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4"/>
                <w:szCs w:val="14"/>
                <w:color w:val="auto"/>
              </w:rPr>
            </w:pPr>
          </w:p>
        </w:tc>
        <w:tc>
          <w:tcPr>
            <w:tcW w:w="1280" w:type="dxa"/>
            <w:vAlign w:val="bottom"/>
          </w:tcPr>
          <w:p>
            <w:pPr>
              <w:jc w:val="right"/>
              <w:ind w:right="171"/>
              <w:spacing w:after="0" w:line="172"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88"/>
        </w:trPr>
        <w:tc>
          <w:tcPr>
            <w:tcW w:w="6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gridSpan w:val="4"/>
          </w:tcPr>
          <w:p>
            <w:pPr>
              <w:jc w:val="right"/>
              <w:ind w:right="1051"/>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5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lines of credit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Facility</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4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w:t>
            </w:r>
          </w:p>
        </w:tc>
      </w:tr>
      <w:tr>
        <w:trPr>
          <w:trHeight w:val="24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7.250%</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2028, less debt discount of $3.1 in 2025</w:t>
            </w: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1,321.9</w:t>
            </w:r>
          </w:p>
        </w:tc>
      </w:tr>
      <w:tr>
        <w:trPr>
          <w:trHeight w:val="243"/>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6.375%</w:t>
            </w: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4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5.250%</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2031</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6.625%</w:t>
            </w: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2032</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4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6.375%</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2033</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43"/>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5.500%</w:t>
            </w: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2034</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36"/>
        </w:trPr>
        <w:tc>
          <w:tcPr>
            <w:tcW w:w="5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5,826.3</w:t>
            </w:r>
          </w:p>
        </w:tc>
      </w:tr>
      <w:tr>
        <w:trPr>
          <w:trHeight w:val="24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4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Short-term debt and current portion of long-term debt</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7"/>
        </w:trPr>
        <w:tc>
          <w:tcPr>
            <w:tcW w:w="5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5,756.4</w:t>
            </w:r>
          </w:p>
        </w:tc>
      </w:tr>
      <w:tr>
        <w:trPr>
          <w:trHeight w:val="21"/>
        </w:trPr>
        <w:tc>
          <w:tcPr>
            <w:tcW w:w="6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Securitization Facility</w:t>
      </w:r>
    </w:p>
    <w:p>
      <w:pPr>
        <w:spacing w:after="0" w:line="11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September 17, 2026, WESCO Distribution, Inc. (“Wesco Distribution”) amended its accounts receivable securitization facility (the “Receivables Facility”) pursuant to the terms and conditions of a Tenth Amendment to Fifth Amended and Restated Receivables Purchase Agreement (the “Tenth Receivables Amendment”), by and among WESCO Receivables Corp., Wesco Distribution, the various purchasers and purchaser agents party thereto and PNC Bank, National Association, as administrator. The Tenth Receivables Amendment modified the receivables purchase agreement originally entered into on June 22, 2020 to, among other things, (i) extend the scheduled termination date of the Receivables Facility to September 17, 2029, (ii) increase the purchase limit under the Receivables Facility from $1,550 million to $1,750 million, and (iii) decrease the drawn spread applicable to investments funded under the Receivables Facility. No other material terms were changed.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September 17, 2026, Wesco Distribution amended its revolving credit facility (the “Revolving Credit Facility”) pursuant to the terms and conditions of the Ninth Amendment to Fourth Amended and Restated Credit Agreement (the “Ninth Revolver Amendment”), by and among Wesco Distribution, the other U.S. borrowers party thereto, WESCO Distribution Canada LP, the other Canadian borrowers party thereto, Wesco, the lenders party thereto and Barclays Bank PLC, as administrative agent. The Ninth Revolver Amendment amended the revolving credit agreement originally entered into on June 22, 2020, to, among other things, (i) extend the maturity date of the Revolving Credit Facility to September 17, 2031, (ii) increase the revolving commitments under the Revolving Credit Facility from $1,725 million to $1,850 million, (iii) decrease the interest rate spreads applicable to borrowings under the Revolving Credit Facility, and (iv) increase certain negative covenant baskets. No other material terms were changed.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7.250% Senior Notes due 2028</w:t>
      </w:r>
    </w:p>
    <w:p>
      <w:pPr>
        <w:spacing w:after="0" w:line="11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April 29, 2026, Wesco Distribution exercised its right to redeem the entire outstanding $1,325 million aggregate principal amount of the 7.250% Senior Notes due 2028 (the “2028 Notes”), and U.S. Bank Trust Company, National Association, as successor to U.S. Bank National Association, as trustee under the 2028 Notes Indenture, issued a notice of redemption to registered holders of the 2028 Notes.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June 15, 2026, Wesco Distribution redeemed the $1,325 million aggregate principal amount of the 2028 Notes at a redemption price equal to 100% of the principal amount plus accrued interest up to, but not including, June 15, 2026. The redemption of the 2028 Notes was funded through the issuance of the 5.250% Senior Notes due 2031 and the 5.500% Senior Notes due 2034 as described below. The Company recognized a non-cash loss of $10.0 million from the redemption of the 2028 Notes resulting from the write-off of unamortized debt issuance costs and debt discount, which is recorded as a component of Interest expense, net in the unaudited Condensed Consolidated Statement of Income and Comprehensive Income for the nine months ended September 30,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5.250% Senior Notes due 2031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5.500% Senior Notes due 2034</w:t>
      </w:r>
    </w:p>
    <w:p>
      <w:pPr>
        <w:spacing w:after="0" w:line="9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February 27, 2026, Wesco Distribution issued $650 million aggregate principal amount of 5.250% Senior Notes due 2031 (the “2031 Notes”) and $850 million aggregate principal amount of 5.500% Senior Notes due 2034 (the “2034 Notes” and, together with the 2031 Notes, the “2031 and 2034 Notes”). The 2031 and 2034 Notes were issued at prices of 100% of the aggregate principal amounts thereof. Wesco incurred costs related to the issuance of the 2031 and 2034 Notes totaling $8.3 million and $10.8 million, respectively, which were recorded as a reduction to the carrying value of the debt and are being amortized over the respective terms of the notes.</w:t>
      </w:r>
    </w:p>
    <w:p>
      <w:pPr>
        <w:spacing w:after="0" w:line="7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2031 and 2034 Notes were issued pursuant to, and are governed by, an indenture (the “2031 and 2034 Notes Indenture”), dated as of February 27, 2026, among Wesco Distribution, the Company, Anixter Inc., and U.S. Bank Trust Company, National Association, as trustee (the “Trustee”). The 2031 and 2034 Notes and related guarantees were issued in a private transaction exempt from the Securities Act of 1933, as amended (the “Securities Act”), and have not been, and will not be, registered under the Securities Act and may not be offered or sold in the United States absent registration or an applicable exemption from, or in a transaction not subject to, the registration requirements of the Securities Act and other applicable securities laws.</w:t>
      </w:r>
    </w:p>
    <w:p>
      <w:pPr>
        <w:spacing w:after="0" w:line="7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used the net proceeds from the issuance of the 2031 and 2034 Notes to redeem the 2028 Notes on June 15, 2026 and to repay a portion of the amounts outstanding under the Revolving Credit Facility. Prior to redeeming the 2028 Notes, the Company used the net proceeds to temporarily repay a portion of the outstanding borrowings under the Receivables Facility and Revolving Credit Facility. The Company subsequently redrew under the Receivables Facility and the Revolving Credit Facility in an aggregate amount sufficient to redeem the 2028 Notes.</w:t>
      </w:r>
    </w:p>
    <w:p>
      <w:pPr>
        <w:spacing w:after="0" w:line="7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2031 and 2034 Notes are unsecured and unsubordinated obligations of Wesco Distribution and are guaranteed on an unsecured, unsubordinated basis by the Company and Anixter Inc. The 2031 Notes accrue interest at a rate of 5.250% per annum, payable semi-annually in arrears on April 15 and October 15 of each year. The 2031 Notes will mature on April 15, 2031. The 2034 Notes accrue interest at a rate of 5.500% per annum, payable semi-annually in arrears on April 15 and October 15 of each year. The 2034 Notes will mature on April 15, 2034.</w:t>
      </w:r>
    </w:p>
    <w:p>
      <w:pPr>
        <w:spacing w:after="0" w:line="7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Wesco Distribution may redeem all or a part of the 2031 Notes at any time prior to April 15, 2028 by paying a “make-whole” premium plus accrued and unpaid interest, if any, to but excluding the redemption date. In addition, any time prior to April 15, 2028, Wesco Distribution may redeem up to 35% of the original aggregate principal amount of the 2031 Notes with the net cash proceeds from certain equity offerings. At any time between April 15, 2028 and April 14, 2029, Wesco Distribution may redeem all or a part of the 2031 Notes at a redemption price equal to 102.625% of the principal amount. Between April 15, 2029 and April 14, 2030, Wesco Distribution may redeem all or a part of the 2031 Notes at a redemption price equal to 101.3125% of the principal amount. On and after April 15, 2030, Wesco Distribution may redeem all or a part of the 2031 Notes at a redemption price equal to 100% of the principal amount.</w:t>
      </w:r>
    </w:p>
    <w:p>
      <w:pPr>
        <w:spacing w:after="0" w:line="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Wesco Distribution may redeem all or a part of the 2034 Notes at any time prior to April 15, 2029 by paying a “make-whole” premium plus accrued and unpaid interest, if any, to but excluding the redemption date. In addition, any time prior to April 15, 2029, Wesco Distribution may redeem up to 35% of the original aggregate principal amount of the 2034 Notes with the net cash proceeds from certain equity offerings. At any time between April 15, 2029 and April 14, 2030, Wesco Distribution may redeem all or a part of the 2034 Notes at a redemption price equal to 102.750% of the principal amount. Between April 15, 2030 and April 14, 2031, Wesco Distribution may redeem all or a part of the 2034 Notes at a redemption price equal to 101.375% of the principal amount. On and after April 15, 2031, Wesco Distribution may redeem all or a part of the 2034 Notes at a redemption price equal to 100% of the principal amount.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2031 and 2034 Notes Indenture contains certain covenants that, among other things, limit the Company’s and its restricted subsidiaries’ ability to incur liens on assets, make certain restricted payments, engage in certain sale and leaseback transactions or sell certain assets or merge or consolidate with or into other companies, subject to certain qualifications and exceptions, including the termination of certain of these covenants upon the 2031 and 2034 Notes receiving investment grade credit ratings.</w:t>
      </w:r>
    </w:p>
    <w:p>
      <w:pPr>
        <w:spacing w:after="0" w:line="7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2031 and 2034 Notes Indenture contains certain events of default, including, among other things, failure to make required payments, failure to comply with certain agreements or covenants, failure to pay or acceleration of certain other indebtedness, certain events of bankruptcy and insolvency, and failure to pay certain judgments. An event of default under the 2031 and 2034 Notes Indenture will allow either the Trustee or the holders of at least 25% in aggregate principal amount of the applicable series of the then-outstanding Notes to accelerate or, in certain cases, will automatically cause the acceleration of the amounts due under the applicable series of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OF FINANCIAL INSTRUMENTS</w:t>
      </w:r>
    </w:p>
    <w:p>
      <w:pPr>
        <w:spacing w:after="0" w:line="1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primarily consist of cash and cash equivalents, accounts receivable, accounts payable, bank overdrafts, outstanding indebtedness, foreign currency forward contracts, and benefit plan assets. Except for benefit plan assets, outstanding indebtedness and foreign currency forward contracts, the carrying value of the Company’s other financial instruments approximates fair value.</w:t>
      </w:r>
    </w:p>
    <w:p>
      <w:pPr>
        <w:spacing w:after="0" w:line="6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assets of the Company’s various defined benefit plans primarily comprise common/collective/pool funds (i.e., mutual funds). These funds are valued at the net asset value (“NAV”) of shares held in the underlying funds. Investments for which fair value is measured using the NAV per share practical expedient are not classified in the fair value hierarchy.</w:t>
      </w:r>
    </w:p>
    <w:p>
      <w:pPr>
        <w:spacing w:after="0" w:line="6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uses a market approach to determine the fair value of its debt instruments, utilizing quoted prices in active markets, interest rates and other relevant information generated by market transactions involving similar instruments. Therefore, the inputs used to measure the fair value of the Company’s debt instruments are classified as Level 2 within the fair value hierarchy.</w:t>
      </w:r>
    </w:p>
    <w:p>
      <w:pPr>
        <w:spacing w:after="0" w:line="6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carrying value of the Company’s debt instruments with fixed interest rates was $4,050.0 million and $3,871.9 million as of September 30, 2026 and December 31, 2025, respectively. The estimated fair value of this debt was $3,940.6 million and $4,004.2 million as of September 30, 2026 and December 31, 2025, respectively. The reported carrying values of the Company’s other debt instruments, including those with variable interest rates, approximated their fair values as of September 30, 2026 and December 31, 2025.</w:t>
      </w:r>
    </w:p>
    <w:p>
      <w:pPr>
        <w:spacing w:after="0" w:line="7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purchases foreign currency forward contracts to reduce the effect of fluctuations in foreign currency-denominated accounts on its earnings. The foreign currency forward contracts are not designated as hedges for accounting purposes. The Company’s strategy is to negotiate terms for its derivatives and other financial instruments to be highly effective, such that the change in the value of the derivative offsets the impact of the underlying hedge. Its counterparties to foreign currency forward contracts have investment-grade credit ratings. The Company regularly monitors the creditworthiness of its counterparties as a risk mitigation effort to protect the value of its derivatives.</w:t>
      </w:r>
    </w:p>
    <w:p>
      <w:pPr>
        <w:spacing w:after="0" w:line="75"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Company does not hedge 100% of its foreign currency-denominated accounts. In addition, the results of hedging can vary significantly based on various factors, such as the timing of executing foreign currency forward contracts versus the movement of currencies, as well as fluctuations in the account balances throughout each reporting period. The fair value of foreign currency forward contracts is based on the difference between the contract rate and the current price of a forward contract with an equivalent remaining term. The fair value of foreign currency forward contracts is measured using observable market information. These inputs are considered Level 2 in the fair value hierarchy. At September 30, 2026 and December 31, 2025, foreign currency forward contracts were revalued at then-current foreign exchange rates with the changes in valuation reflected directly in Other non-operating (income) expense in the unaudited Condensed Consolidated Statements of Income and Comprehensive Income offsetting the transaction gain (loss) recorded on foreign currency-denominated accounts. The gross and net notional amounts of foreign currency forward contracts outstanding were approximately $315.6 million and $286.3 million, at September 30, 2026 and December 31, 2025, respectively. While all of the Company’s foreign currency forward contracts are subject to master netting arrangements with its counterparties, assets and liabilities related to these contracts are presented on a gross basis within the unaudited Condensed Consolidated Balance Sheets. The gross fair value of assets and liabilities related to foreign currency forward contracts were immaterial.</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2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From time to time, a number of lawsuits and claims have been or may be asserted against the Company relating to the conduct of its business, including litigation relating to commercial, product and employment matters. The outcome of any litigation cannot be predicted with certainty, and some lawsuits may result in a negative impact to Wesco. However, management does not believe that the ultimate outcome of any such pending matters is likely to have a material adverse effect on Wesco’s financial condition or liquidity, although the resolution in any fiscal period of one or more of these matters may have a material adverse effect on Wesco’s results of operations for that period. Recoveries related to previously recognized losses are recorded when realization is probable. Recoveries in excess of recognized losses are deferred until realized or realizable.</w:t>
      </w:r>
    </w:p>
    <w:p>
      <w:pPr>
        <w:spacing w:after="0" w:line="79"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8"/>
          <w:szCs w:val="18"/>
          <w:color w:val="auto"/>
        </w:rPr>
        <w:t>During the third quarter of 2026, the previously disclosed loss contingency was resolved and payments were made directly from the Company's insurance carrier to the plaintiffs. As a result of the payment, the Company reversed the previously recorded loss contingency of $49.0 million in Other current liabilities, along with the corresponding insurance recovery receivable of $48.5 million in Other accounts receivable in the unaudited Condensed Consolidated Balance Sheet. The Company did not incur a loss other than for the insurance deductible amount, which is not material to the unaudited Condensed Consolidated Financial Statements.</w:t>
      </w:r>
    </w:p>
    <w:p>
      <w:pPr>
        <w:spacing w:after="0" w:line="8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February 20, 2026, the U.S. Supreme Court ruled that tariffs previously imposed under the International Emergency Economic Powers Act (“IEEPA”) were invalid. The availability, timing, amount, and process for recovering IEEPA tariffs previously paid by the Company remains subject to further developments. IEEPA tariff refunds are not expected to materially impact the unaudited Condensed Consolidated Financial Statements for the Company. The Company continues to monitor developments and evaluate potential impacts on its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30, 2026 and 2025 was 24.4% and 23.5%, respectively. For the three months ended September 30, 2026, the effective tax rate reflects discrete income tax benefits of $0.5 million resulting from the exercise of stock-based awards and $9.1 million relating to return-to-provision adjustments related to the filing of the 2025 U.S. federal income tax return. The return-to-provision adjustments were primarily related to the impact of certain elections made on the 2025 U.S. federal income tax return under the One Big Beautiful Bill Act based on IRS guidance issued in 2026 with retroactive application to 2025. For the three months ended September 30, 2025, the effective tax rate reflects net discrete income tax benefits of $7.8 million primarily resulting from the exercise of stock-based awards. These discrete income tax benefits reduced the effective tax rates in the respective periods by approximately 2.7 and 3.2 percentage points.</w:t>
      </w:r>
    </w:p>
    <w:p>
      <w:pPr>
        <w:spacing w:after="0" w:line="8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effective tax rate for the nine months ended September 30, 2026 and 2025 was 23.3% and 24.4%, respectively. For the nine months ended September 30, 2026, the effective tax rate reflects discrete income tax benefits of $22.9 million resulting from the exercise and vesting of stock-based awards and $9.1 million relating to return-to-provision adjustments that resulted from the filing of the 2025 U.S. federal income tax return as explained above. For the nine months ended September 30, 2025, the effective tax rate reflects net discrete income tax benefits of $12.8 million primarily resulting from the exercise and vesting of stock-based awards. These discrete income tax benefits reduced the effective tax rates in the respective periods by approximately 3.9 and 2.0 percentage points.</w:t>
      </w:r>
    </w:p>
    <w:p>
      <w:pPr>
        <w:spacing w:after="0" w:line="7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and 2025, the Company purchased $56.4 million and $93.8 million, respectively, of transferable clean energy tax credits to reduce its U.S. federal income tax liability. The Company has taken appropriate measures to mitigate the transferee liability associated with these tax credits, including, but not limited to, conducting due diligence to confirm the eligibility of the underlying projects or production, as applicable, for the tax credits and the eligibility of the tax credits for transfer, obtaining appropriate contractual protections from the sellers, and obtaining tax credit insurance and/or seller guarantees.</w:t>
      </w:r>
    </w:p>
    <w:p>
      <w:pPr>
        <w:spacing w:after="0" w:line="7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effective tax rate, excluding discrete income tax benefits, differs from the federal statutory income tax rate due primarily to state income taxes, nondeductible expenses, and the tax impact of international operations.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have been no material adjustments to the Company's assessment of uncertain tax positions since December 31, 2025.</w:t>
      </w:r>
    </w:p>
    <w:p>
      <w:pPr>
        <w:spacing w:after="0" w:line="11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October 2021, one of the Company’s Mexican affiliates received a tax assessment from the Mexican tax authorities related to its 2012 income tax return which was approximately $33.4 million as of December 31, 2025. The Company believed the assessment was without merit and the Company's Mexican affiliate filed an annulment lawsuit in the Mexican Federal Court of Administrative Justice (the “Court”). The Company expected to prevail in this litigation and, accordingly, did not recognize a liability for this assessment in its Consolidated Financial Statements. On April 23, 2026, the Company received the written decision of the Court, which was a split finding, mostly in favor of the government. Both parties filed appeals with the Mexican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Collegiate Circuit Court. The Company maintains that it ultimately expects to prevail upon final resolution of the matter.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BUSINESS SEGMENTS</w:t>
      </w:r>
    </w:p>
    <w:p>
      <w:pPr>
        <w:spacing w:after="0" w:line="1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operating segments comprising three strategic business units: EES, CSS and UBS. These operating segments are equivalent to the Company’s reportable segments. The President and Chief Executive Officer serves as the Company’s Chief Operating Decision Maker (“CODM”). The CODM evaluates the performance of the Company’s reportable segments based on Adjusted earnings before interest, taxes, depreciation and amortization (“Adjusted EBITDA”), which is the Company’s measure of segment profit or loss.</w:t>
      </w:r>
    </w:p>
    <w:p>
      <w:pPr>
        <w:spacing w:after="0" w:line="7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incurs corporate costs primarily related to treasury, tax, information technology, finance, legal and other centralized functions. The Company also has various corporate assets. Segment assets may not include jointly used assets, but segment results include allocations related to those assets. Interest expense and other non-operating items are either not allocated to the segments or reviewed on a segment basis. Corporate expenses and assets not directly identifiable with a reportable segment are reported in the tables below to reconcile the reportable segments to the Consolidated Financial Statements.</w:t>
      </w:r>
    </w:p>
    <w:p>
      <w:pPr>
        <w:spacing w:after="0" w:line="1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reportable segments and reconcile Adjusted EBITDA by segment to Income before income taxes on a consolidated basis for the periods presented:</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EES</w:t>
            </w:r>
          </w:p>
        </w:tc>
        <w:tc>
          <w:tcPr>
            <w:tcW w:w="380" w:type="dxa"/>
            <w:vAlign w:val="bottom"/>
          </w:tcPr>
          <w:p>
            <w:pPr>
              <w:spacing w:after="0"/>
              <w:rPr>
                <w:sz w:val="14"/>
                <w:szCs w:val="14"/>
                <w:color w:val="auto"/>
              </w:rPr>
            </w:pP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CSS</w:t>
            </w:r>
          </w:p>
        </w:tc>
        <w:tc>
          <w:tcPr>
            <w:tcW w:w="360" w:type="dxa"/>
            <w:vAlign w:val="bottom"/>
          </w:tcPr>
          <w:p>
            <w:pPr>
              <w:spacing w:after="0"/>
              <w:rPr>
                <w:sz w:val="14"/>
                <w:szCs w:val="14"/>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UBS</w:t>
            </w:r>
          </w:p>
        </w:tc>
        <w:tc>
          <w:tcPr>
            <w:tcW w:w="140" w:type="dxa"/>
            <w:vAlign w:val="bottom"/>
          </w:tcPr>
          <w:p>
            <w:pPr>
              <w:spacing w:after="0"/>
              <w:rPr>
                <w:sz w:val="14"/>
                <w:szCs w:val="14"/>
                <w:color w:val="auto"/>
              </w:rPr>
            </w:pPr>
          </w:p>
        </w:tc>
        <w:tc>
          <w:tcPr>
            <w:tcW w:w="1240" w:type="dxa"/>
            <w:vAlign w:val="bottom"/>
          </w:tcPr>
          <w:p>
            <w:pPr>
              <w:jc w:val="right"/>
              <w:ind w:right="211"/>
              <w:spacing w:after="0" w:line="17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Segments Total</w:t>
            </w:r>
          </w:p>
        </w:tc>
        <w:tc>
          <w:tcPr>
            <w:tcW w:w="0" w:type="dxa"/>
            <w:vAlign w:val="bottom"/>
          </w:tcPr>
          <w:p>
            <w:pPr>
              <w:spacing w:after="0"/>
              <w:rPr>
                <w:sz w:val="1"/>
                <w:szCs w:val="1"/>
                <w:color w:val="auto"/>
              </w:rPr>
            </w:pPr>
          </w:p>
        </w:tc>
      </w:tr>
      <w:tr>
        <w:trPr>
          <w:trHeight w:val="238"/>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2,772.4</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2,933.5</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1,520.5</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7,226.4</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2,117.9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2,292.8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1,249.9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5,660.6</w:t>
            </w:r>
          </w:p>
        </w:tc>
        <w:tc>
          <w:tcPr>
            <w:tcW w:w="0" w:type="dxa"/>
            <w:vAlign w:val="bottom"/>
          </w:tcPr>
          <w:p>
            <w:pPr>
              <w:spacing w:after="0"/>
              <w:rPr>
                <w:sz w:val="1"/>
                <w:szCs w:val="1"/>
                <w:color w:val="auto"/>
              </w:rPr>
            </w:pPr>
          </w:p>
        </w:tc>
      </w:tr>
      <w:tr>
        <w:trPr>
          <w:trHeight w:val="243"/>
        </w:trPr>
        <w:tc>
          <w:tcPr>
            <w:tcW w:w="492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SG&amp;A payroll expenses</w:t>
            </w:r>
            <w:r>
              <w:rPr>
                <w:rFonts w:ascii="Times New Roman" w:cs="Times New Roman" w:eastAsia="Times New Roman" w:hAnsi="Times New Roman"/>
                <w:sz w:val="23"/>
                <w:szCs w:val="23"/>
                <w:color w:val="auto"/>
                <w:vertAlign w:val="superscript"/>
              </w:rPr>
              <w:t>(1)(3)</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517.5</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317.6</w:t>
            </w:r>
          </w:p>
        </w:tc>
        <w:tc>
          <w:tcPr>
            <w:tcW w:w="0" w:type="dxa"/>
            <w:vAlign w:val="bottom"/>
          </w:tcPr>
          <w:p>
            <w:pPr>
              <w:spacing w:after="0"/>
              <w:rPr>
                <w:sz w:val="1"/>
                <w:szCs w:val="1"/>
                <w:color w:val="auto"/>
              </w:rPr>
            </w:pPr>
          </w:p>
        </w:tc>
      </w:tr>
      <w:tr>
        <w:trPr>
          <w:trHeight w:val="237"/>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730.7</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margin %</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Adjusted EBITDA</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amounts (Corporate):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SG&amp;A expenses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(4)</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43"/>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6"/>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355.3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440" w:hanging="158"/>
        <w:spacing w:after="0" w:line="205" w:lineRule="auto"/>
        <w:tabs>
          <w:tab w:leader="none" w:pos="44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SG&amp;A payroll expenses include salaries, benefits, commissions, incentives, temporary labor, and other payroll expenses.</w:t>
      </w:r>
    </w:p>
    <w:p>
      <w:pPr>
        <w:spacing w:after="0" w:line="64" w:lineRule="exact"/>
        <w:rPr>
          <w:rFonts w:ascii="Times New Roman" w:cs="Times New Roman" w:eastAsia="Times New Roman" w:hAnsi="Times New Roman"/>
          <w:sz w:val="20"/>
          <w:szCs w:val="20"/>
          <w:color w:val="auto"/>
          <w:vertAlign w:val="superscript"/>
        </w:rPr>
      </w:pPr>
    </w:p>
    <w:p>
      <w:pPr>
        <w:ind w:left="520" w:right="40" w:hanging="238"/>
        <w:spacing w:after="0"/>
        <w:tabs>
          <w:tab w:leader="none" w:pos="439"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segment items primarily include allocated expenses (which includes employee-related allocations), transportation costs, facility costs (including rent and utilities), employee expenses (including travel and entertainment), credit losses, real estate and personal property taxes, supplies, professional and consulting fees, and sales promotion expenses.</w:t>
      </w:r>
    </w:p>
    <w:p>
      <w:pPr>
        <w:spacing w:after="0" w:line="180" w:lineRule="exact"/>
        <w:rPr>
          <w:rFonts w:ascii="Times New Roman" w:cs="Times New Roman" w:eastAsia="Times New Roman" w:hAnsi="Times New Roman"/>
          <w:sz w:val="20"/>
          <w:szCs w:val="20"/>
          <w:color w:val="auto"/>
          <w:vertAlign w:val="superscript"/>
        </w:rPr>
      </w:pPr>
    </w:p>
    <w:p>
      <w:pPr>
        <w:ind w:left="440" w:hanging="158"/>
        <w:spacing w:after="0"/>
        <w:tabs>
          <w:tab w:leader="none" w:pos="44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Stock-based compensation expense is excluded from SG&amp;A payroll expenses, as this is an adjustment to calculate Adjusted EBITDA.</w:t>
      </w:r>
    </w:p>
    <w:p>
      <w:pPr>
        <w:spacing w:after="0" w:line="64" w:lineRule="exact"/>
        <w:rPr>
          <w:rFonts w:ascii="Times New Roman" w:cs="Times New Roman" w:eastAsia="Times New Roman" w:hAnsi="Times New Roman"/>
          <w:sz w:val="20"/>
          <w:szCs w:val="20"/>
          <w:color w:val="auto"/>
          <w:vertAlign w:val="superscript"/>
        </w:rPr>
      </w:pPr>
    </w:p>
    <w:p>
      <w:pPr>
        <w:ind w:left="440" w:hanging="158"/>
        <w:spacing w:after="0" w:line="200" w:lineRule="auto"/>
        <w:tabs>
          <w:tab w:leader="none" w:pos="44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reportable segments do not incur interest expense as these costs are centrally controlled through the Corporate treasury function.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EES</w:t>
            </w:r>
          </w:p>
        </w:tc>
        <w:tc>
          <w:tcPr>
            <w:tcW w:w="380" w:type="dxa"/>
            <w:vAlign w:val="bottom"/>
          </w:tcPr>
          <w:p>
            <w:pPr>
              <w:spacing w:after="0"/>
              <w:rPr>
                <w:sz w:val="14"/>
                <w:szCs w:val="14"/>
                <w:color w:val="auto"/>
              </w:rPr>
            </w:pP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CSS</w:t>
            </w:r>
          </w:p>
        </w:tc>
        <w:tc>
          <w:tcPr>
            <w:tcW w:w="360" w:type="dxa"/>
            <w:vAlign w:val="bottom"/>
          </w:tcPr>
          <w:p>
            <w:pPr>
              <w:spacing w:after="0"/>
              <w:rPr>
                <w:sz w:val="14"/>
                <w:szCs w:val="14"/>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UBS</w:t>
            </w:r>
          </w:p>
        </w:tc>
        <w:tc>
          <w:tcPr>
            <w:tcW w:w="140" w:type="dxa"/>
            <w:vAlign w:val="bottom"/>
          </w:tcPr>
          <w:p>
            <w:pPr>
              <w:spacing w:after="0"/>
              <w:rPr>
                <w:sz w:val="14"/>
                <w:szCs w:val="14"/>
                <w:color w:val="auto"/>
              </w:rPr>
            </w:pPr>
          </w:p>
        </w:tc>
        <w:tc>
          <w:tcPr>
            <w:tcW w:w="1240" w:type="dxa"/>
            <w:vAlign w:val="bottom"/>
          </w:tcPr>
          <w:p>
            <w:pPr>
              <w:jc w:val="right"/>
              <w:ind w:right="211"/>
              <w:spacing w:after="0" w:line="17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Segments Total</w:t>
            </w:r>
          </w:p>
        </w:tc>
        <w:tc>
          <w:tcPr>
            <w:tcW w:w="0" w:type="dxa"/>
            <w:vAlign w:val="bottom"/>
          </w:tcPr>
          <w:p>
            <w:pPr>
              <w:spacing w:after="0"/>
              <w:rPr>
                <w:sz w:val="1"/>
                <w:szCs w:val="1"/>
                <w:color w:val="auto"/>
              </w:rPr>
            </w:pPr>
          </w:p>
        </w:tc>
      </w:tr>
      <w:tr>
        <w:trPr>
          <w:trHeight w:val="238"/>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2,359.6</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2,410.9</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1,428.6</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6,199.1</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1,808.9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1,898.6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4,881.7</w:t>
            </w:r>
          </w:p>
        </w:tc>
        <w:tc>
          <w:tcPr>
            <w:tcW w:w="0" w:type="dxa"/>
            <w:vAlign w:val="bottom"/>
          </w:tcPr>
          <w:p>
            <w:pPr>
              <w:spacing w:after="0"/>
              <w:rPr>
                <w:sz w:val="1"/>
                <w:szCs w:val="1"/>
                <w:color w:val="auto"/>
              </w:rPr>
            </w:pPr>
          </w:p>
        </w:tc>
      </w:tr>
      <w:tr>
        <w:trPr>
          <w:trHeight w:val="243"/>
        </w:trPr>
        <w:tc>
          <w:tcPr>
            <w:tcW w:w="492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SG&amp;A payroll expenses</w:t>
            </w:r>
            <w:r>
              <w:rPr>
                <w:rFonts w:ascii="Times New Roman" w:cs="Times New Roman" w:eastAsia="Times New Roman" w:hAnsi="Times New Roman"/>
                <w:sz w:val="23"/>
                <w:szCs w:val="23"/>
                <w:color w:val="auto"/>
                <w:vertAlign w:val="superscript"/>
              </w:rPr>
              <w:t>(1)(3)</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466.4</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283.4</w:t>
            </w:r>
          </w:p>
        </w:tc>
        <w:tc>
          <w:tcPr>
            <w:tcW w:w="0" w:type="dxa"/>
            <w:vAlign w:val="bottom"/>
          </w:tcPr>
          <w:p>
            <w:pPr>
              <w:spacing w:after="0"/>
              <w:rPr>
                <w:sz w:val="1"/>
                <w:szCs w:val="1"/>
                <w:color w:val="auto"/>
              </w:rPr>
            </w:pPr>
          </w:p>
        </w:tc>
      </w:tr>
      <w:tr>
        <w:trPr>
          <w:trHeight w:val="237"/>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567.6</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margin %</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Adjusted EBITDA</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amounts (Corporate):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SG&amp;A expenses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(4)</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43"/>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7"/>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440" w:hanging="158"/>
        <w:spacing w:after="0" w:line="205" w:lineRule="auto"/>
        <w:tabs>
          <w:tab w:leader="none" w:pos="44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SG&amp;A payroll expenses include salaries, benefits, commissions, incentives, temporary labor, and other payroll expenses.</w:t>
      </w:r>
    </w:p>
    <w:p>
      <w:pPr>
        <w:spacing w:after="0" w:line="64" w:lineRule="exact"/>
        <w:rPr>
          <w:rFonts w:ascii="Times New Roman" w:cs="Times New Roman" w:eastAsia="Times New Roman" w:hAnsi="Times New Roman"/>
          <w:sz w:val="20"/>
          <w:szCs w:val="20"/>
          <w:color w:val="auto"/>
          <w:vertAlign w:val="superscript"/>
        </w:rPr>
      </w:pPr>
    </w:p>
    <w:p>
      <w:pPr>
        <w:ind w:left="520" w:right="20" w:hanging="238"/>
        <w:spacing w:after="0" w:line="238" w:lineRule="auto"/>
        <w:tabs>
          <w:tab w:leader="none" w:pos="439"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segment items primarily includes allocated expenses (which includes employee-related allocations), transportation costs, facility costs (including rent and utilities), employee expenses (including travel and entertainment), credit losses, professional and consulting fees, supplies, real estate and personal property taxes, sales promotion expenses, and gains (losses) on the sale, disposal, or abandonment of property and equipment.</w:t>
      </w:r>
    </w:p>
    <w:p>
      <w:pPr>
        <w:spacing w:after="0" w:line="13" w:lineRule="exact"/>
        <w:rPr>
          <w:rFonts w:ascii="Times New Roman" w:cs="Times New Roman" w:eastAsia="Times New Roman" w:hAnsi="Times New Roman"/>
          <w:sz w:val="20"/>
          <w:szCs w:val="20"/>
          <w:color w:val="auto"/>
          <w:vertAlign w:val="superscript"/>
        </w:rPr>
      </w:pPr>
    </w:p>
    <w:p>
      <w:pPr>
        <w:ind w:left="440" w:hanging="158"/>
        <w:spacing w:after="0"/>
        <w:tabs>
          <w:tab w:leader="none" w:pos="44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Stock-based compensation expense is excluded from SG&amp;A payroll expenses, as this is an adjustment to calculate Adjusted EBITDA.</w:t>
      </w:r>
    </w:p>
    <w:p>
      <w:pPr>
        <w:spacing w:after="0" w:line="64" w:lineRule="exact"/>
        <w:rPr>
          <w:rFonts w:ascii="Times New Roman" w:cs="Times New Roman" w:eastAsia="Times New Roman" w:hAnsi="Times New Roman"/>
          <w:sz w:val="20"/>
          <w:szCs w:val="20"/>
          <w:color w:val="auto"/>
          <w:vertAlign w:val="superscript"/>
        </w:rPr>
      </w:pPr>
    </w:p>
    <w:p>
      <w:pPr>
        <w:ind w:left="440" w:hanging="158"/>
        <w:spacing w:after="0" w:line="200" w:lineRule="auto"/>
        <w:tabs>
          <w:tab w:leader="none" w:pos="44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reportable segments do not incur interest expense as these costs are centrally controlled through the Corporate treasury function.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EES</w:t>
            </w:r>
          </w:p>
        </w:tc>
        <w:tc>
          <w:tcPr>
            <w:tcW w:w="120" w:type="dxa"/>
            <w:vAlign w:val="bottom"/>
          </w:tcPr>
          <w:p>
            <w:pPr>
              <w:spacing w:after="0"/>
              <w:rPr>
                <w:sz w:val="14"/>
                <w:szCs w:val="14"/>
                <w:color w:val="auto"/>
              </w:rPr>
            </w:pPr>
          </w:p>
        </w:tc>
        <w:tc>
          <w:tcPr>
            <w:tcW w:w="15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CSS</w:t>
            </w:r>
          </w:p>
        </w:tc>
        <w:tc>
          <w:tcPr>
            <w:tcW w:w="360" w:type="dxa"/>
            <w:vAlign w:val="bottom"/>
          </w:tcPr>
          <w:p>
            <w:pPr>
              <w:spacing w:after="0"/>
              <w:rPr>
                <w:sz w:val="14"/>
                <w:szCs w:val="14"/>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UBS</w:t>
            </w:r>
          </w:p>
        </w:tc>
        <w:tc>
          <w:tcPr>
            <w:tcW w:w="140" w:type="dxa"/>
            <w:vAlign w:val="bottom"/>
          </w:tcPr>
          <w:p>
            <w:pPr>
              <w:spacing w:after="0"/>
              <w:rPr>
                <w:sz w:val="14"/>
                <w:szCs w:val="14"/>
                <w:color w:val="auto"/>
              </w:rPr>
            </w:pPr>
          </w:p>
        </w:tc>
        <w:tc>
          <w:tcPr>
            <w:tcW w:w="1240" w:type="dxa"/>
            <w:vAlign w:val="bottom"/>
          </w:tcPr>
          <w:p>
            <w:pPr>
              <w:jc w:val="right"/>
              <w:ind w:right="211"/>
              <w:spacing w:after="0" w:line="17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Segments Total</w:t>
            </w:r>
          </w:p>
        </w:tc>
        <w:tc>
          <w:tcPr>
            <w:tcW w:w="0" w:type="dxa"/>
            <w:vAlign w:val="bottom"/>
          </w:tcPr>
          <w:p>
            <w:pPr>
              <w:spacing w:after="0"/>
              <w:rPr>
                <w:sz w:val="1"/>
                <w:szCs w:val="1"/>
                <w:color w:val="auto"/>
              </w:rPr>
            </w:pPr>
          </w:p>
        </w:tc>
      </w:tr>
      <w:tr>
        <w:trPr>
          <w:trHeight w:val="238"/>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7,527.3</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8,093.6</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4,350.7</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19,971.6</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5,726.7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6,350.6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3,580.7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15,658.0</w:t>
            </w:r>
          </w:p>
        </w:tc>
        <w:tc>
          <w:tcPr>
            <w:tcW w:w="0" w:type="dxa"/>
            <w:vAlign w:val="bottom"/>
          </w:tcPr>
          <w:p>
            <w:pPr>
              <w:spacing w:after="0"/>
              <w:rPr>
                <w:sz w:val="1"/>
                <w:szCs w:val="1"/>
                <w:color w:val="auto"/>
              </w:rPr>
            </w:pPr>
          </w:p>
        </w:tc>
      </w:tr>
      <w:tr>
        <w:trPr>
          <w:trHeight w:val="243"/>
        </w:trPr>
        <w:tc>
          <w:tcPr>
            <w:tcW w:w="492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SG&amp;A payroll expenses</w:t>
            </w:r>
            <w:r>
              <w:rPr>
                <w:rFonts w:ascii="Times New Roman" w:cs="Times New Roman" w:eastAsia="Times New Roman" w:hAnsi="Times New Roman"/>
                <w:sz w:val="23"/>
                <w:szCs w:val="23"/>
                <w:color w:val="auto"/>
                <w:vertAlign w:val="superscript"/>
              </w:rPr>
              <w:t>(1)(3)</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560.6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1,480.3</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912.7</w:t>
            </w:r>
          </w:p>
        </w:tc>
        <w:tc>
          <w:tcPr>
            <w:tcW w:w="0" w:type="dxa"/>
            <w:vAlign w:val="bottom"/>
          </w:tcPr>
          <w:p>
            <w:pPr>
              <w:spacing w:after="0"/>
              <w:rPr>
                <w:sz w:val="1"/>
                <w:szCs w:val="1"/>
                <w:color w:val="auto"/>
              </w:rPr>
            </w:pPr>
          </w:p>
        </w:tc>
      </w:tr>
      <w:tr>
        <w:trPr>
          <w:trHeight w:val="237"/>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675.4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809.5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435.7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1,920.6</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margin %</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Adjusted EBITDA</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amounts (Corporate):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SG&amp;A expenses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630.0</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(4)</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300.7</w:t>
            </w:r>
          </w:p>
        </w:tc>
        <w:tc>
          <w:tcPr>
            <w:tcW w:w="0" w:type="dxa"/>
            <w:vAlign w:val="bottom"/>
          </w:tcPr>
          <w:p>
            <w:pPr>
              <w:spacing w:after="0"/>
              <w:rPr>
                <w:sz w:val="1"/>
                <w:szCs w:val="1"/>
                <w:color w:val="auto"/>
              </w:rPr>
            </w:pPr>
          </w:p>
        </w:tc>
      </w:tr>
      <w:tr>
        <w:trPr>
          <w:trHeight w:val="243"/>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37"/>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824.5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440" w:hanging="158"/>
        <w:spacing w:after="0" w:line="205" w:lineRule="auto"/>
        <w:tabs>
          <w:tab w:leader="none" w:pos="44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SG&amp;A payroll expenses include salaries, benefits, commissions, incentives, temporary labor, and other payroll expenses.</w:t>
      </w:r>
    </w:p>
    <w:p>
      <w:pPr>
        <w:spacing w:after="0" w:line="64" w:lineRule="exact"/>
        <w:rPr>
          <w:rFonts w:ascii="Times New Roman" w:cs="Times New Roman" w:eastAsia="Times New Roman" w:hAnsi="Times New Roman"/>
          <w:sz w:val="20"/>
          <w:szCs w:val="20"/>
          <w:color w:val="auto"/>
          <w:vertAlign w:val="superscript"/>
        </w:rPr>
      </w:pPr>
    </w:p>
    <w:p>
      <w:pPr>
        <w:ind w:left="520" w:right="20" w:hanging="238"/>
        <w:spacing w:after="0"/>
        <w:tabs>
          <w:tab w:leader="none" w:pos="439"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segment items primarily include allocated expenses (which includes employee-related allocations), transportation costs, facility costs (including rent and utilities), employee expenses (including travel and entertainment), credit losses, real estate and personal property taxes, supplies, professional and consulting fees, and sales promotion expenses.</w:t>
      </w:r>
    </w:p>
    <w:p>
      <w:pPr>
        <w:spacing w:after="0" w:line="180" w:lineRule="exact"/>
        <w:rPr>
          <w:rFonts w:ascii="Times New Roman" w:cs="Times New Roman" w:eastAsia="Times New Roman" w:hAnsi="Times New Roman"/>
          <w:sz w:val="20"/>
          <w:szCs w:val="20"/>
          <w:color w:val="auto"/>
          <w:vertAlign w:val="superscript"/>
        </w:rPr>
      </w:pPr>
    </w:p>
    <w:p>
      <w:pPr>
        <w:ind w:left="440" w:hanging="158"/>
        <w:spacing w:after="0"/>
        <w:tabs>
          <w:tab w:leader="none" w:pos="44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Stock-based compensation expense is excluded from SG&amp;A payroll expenses, as this is an adjustment to calculate Adjusted EBITDA.</w:t>
      </w:r>
    </w:p>
    <w:p>
      <w:pPr>
        <w:spacing w:after="0" w:line="64" w:lineRule="exact"/>
        <w:rPr>
          <w:rFonts w:ascii="Times New Roman" w:cs="Times New Roman" w:eastAsia="Times New Roman" w:hAnsi="Times New Roman"/>
          <w:sz w:val="20"/>
          <w:szCs w:val="20"/>
          <w:color w:val="auto"/>
          <w:vertAlign w:val="superscript"/>
        </w:rPr>
      </w:pPr>
    </w:p>
    <w:p>
      <w:pPr>
        <w:ind w:left="440" w:hanging="158"/>
        <w:spacing w:after="0" w:line="200" w:lineRule="auto"/>
        <w:tabs>
          <w:tab w:leader="none" w:pos="44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reportable segments do not incur interest expense as these costs are centrally controlled through the Corporate treasury function.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EES</w:t>
            </w:r>
          </w:p>
        </w:tc>
        <w:tc>
          <w:tcPr>
            <w:tcW w:w="120" w:type="dxa"/>
            <w:vAlign w:val="bottom"/>
          </w:tcPr>
          <w:p>
            <w:pPr>
              <w:spacing w:after="0"/>
              <w:rPr>
                <w:sz w:val="14"/>
                <w:szCs w:val="14"/>
                <w:color w:val="auto"/>
              </w:rPr>
            </w:pPr>
          </w:p>
        </w:tc>
        <w:tc>
          <w:tcPr>
            <w:tcW w:w="15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CSS</w:t>
            </w:r>
          </w:p>
        </w:tc>
        <w:tc>
          <w:tcPr>
            <w:tcW w:w="360" w:type="dxa"/>
            <w:vAlign w:val="bottom"/>
          </w:tcPr>
          <w:p>
            <w:pPr>
              <w:spacing w:after="0"/>
              <w:rPr>
                <w:sz w:val="14"/>
                <w:szCs w:val="14"/>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UBS</w:t>
            </w:r>
          </w:p>
        </w:tc>
        <w:tc>
          <w:tcPr>
            <w:tcW w:w="140" w:type="dxa"/>
            <w:vAlign w:val="bottom"/>
          </w:tcPr>
          <w:p>
            <w:pPr>
              <w:spacing w:after="0"/>
              <w:rPr>
                <w:sz w:val="14"/>
                <w:szCs w:val="14"/>
                <w:color w:val="auto"/>
              </w:rPr>
            </w:pPr>
          </w:p>
        </w:tc>
        <w:tc>
          <w:tcPr>
            <w:tcW w:w="1240" w:type="dxa"/>
            <w:vAlign w:val="bottom"/>
          </w:tcPr>
          <w:p>
            <w:pPr>
              <w:jc w:val="right"/>
              <w:ind w:right="211"/>
              <w:spacing w:after="0" w:line="17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Segments Total</w:t>
            </w:r>
          </w:p>
        </w:tc>
        <w:tc>
          <w:tcPr>
            <w:tcW w:w="0" w:type="dxa"/>
            <w:vAlign w:val="bottom"/>
          </w:tcPr>
          <w:p>
            <w:pPr>
              <w:spacing w:after="0"/>
              <w:rPr>
                <w:sz w:val="1"/>
                <w:szCs w:val="1"/>
                <w:color w:val="auto"/>
              </w:rPr>
            </w:pPr>
          </w:p>
        </w:tc>
      </w:tr>
      <w:tr>
        <w:trPr>
          <w:trHeight w:val="238"/>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6,682.7</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6,676.4</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4,083.3</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17,442.4</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5,142.3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5,270.6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3,343.8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13,756.7</w:t>
            </w:r>
          </w:p>
        </w:tc>
        <w:tc>
          <w:tcPr>
            <w:tcW w:w="0" w:type="dxa"/>
            <w:vAlign w:val="bottom"/>
          </w:tcPr>
          <w:p>
            <w:pPr>
              <w:spacing w:after="0"/>
              <w:rPr>
                <w:sz w:val="1"/>
                <w:szCs w:val="1"/>
                <w:color w:val="auto"/>
              </w:rPr>
            </w:pPr>
          </w:p>
        </w:tc>
      </w:tr>
      <w:tr>
        <w:trPr>
          <w:trHeight w:val="243"/>
        </w:trPr>
        <w:tc>
          <w:tcPr>
            <w:tcW w:w="492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SG&amp;A payroll expenses</w:t>
            </w:r>
            <w:r>
              <w:rPr>
                <w:rFonts w:ascii="Times New Roman" w:cs="Times New Roman" w:eastAsia="Times New Roman" w:hAnsi="Times New Roman"/>
                <w:sz w:val="23"/>
                <w:szCs w:val="23"/>
                <w:color w:val="auto"/>
                <w:vertAlign w:val="superscript"/>
              </w:rPr>
              <w:t>(1)(3)</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505.6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1,341.7</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811.5</w:t>
            </w:r>
          </w:p>
        </w:tc>
        <w:tc>
          <w:tcPr>
            <w:tcW w:w="0" w:type="dxa"/>
            <w:vAlign w:val="bottom"/>
          </w:tcPr>
          <w:p>
            <w:pPr>
              <w:spacing w:after="0"/>
              <w:rPr>
                <w:sz w:val="1"/>
                <w:szCs w:val="1"/>
                <w:color w:val="auto"/>
              </w:rPr>
            </w:pPr>
          </w:p>
        </w:tc>
      </w:tr>
      <w:tr>
        <w:trPr>
          <w:trHeight w:val="237"/>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523.8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578.0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430.7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1,532.5</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margin %</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Adjusted EBITDA</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amounts (Corporate):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SG&amp;A expenses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469.8</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(4)</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43"/>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37"/>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637.3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440" w:hanging="158"/>
        <w:spacing w:after="0" w:line="205" w:lineRule="auto"/>
        <w:tabs>
          <w:tab w:leader="none" w:pos="44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SG&amp;A payroll expenses include salaries, benefits, commissions, incentives, temporary labor, and other payroll expenses.</w:t>
      </w:r>
    </w:p>
    <w:p>
      <w:pPr>
        <w:spacing w:after="0" w:line="64" w:lineRule="exact"/>
        <w:rPr>
          <w:rFonts w:ascii="Times New Roman" w:cs="Times New Roman" w:eastAsia="Times New Roman" w:hAnsi="Times New Roman"/>
          <w:sz w:val="20"/>
          <w:szCs w:val="20"/>
          <w:color w:val="auto"/>
          <w:vertAlign w:val="superscript"/>
        </w:rPr>
      </w:pPr>
    </w:p>
    <w:p>
      <w:pPr>
        <w:ind w:left="520" w:right="40" w:hanging="238"/>
        <w:spacing w:after="0" w:line="238" w:lineRule="auto"/>
        <w:tabs>
          <w:tab w:leader="none" w:pos="439"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segment items primarily includes allocated expenses (which includes employee-related allocations), transportation costs, facility costs (including rent and utilities), employee expenses (including travel and entertainment), credit losses, professional and consulting fees, supplies, real estate and personal property taxes, sales promotion expenses, and gains (losses) on the sale, disposal, or abandonment of property and equipment.</w:t>
      </w:r>
    </w:p>
    <w:p>
      <w:pPr>
        <w:spacing w:after="0" w:line="13" w:lineRule="exact"/>
        <w:rPr>
          <w:rFonts w:ascii="Times New Roman" w:cs="Times New Roman" w:eastAsia="Times New Roman" w:hAnsi="Times New Roman"/>
          <w:sz w:val="20"/>
          <w:szCs w:val="20"/>
          <w:color w:val="auto"/>
          <w:vertAlign w:val="superscript"/>
        </w:rPr>
      </w:pPr>
    </w:p>
    <w:p>
      <w:pPr>
        <w:ind w:left="440" w:hanging="158"/>
        <w:spacing w:after="0"/>
        <w:tabs>
          <w:tab w:leader="none" w:pos="44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Stock-based compensation expense is excluded from SG&amp;A payroll expenses, as this is an adjustment to calculate Adjusted EBITDA.</w:t>
      </w:r>
    </w:p>
    <w:p>
      <w:pPr>
        <w:spacing w:after="0" w:line="64" w:lineRule="exact"/>
        <w:rPr>
          <w:rFonts w:ascii="Times New Roman" w:cs="Times New Roman" w:eastAsia="Times New Roman" w:hAnsi="Times New Roman"/>
          <w:sz w:val="20"/>
          <w:szCs w:val="20"/>
          <w:color w:val="auto"/>
          <w:vertAlign w:val="superscript"/>
        </w:rPr>
      </w:pPr>
    </w:p>
    <w:p>
      <w:pPr>
        <w:ind w:left="440" w:hanging="158"/>
        <w:spacing w:after="0" w:line="200" w:lineRule="auto"/>
        <w:tabs>
          <w:tab w:leader="none" w:pos="44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reportable segments do not incur interest expense as these costs are centrally controlled through the Corporate treasury function.</w:t>
      </w:r>
    </w:p>
    <w:p>
      <w:pPr>
        <w:spacing w:after="0" w:line="218"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sets forth Other (income) expense, net by reportable segment for the periods presented, which primarily consists of net foreign currency (gains) losses: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4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580" w:type="dxa"/>
            <w:vAlign w:val="bottom"/>
          </w:tcPr>
          <w:p>
            <w:pPr>
              <w:spacing w:after="0"/>
              <w:rPr>
                <w:sz w:val="19"/>
                <w:szCs w:val="19"/>
                <w:color w:val="auto"/>
              </w:rPr>
            </w:pPr>
          </w:p>
        </w:tc>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Pr>
          <w:p>
            <w:pPr>
              <w:spacing w:after="0"/>
              <w:rPr>
                <w:sz w:val="19"/>
                <w:szCs w:val="19"/>
                <w:color w:val="auto"/>
              </w:rPr>
            </w:pPr>
          </w:p>
        </w:tc>
      </w:tr>
      <w:tr>
        <w:trPr>
          <w:trHeight w:val="240"/>
        </w:trPr>
        <w:tc>
          <w:tcPr>
            <w:tcW w:w="580" w:type="dxa"/>
            <w:vAlign w:val="bottom"/>
          </w:tcPr>
          <w:p>
            <w:pPr>
              <w:spacing w:after="0"/>
              <w:rPr>
                <w:sz w:val="20"/>
                <w:szCs w:val="20"/>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w:t>
            </w:r>
          </w:p>
        </w:tc>
        <w:tc>
          <w:tcPr>
            <w:tcW w:w="58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CSS</w:t>
            </w:r>
          </w:p>
        </w:tc>
        <w:tc>
          <w:tcPr>
            <w:tcW w:w="2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w:t>
            </w:r>
          </w:p>
        </w:tc>
        <w:tc>
          <w:tcPr>
            <w:tcW w:w="58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UBS</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22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43.8</w:t>
            </w:r>
          </w:p>
        </w:tc>
        <w:tc>
          <w:tcPr>
            <w:tcW w:w="58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(50.8)</w:t>
            </w:r>
          </w:p>
        </w:tc>
        <w:tc>
          <w:tcPr>
            <w:tcW w:w="58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58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885"/>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capital expenditures by reportable segment for the periods presented:</w:t>
      </w:r>
    </w:p>
    <w:p>
      <w:pPr>
        <w:spacing w:after="0" w:line="174"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6"/>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320" w:type="dxa"/>
            <w:vAlign w:val="bottom"/>
          </w:tcPr>
          <w:p>
            <w:pPr>
              <w:spacing w:after="0"/>
              <w:rPr>
                <w:sz w:val="19"/>
                <w:szCs w:val="19"/>
                <w:color w:val="auto"/>
              </w:rPr>
            </w:pPr>
          </w:p>
        </w:tc>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9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9"/>
        </w:trPr>
        <w:tc>
          <w:tcPr>
            <w:tcW w:w="320" w:type="dxa"/>
            <w:vAlign w:val="bottom"/>
          </w:tcPr>
          <w:p>
            <w:pPr>
              <w:spacing w:after="0"/>
              <w:rPr>
                <w:sz w:val="20"/>
                <w:szCs w:val="20"/>
                <w:color w:val="auto"/>
              </w:rPr>
            </w:pP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EES</w:t>
            </w:r>
          </w:p>
        </w:tc>
        <w:tc>
          <w:tcPr>
            <w:tcW w:w="2140" w:type="dxa"/>
            <w:vAlign w:val="bottom"/>
            <w:gridSpan w:val="2"/>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320" w:type="dxa"/>
            <w:vAlign w:val="bottom"/>
          </w:tcPr>
          <w:p>
            <w:pPr>
              <w:spacing w:after="0"/>
              <w:rPr>
                <w:sz w:val="21"/>
                <w:szCs w:val="21"/>
                <w:color w:val="auto"/>
              </w:rPr>
            </w:pP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CSS</w:t>
            </w:r>
          </w:p>
        </w:tc>
        <w:tc>
          <w:tcPr>
            <w:tcW w:w="1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320" w:type="dxa"/>
            <w:vAlign w:val="bottom"/>
          </w:tcPr>
          <w:p>
            <w:pPr>
              <w:spacing w:after="0"/>
              <w:rPr>
                <w:sz w:val="21"/>
                <w:szCs w:val="21"/>
                <w:color w:val="auto"/>
              </w:rPr>
            </w:pP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UBS</w:t>
            </w:r>
          </w:p>
        </w:tc>
        <w:tc>
          <w:tcPr>
            <w:tcW w:w="19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Borders>
              <w:right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13.0</w:t>
            </w:r>
          </w:p>
        </w:tc>
      </w:tr>
      <w:tr>
        <w:trPr>
          <w:trHeight w:val="237"/>
        </w:trPr>
        <w:tc>
          <w:tcPr>
            <w:tcW w:w="320" w:type="dxa"/>
            <w:vAlign w:val="bottom"/>
          </w:tcPr>
          <w:p>
            <w:pPr>
              <w:spacing w:after="0"/>
              <w:rPr>
                <w:sz w:val="20"/>
                <w:szCs w:val="20"/>
                <w:color w:val="auto"/>
              </w:rPr>
            </w:pPr>
          </w:p>
        </w:tc>
        <w:tc>
          <w:tcPr>
            <w:tcW w:w="3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23.8</w:t>
            </w:r>
          </w:p>
        </w:tc>
      </w:tr>
      <w:tr>
        <w:trPr>
          <w:trHeight w:val="243"/>
        </w:trPr>
        <w:tc>
          <w:tcPr>
            <w:tcW w:w="320" w:type="dxa"/>
            <w:vAlign w:val="bottom"/>
          </w:tcPr>
          <w:p>
            <w:pPr>
              <w:spacing w:after="0"/>
              <w:rPr>
                <w:sz w:val="21"/>
                <w:szCs w:val="21"/>
                <w:color w:val="auto"/>
              </w:rPr>
            </w:pP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9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tcBorders>
              <w:right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31.6</w:t>
            </w:r>
          </w:p>
        </w:tc>
      </w:tr>
      <w:tr>
        <w:trPr>
          <w:trHeight w:val="237"/>
        </w:trPr>
        <w:tc>
          <w:tcPr>
            <w:tcW w:w="320" w:type="dxa"/>
            <w:vAlign w:val="bottom"/>
          </w:tcPr>
          <w:p>
            <w:pPr>
              <w:spacing w:after="0"/>
              <w:rPr>
                <w:sz w:val="20"/>
                <w:szCs w:val="20"/>
                <w:color w:val="auto"/>
              </w:rPr>
            </w:pPr>
          </w:p>
        </w:tc>
        <w:tc>
          <w:tcPr>
            <w:tcW w:w="1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0"/>
                <w:szCs w:val="20"/>
                <w:color w:val="auto"/>
              </w:rPr>
            </w:pPr>
          </w:p>
        </w:tc>
        <w:tc>
          <w:tcPr>
            <w:tcW w:w="2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80.7</w:t>
            </w:r>
          </w:p>
        </w:tc>
        <w:tc>
          <w:tcPr>
            <w:tcW w:w="160" w:type="dxa"/>
            <w:vAlign w:val="bottom"/>
          </w:tcPr>
          <w:p>
            <w:pPr>
              <w:spacing w:after="0"/>
              <w:rPr>
                <w:sz w:val="20"/>
                <w:szCs w:val="20"/>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55.4</w:t>
            </w:r>
          </w:p>
        </w:tc>
      </w:tr>
      <w:tr>
        <w:trPr>
          <w:trHeight w:val="21"/>
        </w:trPr>
        <w:tc>
          <w:tcPr>
            <w:tcW w:w="3980" w:type="dxa"/>
            <w:vAlign w:val="bottom"/>
            <w:gridSpan w:val="3"/>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66"/>
        </w:trPr>
        <w:tc>
          <w:tcPr>
            <w:tcW w:w="7240" w:type="dxa"/>
            <w:vAlign w:val="bottom"/>
            <w:gridSpan w:val="10"/>
          </w:tcPr>
          <w:p>
            <w:pPr>
              <w:jc w:val="right"/>
              <w:ind w:right="720"/>
              <w:spacing w:after="0"/>
              <w:rPr>
                <w:sz w:val="20"/>
                <w:szCs w:val="20"/>
                <w:color w:val="auto"/>
              </w:rPr>
            </w:pPr>
            <w:r>
              <w:rPr>
                <w:rFonts w:ascii="Times New Roman" w:cs="Times New Roman" w:eastAsia="Times New Roman" w:hAnsi="Times New Roman"/>
                <w:sz w:val="18"/>
                <w:szCs w:val="18"/>
                <w:color w:val="auto"/>
                <w:w w:val="99"/>
              </w:rPr>
              <w:t>The following table sets forth Total assets by reportable segment for the periods presented: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5"/>
        </w:trPr>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left="107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2"/>
        </w:trPr>
        <w:tc>
          <w:tcPr>
            <w:tcW w:w="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280"/>
              <w:spacing w:after="0" w:line="17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300"/>
              <w:spacing w:after="0" w:line="17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4"/>
        </w:trPr>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EES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5,748.5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4,860.8</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3"/>
        </w:trPr>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CSS</w:t>
            </w: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7,721.2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6,827.0</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UBS</w:t>
            </w:r>
          </w:p>
        </w:tc>
        <w:tc>
          <w:tcPr>
            <w:tcW w:w="13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4,227.8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3,798.6</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37"/>
        </w:trPr>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17,697.5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15,486.4</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3"/>
        </w:trPr>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140" w:type="dxa"/>
            <w:vAlign w:val="bottom"/>
            <w:tcBorders>
              <w:bottom w:val="single" w:sz="8" w:color="CCEEFF"/>
            </w:tcBorders>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13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1,077.3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1,008.5</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7"/>
        </w:trPr>
        <w:tc>
          <w:tcPr>
            <w:tcW w:w="3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18,774.8</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16,494.9</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0"/>
        </w:trPr>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line="232" w:lineRule="auto"/>
        <w:tabs>
          <w:tab w:leader="none" w:pos="24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assets for Corporate primarily consist of cash and cash equivalents, income taxes receivable, deferred income taxes, property, buildings and equipment, and capitalized cloud computing arrangement costs.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225" w:right="8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should be read in conjunction with the unaudited condensed consolidated financial statements and notes thereto included in Item 1 of this Quarterly Report on Form 10-Q and WESCO International, Inc.’s audited Consolidated Financial Statements and Management’s Discussion and Analysis of Financial Condition and Results of Operations included in its Annual Report on Form 10-K for the fiscal year ended December 31, 2025. The matters discussed herein may contain forward-looking statements that are subject to certain risks and uncertainties that could cause actual results to differ materially from expectations. Certain of these risks are set forth in Item 1A of WESCO International, Inc.’s Annual Report on Form 10-K for the fiscal year ended December 31, 2025, as well as WESCO International, Inc.’s other reports filed with the Securities and Exchange Commission. In this Item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Wesco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refers to WESCO International, Inc., and its subsidiaries and its predecessors unless the context otherwise requires.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Wesco and its subsidiaries.</w:t>
      </w:r>
    </w:p>
    <w:p>
      <w:pPr>
        <w:spacing w:after="0" w:line="7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addition to the results provided in accordance with accounting principles generally accepted in the United States of America (“U.S. GAAP”), our discussion and analysis of financial condition and results of operations includes certain non-GAAP financial measures, which are defined further below. These financial measures include Organic sales growth, Earnings before interest, taxes, depreciation and amortization (“EBITDA”), Adjusted EBITDA, Adjusted EBITDA margin, Financial leverage, Adjusted selling, general and administrative expenses, Adjusted income from operations, Adjusted other non-operating (income) expense, Adjusted provision for income taxes, Adjusted income before income taxes, Adjusted net income, Adjusted net income attributable to WESCO International, Inc., Adjusted net income attributable to common stockholders, and Adjusted earnings per diluted share. We believe that these non-GAAP measures are helpful to users of our financial statements as they provide a better understanding of our financial condition and results of operations on a comparable basis. Additionally, certain non-GAAP measures either focus on or exclude items impacting comparability of results, allowing users to more easily compare our financial performance from period to period. Management uses certain non-GAAP financial measures in its evaluation of the performance of the Company’s operating segments and in the determination of incentive compensation. Management does not use these non-GAAP financial measures for any purpose other than the reasons stated above.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Wesco, headquartered in Pittsburgh, Pennsylvania, is a leading provider of business-to-business distribution, logistics services and supply chain solutions.</w:t>
      </w:r>
    </w:p>
    <w:p>
      <w:pPr>
        <w:spacing w:after="0" w:line="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employ approximately 21,000 people, maintain relationships with more than 35,000 suppliers, and serve nearly 130,000 customers worldwide. With millions of products, end-to-end supply chain services and significant digital capabilities, Wesco provides innovative solutions to meet customer needs across commercial and industrial businesses, technology companies, telecommunications providers, and utilities. Our innovative solutions include supply chain management, logistics and transportation, procurement, warehousing and inventory management, as well as kitting and labeling, limited assembly of products and installation enhancement. We operate more than 700 sites, including distribution centers, fulfillment centers and sales offices in approximately 50 countries, providing a local presence for customers and a global network to serve multi-location businesses and global corporations.</w:t>
      </w:r>
    </w:p>
    <w:p>
      <w:pPr>
        <w:spacing w:after="0" w:line="7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have operating segments comprising three strategic business units: Electrical &amp; Electronic Solutions (“EES”), Communications &amp; Security Solutions (“CSS”) and Utility &amp; Broadband Solutions (“UBS”). These operating segments are equivalent to our reportable segments. The following is a description of each of our reportable segments and their business activities.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Electrical &amp; Electronic Solutions</w:t>
      </w:r>
    </w:p>
    <w:p>
      <w:pPr>
        <w:spacing w:after="0" w:line="11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EES segment, serving customers in over 50 countries, is a North American leader, and supplies a broad range of products and solutions primarily to construction, industrial and original equipment manufacturer (“OEM”) customers. The EES product portfolio includes a broad range of electrical equipment and supplies, automation and connected devices, security, lighting, wire and cable, safety, and maintenance, repair and operating (“MRO”) products from industry-leading manufacturing partners. The EES service portfolio includes solutions to improve project execution, direct and indirect manufacturing supply chain optimization programs, lighting and renewables advisory services, and digital and automation solutions to improve safety and productivity.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&amp; Security Solutions</w:t>
      </w:r>
    </w:p>
    <w:p>
      <w:pPr>
        <w:spacing w:after="0" w:line="11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CSS segment, serving customers in over 50 countries, is a global leader in data center, network infrastructure and security solutions. CSS sells directly to end-users or through an extensive network of channel partners, including data communications contractors, security and network integrators, professional audio/visual integrators, and systems integrators. CSS also provides a wide range of professional A/V, safety, facilities, and energy management solutions. The full CSS product portfolio is frequently coupled with services designed to enhance efficiency and productivity across all customer segments globally. These services include data center services, advisory, installation enhancement, project deployment, supply chain solutions, and management platforms.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Utility &amp; Broadband Solutions</w:t>
      </w:r>
    </w:p>
    <w:p>
      <w:pPr>
        <w:spacing w:after="0" w:line="11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UBS segment is a leader in North America, serving customers primarily in the U.S. and Canada, and provides products and services to investor-owned utilities, electric power cooperatives and municipalities, as well as global service providers, wireless providers, broadband operators and the contractors that service these customers. The products sold include wire and cable, transformers, transmission and distribution hardware, switches, protective devices, connectors, lighting, conduit, fiber and copper cable, connectivity products, pole line hardware, racks, cabinets, safety and MRO products, and point-to-point wireless devices. UBS also offers a complete set of service solutions to improve customer supply chain efficiencies.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12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financial results reflect continued sales momentum in the first nine months of 2026, highlighted by a 14.5% year-over-year increase in reported Net sales driven by volume growth across all three segments. For the first nine months of 2026 compared to the first nine months of 2025, organic sales increased by 13.9%, which adjusts for fluctuations in foreign exchange rates. All three of our segments contributed to growth, led by our CSS segment's data center solutions business. Our EES segment experienced continued growth across its OEM and construction businesses, driven by ongoing demand for data center projects, infrastructure investment and continued momentum across key end markets. Our UBS segment also delivered sales growth, driven by strength in its utility business, continued utility infrastructure investment, and grid services activity, as well as an increase in its broadband business. We also saw record year-over-year backlog growth driven by all three segments.</w:t>
      </w:r>
    </w:p>
    <w:p>
      <w:pPr>
        <w:spacing w:after="0" w:line="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July 1, 2026, we acquired Newark Engineering Group (“Newark”), a Singapore-based provider of engineered cooling solutions and lifecycle services for data centers. Newark brings specialized expertise in designing, installing and maintaining advanced thermal management systems critical to data center performance and reliability. This acquisition expands our participation in the data center value chain while strengthening our presence across Southeast Asia.</w:t>
      </w:r>
    </w:p>
    <w:p>
      <w:pPr>
        <w:spacing w:after="0" w:line="58"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8"/>
          <w:szCs w:val="18"/>
          <w:color w:val="auto"/>
        </w:rPr>
        <w:t>During the first quarter of 2026, we issued 5.250% Senior Notes due 2031 (the “2031 Notes”) and 5.500% Senior Notes due 2034 (the “2034 Notes” and, together with the 2031 Notes, the “2031 and 2034 Notes”) in part to support the redemption of our 7.250% senior notes due 2028 (the “2028 Notes”) which occurred in the second quarter of 2026. Following the redemption of the 2028 Notes, we have no significant debt maturities until 2029.</w:t>
      </w:r>
    </w:p>
    <w:p>
      <w:pPr>
        <w:spacing w:after="0" w:line="8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Throughout 2026, we continued to execute on our multi-year, phased development and implementation of a new Digital and Data Platform (“DDP”). The DDP is intended to be a unified, technology-enabled operating model that spans all business functions, maintains and enhances the flow of financial information, and improves resource efficiency.</w:t>
      </w:r>
    </w:p>
    <w:p>
      <w:pPr>
        <w:spacing w:after="0" w:line="6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Taking the above highlights into consideration, we believe we are well positioned to benefit from enduring secular growth trends of AI-driven data centers, increased power generation, electrification, automation and reshoring.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of 2026 versus Third Quarter of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Net sales and organic sales growth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Growth/(Decline)</w:t>
            </w:r>
          </w:p>
        </w:tc>
        <w:tc>
          <w:tcPr>
            <w:tcW w:w="1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74"/>
              <w:spacing w:after="0" w:line="18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15"/>
                <w:szCs w:val="15"/>
                <w:color w:val="auto"/>
              </w:rPr>
            </w:pPr>
          </w:p>
        </w:tc>
        <w:tc>
          <w:tcPr>
            <w:tcW w:w="136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Reported Sales</w:t>
            </w:r>
          </w:p>
        </w:tc>
        <w:tc>
          <w:tcPr>
            <w:tcW w:w="100" w:type="dxa"/>
            <w:vAlign w:val="bottom"/>
            <w:vMerge w:val="restart"/>
          </w:tcPr>
          <w:p>
            <w:pPr>
              <w:spacing w:after="0"/>
              <w:rPr>
                <w:sz w:val="15"/>
                <w:szCs w:val="15"/>
                <w:color w:val="auto"/>
              </w:rPr>
            </w:pPr>
          </w:p>
        </w:tc>
        <w:tc>
          <w:tcPr>
            <w:tcW w:w="13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13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80" w:type="dxa"/>
            <w:vAlign w:val="bottom"/>
            <w:vMerge w:val="restart"/>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Organic Sales</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00" w:type="dxa"/>
            <w:vAlign w:val="bottom"/>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7,226.4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6,199.1</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Note: Organic sales growth is a non-GAAP financial measure of sales performance. Organic sales growth is calculated by deducting the percentage impact from acquisitions and divestitures for one year following the respective transaction, fluctuations in foreign exchange rates and number of workdays from the reported percentage change in consolidated Net sales. Workday impact represents the change in the number of operating days period-over-period after adjusting for weekends and public holidays in the United States; there was no change in the number of workdays in the third quarter of 2026 compared to the third quarter of 2025.</w:t>
      </w:r>
    </w:p>
    <w:p>
      <w:pPr>
        <w:spacing w:after="0" w:line="14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sales were $7.2 billion for the third quarter of 2026 compared to $6.2 billion for the third quarter of 2025, an increase of 16.6%. Organic sales for the third quarter of 2026 grew by 16.6%. This growth reflects an approximate 14% increase in volume driven by all three segments (CSS, EES and UBS), and an approximate 3% benefit from price.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Cost of goods sold for the third quarter of 2026 was $5.7 billion compared to $4.9 billion for the third quarter of 2025, an increase of 16.0%. The increase primarily reflects the increase in volume in all three segments primarily driven by large project activity, particularly in the data center business, as well as the OEM, construction and utility businesses. Cost of goods sold as a percentage of Net sales was 78.3% and 78.7% for the third quarter of 2026 and 2025, respectively. The favorable impact reflects improved gross margins in the EES and CSS segments, while the UBS segment remained flat.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SG&amp;A expenses for the third quarter of 2026 totaled $1,062.4 million versus $922.9 million for the third quarter of 2025, an increase of $139.5 million, or 15.1%.</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reconciles SG&amp;A expenses to Adjusted SG&amp;A expenses, which is a non-GAAP financial measure, for the periods presented:</w:t>
      </w:r>
    </w:p>
    <w:p>
      <w:pPr>
        <w:spacing w:after="0" w:line="221"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40" w:type="dxa"/>
            <w:vAlign w:val="bottom"/>
            <w:tcBorders>
              <w:bottom w:val="single" w:sz="8" w:color="auto"/>
            </w:tcBorders>
          </w:tcPr>
          <w:p>
            <w:pPr>
              <w:spacing w:after="0"/>
              <w:rPr>
                <w:sz w:val="20"/>
                <w:szCs w:val="20"/>
                <w:color w:val="auto"/>
              </w:rPr>
            </w:pPr>
          </w:p>
        </w:tc>
      </w:tr>
      <w:tr>
        <w:trPr>
          <w:trHeight w:val="223"/>
        </w:trPr>
        <w:tc>
          <w:tcPr>
            <w:tcW w:w="6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 Net</w:t>
            </w:r>
          </w:p>
        </w:tc>
        <w:tc>
          <w:tcPr>
            <w:tcW w:w="14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 Net</w:t>
            </w:r>
          </w:p>
        </w:tc>
      </w:tr>
      <w:tr>
        <w:trPr>
          <w:trHeight w:val="203"/>
        </w:trPr>
        <w:tc>
          <w:tcPr>
            <w:tcW w:w="6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70"/>
              <w:spacing w:after="0" w:line="202"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sales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70"/>
              <w:spacing w:after="0" w:line="202" w:lineRule="exact"/>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sales</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SG&amp;A Expenses: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3"/>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19"/>
                <w:szCs w:val="19"/>
                <w:color w:val="auto"/>
              </w:rPr>
            </w:pPr>
          </w:p>
        </w:tc>
      </w:tr>
      <w:tr>
        <w:trPr>
          <w:trHeight w:val="24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84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4"/>
                <w:szCs w:val="14"/>
                <w:color w:val="auto"/>
              </w:rPr>
              <w:t>14.7%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922.9</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14.9%</w:t>
            </w:r>
          </w:p>
        </w:tc>
      </w:tr>
      <w:tr>
        <w:trPr>
          <w:trHeight w:val="243"/>
        </w:trPr>
        <w:tc>
          <w:tcPr>
            <w:tcW w:w="650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1"/>
                <w:szCs w:val="21"/>
                <w:color w:val="auto"/>
              </w:rPr>
            </w:pPr>
          </w:p>
        </w:tc>
      </w:tr>
      <w:tr>
        <w:trPr>
          <w:trHeight w:val="243"/>
        </w:trPr>
        <w:tc>
          <w:tcPr>
            <w:tcW w:w="650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shd w:val="clear" w:color="auto" w:fill="CCEEFF"/>
          </w:tcPr>
          <w:p>
            <w:pPr>
              <w:spacing w:after="0"/>
              <w:rPr>
                <w:sz w:val="21"/>
                <w:szCs w:val="21"/>
                <w:color w:val="auto"/>
              </w:rPr>
            </w:pPr>
          </w:p>
        </w:tc>
      </w:tr>
      <w:tr>
        <w:trPr>
          <w:trHeight w:val="237"/>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SG&amp;A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1,037.6</w:t>
            </w:r>
          </w:p>
        </w:tc>
        <w:tc>
          <w:tcPr>
            <w:tcW w:w="840" w:type="dxa"/>
            <w:vAlign w:val="bottom"/>
            <w:gridSpan w:val="2"/>
          </w:tcPr>
          <w:p>
            <w:pPr>
              <w:jc w:val="center"/>
              <w:ind w:left="22"/>
              <w:spacing w:after="0"/>
              <w:rPr>
                <w:sz w:val="20"/>
                <w:szCs w:val="20"/>
                <w:color w:val="auto"/>
              </w:rPr>
            </w:pPr>
            <w:r>
              <w:rPr>
                <w:rFonts w:ascii="Times New Roman" w:cs="Times New Roman" w:eastAsia="Times New Roman" w:hAnsi="Times New Roman"/>
                <w:sz w:val="14"/>
                <w:szCs w:val="14"/>
                <w:color w:val="auto"/>
              </w:rPr>
              <w:t>14.4%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914.1</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14.7%</w:t>
            </w:r>
          </w:p>
        </w:tc>
      </w:tr>
    </w:tbl>
    <w:p>
      <w:pPr>
        <w:spacing w:after="0" w:line="198" w:lineRule="exact"/>
        <w:rPr>
          <w:sz w:val="20"/>
          <w:szCs w:val="20"/>
          <w:color w:val="auto"/>
        </w:rPr>
      </w:pPr>
    </w:p>
    <w:p>
      <w:pPr>
        <w:ind w:left="240" w:hanging="232"/>
        <w:spacing w:after="0"/>
        <w:tabs>
          <w:tab w:leader="none" w:pos="2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64"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costs include severance costs incurred pursuant to an ongoing restructuring plan.</w:t>
      </w:r>
    </w:p>
    <w:p>
      <w:pPr>
        <w:spacing w:after="0" w:line="8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SG&amp;A payroll and payroll-related expenses for the third quarter of 2026 were $656.2 million, an increase of $85.8 million compared to the same period in 2025, which primarily reflects increases of $41.2 million in commissions and incentives, $24.7 million in salaries, $10.0 million in stock-based compensation expense, and $7.5 million in benefits. The higher commissions and incentives expense was aligned with the increase in Company performance.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SG&amp;A expenses not related to payroll and payroll-related costs for the third quarter of 2026 were $406.2 million, an increase of $53.8 million compared to the same period in 2025, which primarily reflects increased transportation costs of $11.8 million, increased costs to operate our facilities of $11.0 million, increased professional and consulting fees of $9.3 million, and increased IT costs of $7.9 million. Additionally, digital transformation costs increased by $14.4 million year-over-year primarily due to increased costs associated with DDP deployment resources.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Income from operations was $450.8 million for the third quarter of 2026 compared to $345.4 million for the third quarter of 2025, an increase of $105.4 million, or 30.5%. The increase reflects higher Net sales, lower Cost of goods sold as a percentage of Net sales, and lower SG&amp;A expenses as a percentage of Net sales.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interest expense totaled $93.6 million for the third quarter of 2026 compared to $99.0 million for the third quarter of 2025. The decrease of $5.4 million, or 5.5%, was primarily driven by the issuance of the 2031 and 2034 Notes at lower rates as compared to the 2028 Notes, as well as lower rates on our accounts receivable securitization facility (the “Receivables Facility”) and our revolving credit facility (the “Revolving Credit Facility”) throughout the third quarter of 2026 compared to the third quarter of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Other non-operating expense totaled $1.9 million for the third quarter of 2026 compared to no Other expense, net for the third quarter of 2025. We recognized a net foreign currency exchange loss of $3.9 million for the third quarter of 2026 compared to a net loss of $2.1 million for the third quarter of 2025. We also recognized a $2.0 million gain related to the partial settlement and remeasurement of the EECOL Canada pension plan in the third quarter of</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2026. In the third quarter of 2025, we recognized $1.8 million of income from an adjustment to the fair value of the contingent consideration liability related to an acquisition.</w:t>
      </w:r>
    </w:p>
    <w:p>
      <w:pPr>
        <w:spacing w:after="0" w:line="7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reconciles Other non-operating expense to Adjusted other non-operating expense, which is a non-GAAP financial measure, for the periods presented:</w:t>
      </w:r>
    </w:p>
    <w:p>
      <w:pPr>
        <w:spacing w:after="0" w:line="104" w:lineRule="exact"/>
        <w:rPr>
          <w:sz w:val="20"/>
          <w:szCs w:val="20"/>
          <w:color w:val="auto"/>
        </w:rPr>
      </w:pPr>
    </w:p>
    <w:tbl>
      <w:tblPr>
        <w:tblLayout w:type="fixed"/>
        <w:tblInd w:w="172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3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183"/>
        </w:trPr>
        <w:tc>
          <w:tcPr>
            <w:tcW w:w="4940" w:type="dxa"/>
            <w:vAlign w:val="bottom"/>
          </w:tcPr>
          <w:p>
            <w:pPr>
              <w:spacing w:after="0"/>
              <w:rPr>
                <w:sz w:val="15"/>
                <w:szCs w:val="15"/>
                <w:color w:val="auto"/>
              </w:rPr>
            </w:pPr>
          </w:p>
        </w:tc>
        <w:tc>
          <w:tcPr>
            <w:tcW w:w="1600" w:type="dxa"/>
            <w:vAlign w:val="bottom"/>
            <w:gridSpan w:val="3"/>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5"/>
                <w:szCs w:val="15"/>
                <w:color w:val="auto"/>
              </w:rPr>
            </w:pPr>
          </w:p>
        </w:tc>
        <w:tc>
          <w:tcPr>
            <w:tcW w:w="1340" w:type="dxa"/>
            <w:vAlign w:val="bottom"/>
          </w:tcPr>
          <w:p>
            <w:pPr>
              <w:jc w:val="center"/>
              <w:ind w:right="70"/>
              <w:spacing w:after="0" w:line="18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494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8"/>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Other Expense, net:</w:t>
            </w:r>
          </w:p>
        </w:tc>
        <w:tc>
          <w:tcPr>
            <w:tcW w:w="1040" w:type="dxa"/>
            <w:vAlign w:val="bottom"/>
          </w:tcPr>
          <w:p>
            <w:pPr>
              <w:spacing w:after="0"/>
              <w:rPr>
                <w:sz w:val="19"/>
                <w:szCs w:val="19"/>
                <w:color w:val="auto"/>
              </w:rPr>
            </w:pPr>
          </w:p>
        </w:tc>
        <w:tc>
          <w:tcPr>
            <w:tcW w:w="2060" w:type="dxa"/>
            <w:vAlign w:val="bottom"/>
            <w:gridSpan w:val="4"/>
          </w:tcPr>
          <w:p>
            <w:pPr>
              <w:jc w:val="center"/>
              <w:ind w:right="93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40" w:type="dxa"/>
            <w:vAlign w:val="bottom"/>
            <w:tcBorders>
              <w:bottom w:val="single" w:sz="8" w:color="CCEEFF"/>
            </w:tcBorders>
          </w:tcPr>
          <w:p>
            <w:pPr>
              <w:ind w:left="180"/>
              <w:spacing w:after="0" w:line="243" w:lineRule="exact"/>
              <w:rPr>
                <w:sz w:val="20"/>
                <w:szCs w:val="20"/>
                <w:color w:val="auto"/>
              </w:rPr>
            </w:pPr>
            <w:r>
              <w:rPr>
                <w:rFonts w:ascii="Times New Roman" w:cs="Times New Roman" w:eastAsia="Times New Roman" w:hAnsi="Times New Roman"/>
                <w:sz w:val="18"/>
                <w:szCs w:val="18"/>
                <w:color w:val="auto"/>
              </w:rPr>
              <w:t>Pension settlement gain</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other expense, net</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bl>
    <w:p>
      <w:pPr>
        <w:spacing w:after="0" w:line="144"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Pension settlement gain represents income as a result of the partial settlement and remeasurement of the Company's EECOL Canada pension plan.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$86.8 million for the third quarter of 2026 compared to $57.8 million for the corresponding quarter of the prior year, resulting in effective tax rates of 24.4% and 23.5%, respectively. The higher effective tax rate for the third quarter of 2026 is largely driven by a higher annual effective tax rate resulting from higher non-deductible compensation expense as compared to the prior year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and Earnings per Share</w:t>
      </w:r>
    </w:p>
    <w:p>
      <w:pPr>
        <w:spacing w:after="0" w:line="10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income and Earnings per diluted share attributable to common stockholders were $267.8 million and $5.43, respectively, for the third quarter of 2026 compared to $187.5 million and $3.79, respectively, for the third quarter of 2025. Adjusted for the non-GAAP adjustments above and the related income tax effects, Net income and Earnings per diluted share attributable to common stockholders were $284.4 million and $5.77, respectively, for the three months ended September 30, 2026, and $193.9 million and $3.92, respectively, for the three months ended September 30, 2025.</w:t>
      </w:r>
    </w:p>
    <w:p>
      <w:pPr>
        <w:spacing w:after="0" w:line="72"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increase in Adjusted earnings per diluted share primarily reflects the increase in Net sales and lower Cost of goods sold as a percentage of Net sales, partially offset by higher Adjusted SG&amp;A expenses.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0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Adjusted EBITDA, a non-GAAP financial measure, was $561.5 million for the third quarter of 2026, compared to $423.0 million for the third quarter of 2025, an increase of $138.5 million, or 32.7% year-over-year. The increase primarily reflects higher Net sales and increased gross margin, partially offset by higher Adjusted SG&amp;A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2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the financial results of our operating segments comprising three strategic business units consisting of EES, CSS and UBS for the three months ended September 30, 2026. As further described below and in Note 13, “Business Segments” of our Notes to the unaudited Condensed Consolidated Financial Statements, the Chief Operating Decision Maker (the “CODM”) allocates resources and evaluates the performance of the Company’s reportable segments based on Adjusted EBITDA, which is the Company’s measure of segment profit or loss. Adjusted EBITDA and Adjusted EBITDA margin percentage are non-GAAP financial measures.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Electrical &amp; Electronic Solutions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Growth/(Decline)</w:t>
            </w: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ind w:right="133"/>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5"/>
                <w:szCs w:val="15"/>
                <w:color w:val="auto"/>
              </w:rPr>
            </w:pPr>
          </w:p>
        </w:tc>
        <w:tc>
          <w:tcPr>
            <w:tcW w:w="132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5"/>
                <w:szCs w:val="15"/>
                <w:color w:val="auto"/>
              </w:rPr>
            </w:pPr>
          </w:p>
        </w:tc>
        <w:tc>
          <w:tcPr>
            <w:tcW w:w="120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124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b w:val="1"/>
                <w:bCs w:val="1"/>
                <w:color w:val="auto"/>
                <w:w w:val="96"/>
              </w:rPr>
              <w:t>Foreign</w:t>
            </w: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8"/>
              </w:rPr>
              <w:t>Organic</w:t>
            </w: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380" w:type="dxa"/>
            <w:vAlign w:val="bottom"/>
            <w:gridSpan w:val="2"/>
            <w:vMerge w:val="continue"/>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1200" w:type="dxa"/>
            <w:vAlign w:val="bottom"/>
            <w:gridSpan w:val="2"/>
            <w:vMerge w:val="continue"/>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2,772.4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2,359.6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259.1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198.3</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Adjusted EBITDA margin</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EES reported Net sales of $2.8 billion for the third quarter of 2026 compared to $2.4 billion for the third quarter of 2025, an increase of $412.8 million, or 17.5%. EES organic sales for the third quarter of 2026 increased by 17.8%, reflecting volume growth of approximately 13%, driven primarily by the OEM and construction businesses, and by the impact of changes in price, which favorably impacted organic sales by approximately 5%.</w:t>
      </w:r>
    </w:p>
    <w:p>
      <w:pPr>
        <w:spacing w:after="0" w:line="6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EES Adjusted EBITDA increased $60.8 million, or 30.7% year-over-year. The increase primarily reflects an increase in volume, as described above, as well as gross margin expansion driven primarily by a $12.2 million increase in supplier volume rebates. Cost of goods sold increased $309.0 million primarily due to the increase in volume, which was partially offset by improved gross margin. SG&amp;A payroll expenses increased $26.7 million as compared to the prior year, which was primarily attributed to increased salaries of $11.6 million and increased commissions and incentives of $11.4 million. Other segment items increased $16.1 million as compared to the prior year, reflecting increased transportation costs and other volume-related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&amp; Security Solutions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Growth/(Decline)</w:t>
            </w: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ind w:right="133"/>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5"/>
                <w:szCs w:val="15"/>
                <w:color w:val="auto"/>
              </w:rPr>
            </w:pPr>
          </w:p>
        </w:tc>
        <w:tc>
          <w:tcPr>
            <w:tcW w:w="132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5"/>
                <w:szCs w:val="15"/>
                <w:color w:val="auto"/>
              </w:rPr>
            </w:pPr>
          </w:p>
        </w:tc>
        <w:tc>
          <w:tcPr>
            <w:tcW w:w="120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124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b w:val="1"/>
                <w:bCs w:val="1"/>
                <w:color w:val="auto"/>
                <w:w w:val="96"/>
              </w:rPr>
              <w:t>Foreign</w:t>
            </w: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8"/>
              </w:rPr>
              <w:t>Organic</w:t>
            </w: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380" w:type="dxa"/>
            <w:vAlign w:val="bottom"/>
            <w:gridSpan w:val="2"/>
            <w:vMerge w:val="continue"/>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1200" w:type="dxa"/>
            <w:vAlign w:val="bottom"/>
            <w:gridSpan w:val="2"/>
            <w:vMerge w:val="continue"/>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2,933.5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2,410.9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313.4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220.5</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Adjusted EBITDA margin</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CSS reported Net sales of $2.9 billion for the third quarter of 2026 compared to $2.4 billion for the third quarter of 2025, an increase of $522.6 million, or 21.7%. CSS organic sales for the third quarter of 2026 grew by 21.4%, primarily reflecting volume growth of approximately 20%, driven primarily by the data center solutions business, as well as the impact of changes in price, which favorably impacted organic sales by approximately 1%.</w:t>
      </w:r>
    </w:p>
    <w:p>
      <w:pPr>
        <w:spacing w:after="0" w:line="6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CSS Adjusted EBITDA increased $92.9 million, or 42.1% year-over-year. The increase primarily reflects an increase in volume, specifically within the data center solutions business as described above. Cost of goods sold increased $394.2 million primarily due to the increase in volume, which was partially offset by improved gross margin. SG&amp;A payroll expenses increased by $19.5 million, which is primarily attributed to higher salaries of $9.1 million as well as higher commissions and incentives of $9.1 million. Other segment items increased by $16.3 million as compared to the prior year, which included increased volume-related costs, and to a lesser extent, bad debt expense.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9"/>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Utility &amp; Broadband Solutions</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ind w:left="1180"/>
              <w:spacing w:after="0"/>
              <w:rPr>
                <w:sz w:val="20"/>
                <w:szCs w:val="20"/>
                <w:color w:val="auto"/>
              </w:rPr>
            </w:pPr>
            <w:r>
              <w:rPr>
                <w:rFonts w:ascii="Times New Roman" w:cs="Times New Roman" w:eastAsia="Times New Roman" w:hAnsi="Times New Roman"/>
                <w:sz w:val="18"/>
                <w:szCs w:val="18"/>
                <w:b w:val="1"/>
                <w:bCs w:val="1"/>
                <w:color w:val="auto"/>
              </w:rPr>
              <w:t>Growth/(Decline)</w:t>
            </w: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60" w:type="dxa"/>
            <w:vAlign w:val="bottom"/>
          </w:tcPr>
          <w:p>
            <w:pPr>
              <w:spacing w:after="0"/>
              <w:rPr>
                <w:sz w:val="15"/>
                <w:szCs w:val="15"/>
                <w:color w:val="auto"/>
              </w:rPr>
            </w:pPr>
          </w:p>
        </w:tc>
        <w:tc>
          <w:tcPr>
            <w:tcW w:w="132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5"/>
                <w:szCs w:val="15"/>
                <w:color w:val="auto"/>
              </w:rPr>
            </w:pPr>
          </w:p>
        </w:tc>
        <w:tc>
          <w:tcPr>
            <w:tcW w:w="120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15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108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8"/>
                <w:szCs w:val="18"/>
                <w:b w:val="1"/>
                <w:bCs w:val="1"/>
                <w:color w:val="auto"/>
                <w:w w:val="96"/>
              </w:rPr>
              <w:t>Foreign</w:t>
            </w: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8"/>
              </w:rPr>
              <w:t>Organic</w:t>
            </w: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540" w:type="dxa"/>
            <w:vAlign w:val="bottom"/>
            <w:gridSpan w:val="3"/>
            <w:vMerge w:val="continue"/>
          </w:tcPr>
          <w:p>
            <w:pPr>
              <w:spacing w:after="0"/>
              <w:rPr>
                <w:sz w:val="21"/>
                <w:szCs w:val="21"/>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1200" w:type="dxa"/>
            <w:vAlign w:val="bottom"/>
            <w:gridSpan w:val="2"/>
            <w:vMerge w:val="continue"/>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1,428.6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Adjusted EBITDA margin</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UBS reported Net sales of $1,520.5 million for the third quarter of 2026 compared to $1,428.6 million for the third quarter of 2025, an increase of $91.9 million, or 6.4%, reflecting volume growth of approximately 5% driven by the utility and broadband businesses, as well as the impact of changes in price, which favorably impacted organic sales by approximately 2%.</w:t>
      </w:r>
    </w:p>
    <w:p>
      <w:pPr>
        <w:spacing w:after="0" w:line="6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UBS Adjusted EBITDA increased $9.4 million, or 6.3% year-over-year. The increase primarily reflects an increase in volume, as described above. Cost of goods sold increased $75.7 million primarily due to the increase in volume, which was partially offset by lower gross margin. SG&amp;A payroll expenses increased by $5.1 million as compared to the prior year, which was primarily attributed to higher salaries, commissions, and incentives.</w:t>
      </w:r>
    </w:p>
    <w:p>
      <w:pPr>
        <w:spacing w:after="0" w:line="200" w:lineRule="exact"/>
        <w:rPr>
          <w:sz w:val="20"/>
          <w:szCs w:val="20"/>
          <w:color w:val="auto"/>
        </w:rPr>
      </w:pPr>
    </w:p>
    <w:p>
      <w:pPr>
        <w:spacing w:after="0" w:line="21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tables reconcile Net income attributable to common stockholders to Adjusted EBITDA and Adjusted EBITDA margin % by segment, which are non-GAAP financial measures,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37"/>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EES</w:t>
            </w:r>
          </w:p>
        </w:tc>
        <w:tc>
          <w:tcPr>
            <w:tcW w:w="180" w:type="dxa"/>
            <w:vAlign w:val="bottom"/>
          </w:tcPr>
          <w:p>
            <w:pPr>
              <w:spacing w:after="0"/>
              <w:rPr>
                <w:sz w:val="20"/>
                <w:szCs w:val="20"/>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CSS</w:t>
            </w:r>
          </w:p>
        </w:tc>
        <w:tc>
          <w:tcPr>
            <w:tcW w:w="30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UBS</w:t>
            </w:r>
          </w:p>
        </w:tc>
        <w:tc>
          <w:tcPr>
            <w:tcW w:w="12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48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275.9</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(404.4)</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267.8</w:t>
            </w:r>
          </w:p>
        </w:tc>
      </w:tr>
      <w:tr>
        <w:trPr>
          <w:trHeight w:val="243"/>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484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Provision for income taxes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86.8</w:t>
            </w:r>
          </w:p>
        </w:tc>
      </w:tr>
      <w:tr>
        <w:trPr>
          <w:trHeight w:val="243"/>
        </w:trPr>
        <w:tc>
          <w:tcPr>
            <w:tcW w:w="484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93.6</w:t>
            </w:r>
          </w:p>
        </w:tc>
      </w:tr>
      <w:tr>
        <w:trPr>
          <w:trHeight w:val="243"/>
        </w:trPr>
        <w:tc>
          <w:tcPr>
            <w:tcW w:w="4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w:t>
            </w:r>
          </w:p>
        </w:tc>
      </w:tr>
      <w:tr>
        <w:trPr>
          <w:trHeight w:val="243"/>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4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484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r>
      <w:tr>
        <w:trPr>
          <w:trHeight w:val="243"/>
        </w:trPr>
        <w:tc>
          <w:tcPr>
            <w:tcW w:w="484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Cloud computing arrangement amortization</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r>
      <w:tr>
        <w:trPr>
          <w:trHeight w:val="236"/>
        </w:trPr>
        <w:tc>
          <w:tcPr>
            <w:tcW w:w="48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259.1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313.4</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158.2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(169.2)</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561.5</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4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 margin %</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bl>
    <w:p>
      <w:pPr>
        <w:spacing w:after="0" w:line="67" w:lineRule="exact"/>
        <w:rPr>
          <w:sz w:val="20"/>
          <w:szCs w:val="20"/>
          <w:color w:val="auto"/>
        </w:rPr>
      </w:pPr>
    </w:p>
    <w:p>
      <w:pPr>
        <w:ind w:left="200" w:hanging="147"/>
        <w:spacing w:after="0"/>
        <w:tabs>
          <w:tab w:leader="none" w:pos="20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reportable segments do not incur income taxes and interest expense as these costs are centrally controlled through the Corporate tax and treasury functions.</w:t>
      </w:r>
    </w:p>
    <w:p>
      <w:pPr>
        <w:spacing w:after="0" w:line="40" w:lineRule="exact"/>
        <w:rPr>
          <w:rFonts w:ascii="Times New Roman" w:cs="Times New Roman" w:eastAsia="Times New Roman" w:hAnsi="Times New Roman"/>
          <w:sz w:val="18"/>
          <w:szCs w:val="18"/>
          <w:color w:val="auto"/>
          <w:vertAlign w:val="superscript"/>
        </w:rPr>
      </w:pPr>
    </w:p>
    <w:p>
      <w:pPr>
        <w:ind w:left="220" w:hanging="167"/>
        <w:spacing w:after="0" w:line="191" w:lineRule="auto"/>
        <w:tabs>
          <w:tab w:leader="none" w:pos="2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37" w:lineRule="exact"/>
        <w:rPr>
          <w:rFonts w:ascii="Times New Roman" w:cs="Times New Roman" w:eastAsia="Times New Roman" w:hAnsi="Times New Roman"/>
          <w:sz w:val="21"/>
          <w:szCs w:val="21"/>
          <w:color w:val="auto"/>
          <w:vertAlign w:val="superscript"/>
        </w:rPr>
      </w:pPr>
    </w:p>
    <w:p>
      <w:pPr>
        <w:ind w:left="300" w:right="20" w:hanging="247"/>
        <w:spacing w:after="0" w:line="199" w:lineRule="auto"/>
        <w:tabs>
          <w:tab w:leader="none" w:pos="2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Cloud computing arrangement amortization consists of expense recognized in SG&amp;A expenses for capitalized implementation costs for cloud computing arrangements to support our digital transformation initiatives.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gridSpan w:val="8"/>
          </w:tcPr>
          <w:p>
            <w:pPr>
              <w:ind w:left="3400"/>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3"/>
        </w:trPr>
        <w:tc>
          <w:tcPr>
            <w:tcW w:w="4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EES</w:t>
            </w:r>
          </w:p>
        </w:tc>
        <w:tc>
          <w:tcPr>
            <w:tcW w:w="180" w:type="dxa"/>
            <w:vAlign w:val="bottom"/>
          </w:tcPr>
          <w:p>
            <w:pPr>
              <w:spacing w:after="0"/>
              <w:rPr>
                <w:sz w:val="20"/>
                <w:szCs w:val="20"/>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CSS</w:t>
            </w:r>
          </w:p>
        </w:tc>
        <w:tc>
          <w:tcPr>
            <w:tcW w:w="38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UBS</w:t>
            </w:r>
          </w:p>
        </w:tc>
        <w:tc>
          <w:tcPr>
            <w:tcW w:w="12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48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191.7</w:t>
            </w:r>
          </w:p>
        </w:tc>
        <w:tc>
          <w:tcPr>
            <w:tcW w:w="8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(328.1)</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43"/>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Provision for income taxes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43"/>
        </w:trPr>
        <w:tc>
          <w:tcPr>
            <w:tcW w:w="484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43"/>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484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Cloud computing arrangement amortization</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484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62"/>
        </w:trPr>
        <w:tc>
          <w:tcPr>
            <w:tcW w:w="48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220.5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(144.6)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423.0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 margin %</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20" w:hanging="167"/>
        <w:spacing w:after="0"/>
        <w:tabs>
          <w:tab w:leader="none" w:pos="2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reportable segments do not incur income taxes and interest expense as these costs are centrally controlled through the Corporate tax and treasury functions.</w:t>
      </w:r>
    </w:p>
    <w:p>
      <w:pPr>
        <w:spacing w:after="0" w:line="37" w:lineRule="exact"/>
        <w:rPr>
          <w:rFonts w:ascii="Times New Roman" w:cs="Times New Roman" w:eastAsia="Times New Roman" w:hAnsi="Times New Roman"/>
          <w:sz w:val="21"/>
          <w:szCs w:val="21"/>
          <w:color w:val="auto"/>
          <w:vertAlign w:val="superscript"/>
        </w:rPr>
      </w:pPr>
    </w:p>
    <w:p>
      <w:pPr>
        <w:ind w:left="220" w:hanging="167"/>
        <w:spacing w:after="0" w:line="191" w:lineRule="auto"/>
        <w:tabs>
          <w:tab w:leader="none" w:pos="2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37" w:lineRule="exact"/>
        <w:rPr>
          <w:rFonts w:ascii="Times New Roman" w:cs="Times New Roman" w:eastAsia="Times New Roman" w:hAnsi="Times New Roman"/>
          <w:sz w:val="21"/>
          <w:szCs w:val="21"/>
          <w:color w:val="auto"/>
          <w:vertAlign w:val="superscript"/>
        </w:rPr>
      </w:pPr>
    </w:p>
    <w:p>
      <w:pPr>
        <w:ind w:left="300" w:right="20" w:hanging="247"/>
        <w:spacing w:after="0" w:line="199" w:lineRule="auto"/>
        <w:tabs>
          <w:tab w:leader="none" w:pos="2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Cloud computing arrangement amortization consists of expense recognized in SG&amp;A expenses for capitalized implementation costs for cloud computing arrangements to support our digital transformation initiatives.</w:t>
      </w:r>
    </w:p>
    <w:p>
      <w:pPr>
        <w:spacing w:after="0" w:line="1" w:lineRule="exact"/>
        <w:rPr>
          <w:rFonts w:ascii="Times New Roman" w:cs="Times New Roman" w:eastAsia="Times New Roman" w:hAnsi="Times New Roman"/>
          <w:sz w:val="21"/>
          <w:szCs w:val="21"/>
          <w:color w:val="auto"/>
          <w:vertAlign w:val="superscript"/>
        </w:rPr>
      </w:pPr>
    </w:p>
    <w:p>
      <w:pPr>
        <w:ind w:left="220" w:hanging="167"/>
        <w:spacing w:after="0" w:line="228" w:lineRule="auto"/>
        <w:tabs>
          <w:tab w:leader="none" w:pos="2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Reduction to restructuring costs represents the reversal of certain severance costs previously incurred pursuant to an ongoing restructuring plan.</w:t>
      </w:r>
    </w:p>
    <w:p>
      <w:pPr>
        <w:spacing w:after="0" w:line="26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Note: Adjusted EBITDA and Adjusted EBITDA margin % are non-GAAP financial measures that provide indicators of the Company's performance and its ability to meet debt service requirements. Adjusted EBITDA margin % is calculated by dividing Adjusted EBITDA by Net sales.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following tables reconcile SG&amp;A expenses, Income from operations, Other non-operating expense, Provision for income taxes, Net income attributable to common stockholders and Earnings per diluted share to Adjusted SG&amp;A expenses, Adjusted income from operations, Adjusted other non-operating expense, Adjusted provision for income taxes, Adjusted net income attributable to common stockholders, and Adjusted earnings per diluted share, which are non-GAAP financial measures, for the periods presented:</w:t>
      </w:r>
    </w:p>
    <w:p>
      <w:pPr>
        <w:spacing w:after="0" w:line="176"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3"/>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5"/>
                <w:szCs w:val="15"/>
                <w:color w:val="auto"/>
              </w:rPr>
            </w:pPr>
          </w:p>
        </w:tc>
        <w:tc>
          <w:tcPr>
            <w:tcW w:w="134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SG&amp;A Expenses:</w:t>
            </w:r>
          </w:p>
        </w:tc>
        <w:tc>
          <w:tcPr>
            <w:tcW w:w="160" w:type="dxa"/>
            <w:vAlign w:val="bottom"/>
          </w:tcPr>
          <w:p>
            <w:pPr>
              <w:spacing w:after="0"/>
              <w:rPr>
                <w:sz w:val="19"/>
                <w:szCs w:val="19"/>
                <w:color w:val="auto"/>
              </w:rPr>
            </w:pPr>
          </w:p>
        </w:tc>
        <w:tc>
          <w:tcPr>
            <w:tcW w:w="2920" w:type="dxa"/>
            <w:vAlign w:val="bottom"/>
            <w:gridSpan w:val="4"/>
          </w:tcPr>
          <w:p>
            <w:pPr>
              <w:jc w:val="right"/>
              <w:ind w:right="107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1,062.4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922.9</w:t>
            </w:r>
          </w:p>
        </w:tc>
      </w:tr>
      <w:tr>
        <w:trPr>
          <w:trHeight w:val="243"/>
        </w:trPr>
        <w:tc>
          <w:tcPr>
            <w:tcW w:w="582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58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36"/>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SG&amp;A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1,037.6</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914.1</w:t>
            </w:r>
          </w:p>
        </w:tc>
      </w:tr>
      <w:tr>
        <w:trPr>
          <w:trHeight w:val="250"/>
        </w:trPr>
        <w:tc>
          <w:tcPr>
            <w:tcW w:w="5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345.4</w:t>
            </w:r>
          </w:p>
        </w:tc>
      </w:tr>
      <w:tr>
        <w:trPr>
          <w:trHeight w:val="243"/>
        </w:trPr>
        <w:tc>
          <w:tcPr>
            <w:tcW w:w="582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58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36"/>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income from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475.6</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354.2</w:t>
            </w:r>
          </w:p>
        </w:tc>
      </w:tr>
      <w:tr>
        <w:trPr>
          <w:trHeight w:val="250"/>
        </w:trPr>
        <w:tc>
          <w:tcPr>
            <w:tcW w:w="5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Other Expense, net:</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tcBorders>
              <w:bottom w:val="single" w:sz="8" w:color="CCEEFF"/>
            </w:tcBorders>
          </w:tcPr>
          <w:p>
            <w:pPr>
              <w:ind w:left="180"/>
              <w:spacing w:after="0" w:line="243" w:lineRule="exact"/>
              <w:rPr>
                <w:sz w:val="20"/>
                <w:szCs w:val="20"/>
                <w:color w:val="auto"/>
              </w:rPr>
            </w:pPr>
            <w:r>
              <w:rPr>
                <w:rFonts w:ascii="Times New Roman" w:cs="Times New Roman" w:eastAsia="Times New Roman" w:hAnsi="Times New Roman"/>
                <w:sz w:val="18"/>
                <w:szCs w:val="18"/>
                <w:color w:val="auto"/>
              </w:rPr>
              <w:t>Pension settlement gain</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other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Provision for Income Taxes:</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w:t>
            </w:r>
          </w:p>
        </w:tc>
      </w:tr>
      <w:tr>
        <w:trPr>
          <w:trHeight w:val="189"/>
        </w:trPr>
        <w:tc>
          <w:tcPr>
            <w:tcW w:w="58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Income tax effect of adjustments to Income from operations and Other</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43"/>
        </w:trPr>
        <w:tc>
          <w:tcPr>
            <w:tcW w:w="582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expense, net</w:t>
            </w:r>
            <w:r>
              <w:rPr>
                <w:rFonts w:ascii="Times New Roman" w:cs="Times New Roman" w:eastAsia="Times New Roman" w:hAnsi="Times New Roman"/>
                <w:sz w:val="23"/>
                <w:szCs w:val="23"/>
                <w:color w:val="auto"/>
                <w:vertAlign w:val="superscript"/>
              </w:rPr>
              <w:t>(4)</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36"/>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provision for income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60.2</w:t>
            </w:r>
          </w:p>
        </w:tc>
      </w:tr>
      <w:tr>
        <w:trPr>
          <w:trHeight w:val="250"/>
        </w:trPr>
        <w:tc>
          <w:tcPr>
            <w:tcW w:w="5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Common Stockholders: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267.8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187.5</w:t>
            </w:r>
          </w:p>
        </w:tc>
      </w:tr>
      <w:tr>
        <w:trPr>
          <w:trHeight w:val="243"/>
        </w:trPr>
        <w:tc>
          <w:tcPr>
            <w:tcW w:w="582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58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582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Pension settlement gain</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58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Income tax effect of adjustments to Income from operations and Other</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43"/>
        </w:trPr>
        <w:tc>
          <w:tcPr>
            <w:tcW w:w="582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expense, net</w:t>
            </w:r>
            <w:r>
              <w:rPr>
                <w:rFonts w:ascii="Times New Roman" w:cs="Times New Roman" w:eastAsia="Times New Roman" w:hAnsi="Times New Roman"/>
                <w:sz w:val="23"/>
                <w:szCs w:val="23"/>
                <w:color w:val="auto"/>
                <w:vertAlign w:val="superscript"/>
              </w:rPr>
              <w:t>(4)</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3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284.4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193.9</w:t>
            </w:r>
          </w:p>
        </w:tc>
      </w:tr>
    </w:tbl>
    <w:p>
      <w:pPr>
        <w:spacing w:after="0" w:line="212" w:lineRule="exact"/>
        <w:rPr>
          <w:sz w:val="20"/>
          <w:szCs w:val="20"/>
          <w:color w:val="auto"/>
        </w:rPr>
      </w:pPr>
    </w:p>
    <w:p>
      <w:pPr>
        <w:ind w:left="240" w:hanging="232"/>
        <w:spacing w:after="0"/>
        <w:tabs>
          <w:tab w:leader="none" w:pos="2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50"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costs include severance costs incurred pursuant to an ongoing restructuring plan.</w:t>
      </w:r>
    </w:p>
    <w:p>
      <w:pPr>
        <w:spacing w:after="0" w:line="50"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Pension settlement gain represents income as a result of the partial settlement and remeasurement of the Company's EECOL Canada pension plan.</w:t>
      </w:r>
    </w:p>
    <w:p>
      <w:pPr>
        <w:spacing w:after="0" w:line="64" w:lineRule="exact"/>
        <w:rPr>
          <w:rFonts w:ascii="Times New Roman" w:cs="Times New Roman" w:eastAsia="Times New Roman" w:hAnsi="Times New Roman"/>
          <w:sz w:val="21"/>
          <w:szCs w:val="21"/>
          <w:color w:val="auto"/>
          <w:vertAlign w:val="superscript"/>
        </w:rPr>
      </w:pPr>
    </w:p>
    <w:p>
      <w:pPr>
        <w:ind w:left="260" w:hanging="252"/>
        <w:spacing w:after="0" w:line="215" w:lineRule="auto"/>
        <w:tabs>
          <w:tab w:leader="none" w:pos="25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adjustments to Income from operations and Other expense, net have been tax effected at rates of 27.1% and 26.7% for the three months ended September 30, 2026 and 2025, respectively.</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7"/>
        </w:trPr>
        <w:tc>
          <w:tcPr>
            <w:tcW w:w="8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8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Diluted Share:</w:t>
            </w:r>
          </w:p>
        </w:tc>
        <w:tc>
          <w:tcPr>
            <w:tcW w:w="140" w:type="dxa"/>
            <w:vAlign w:val="bottom"/>
          </w:tcPr>
          <w:p>
            <w:pPr>
              <w:spacing w:after="0"/>
              <w:rPr>
                <w:sz w:val="15"/>
                <w:szCs w:val="15"/>
                <w:color w:val="auto"/>
              </w:rPr>
            </w:pPr>
          </w:p>
        </w:tc>
        <w:tc>
          <w:tcPr>
            <w:tcW w:w="14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5"/>
                <w:szCs w:val="15"/>
                <w:color w:val="auto"/>
              </w:rPr>
            </w:pPr>
          </w:p>
        </w:tc>
        <w:tc>
          <w:tcPr>
            <w:tcW w:w="1300" w:type="dxa"/>
            <w:vAlign w:val="bottom"/>
          </w:tcPr>
          <w:p>
            <w:pPr>
              <w:jc w:val="right"/>
              <w:ind w:right="7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135"/>
        </w:trPr>
        <w:tc>
          <w:tcPr>
            <w:tcW w:w="80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03"/>
        </w:trPr>
        <w:tc>
          <w:tcPr>
            <w:tcW w:w="80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income from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0" w:type="dxa"/>
            <w:vAlign w:val="bottom"/>
          </w:tcPr>
          <w:p>
            <w:pPr>
              <w:spacing w:after="0"/>
              <w:rPr>
                <w:sz w:val="1"/>
                <w:szCs w:val="1"/>
                <w:color w:val="auto"/>
              </w:rPr>
            </w:pPr>
          </w:p>
        </w:tc>
      </w:tr>
      <w:tr>
        <w:trPr>
          <w:trHeight w:val="24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other expense, net</w:t>
            </w: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income before income taxes</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provision for income taxes</w:t>
            </w: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3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common stockholders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earnings per diluted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Note: For the three months ended September 30, 2026, SG&amp;A expenses, Income from operations, Other non-operating expense, Provision for income taxes, Net income attributable to common stockholders, and Earnings per diluted share have been adjusted to exclude Digital transformation costs, the gain recognized from the partial settlement of the EECOL Canada pension plan, and the related income tax effects. For the three months ended September 30, 2025, SG&amp;A expenses, Income from operations, Provision for income taxes, Net income attributable to common stockholders, and Earnings per diluted share have been adjusted to exclude Digital transformation costs, Restructuring costs, and the related income tax effects. These non-GAAP financial measures provide a better understanding of our financial results on a comparable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versus Nine Months Ended September 30,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Net sales and organic sales growth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Growth/(Decline)</w:t>
            </w: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74"/>
              <w:spacing w:after="0" w:line="18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15"/>
                <w:szCs w:val="15"/>
                <w:color w:val="auto"/>
              </w:rPr>
            </w:pPr>
          </w:p>
        </w:tc>
        <w:tc>
          <w:tcPr>
            <w:tcW w:w="136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Reported Sales</w:t>
            </w:r>
          </w:p>
        </w:tc>
        <w:tc>
          <w:tcPr>
            <w:tcW w:w="100" w:type="dxa"/>
            <w:vAlign w:val="bottom"/>
            <w:vMerge w:val="restart"/>
          </w:tcPr>
          <w:p>
            <w:pPr>
              <w:spacing w:after="0"/>
              <w:rPr>
                <w:sz w:val="15"/>
                <w:szCs w:val="15"/>
                <w:color w:val="auto"/>
              </w:rPr>
            </w:pPr>
          </w:p>
        </w:tc>
        <w:tc>
          <w:tcPr>
            <w:tcW w:w="13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13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100" w:type="dxa"/>
            <w:vAlign w:val="bottom"/>
            <w:vMerge w:val="restart"/>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Organic Sales</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00" w:type="dxa"/>
            <w:vAlign w:val="bottom"/>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19,971.6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17,442.4</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5"/>
              </w:rPr>
              <w:t>— %</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Note: Organic sales growth is a non-GAAP financial measure of sales performance. Organic sales growth is calculated by deducting the percentage impact from acquisitions and divestitures for one year following the respective transaction, fluctuations in foreign exchange rates and number of workdays from the reported percentage change in consolidated Net sales. Workday impact represents the change in the number of operating days period-over-period after adjusting for weekends and public holidays in the United States; there was no change in the number of workdays in the first nine months of 2026 compared to the first nine months of 2025.</w:t>
      </w:r>
    </w:p>
    <w:p>
      <w:pPr>
        <w:spacing w:after="0" w:line="14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sales were $20.0 billion for the first nine months of 2026 compared to $17.4 billion for the first nine months of 2025, an increase of 14.5%. Organic sales for the first nine months of 2026 grew by 13.9%. This growth reflects an approximate 11% increase in volume driven by all three segments (CSS, EES, and UBS), and an approximate 3% benefit from price.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Cost of goods sold for the first nine months of 2026 was $15.7 billion compared to $13.8 billion for the first nine months of 2025, an increase of 13.8%. The increase primarily reflects the increase in volume in all three segments. Cost of goods sold as a percentage of Net sales was 78.4% and 78.9% for the first nine months of 2026 and 2025, respectively. The favorable impact reflects improved gross margin in the EES and CSS segments, partially offset by a decline in the UBS segment.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SG&amp;A expenses for the first nine months of 2026 totaled $3.0 billion versus $2.6 billion for the first nine months of 2025, an increase of $401.3 million, or 15.3%.</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reconciles SG&amp;A expenses to Adjusted SG&amp;A expenses, which is a non-GAAP financial measure, for the periods presented:</w:t>
      </w:r>
    </w:p>
    <w:p>
      <w:pPr>
        <w:spacing w:after="0" w:line="167"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60" w:type="dxa"/>
            <w:vAlign w:val="bottom"/>
            <w:tcBorders>
              <w:bottom w:val="single" w:sz="8" w:color="auto"/>
            </w:tcBorders>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 Net</w:t>
            </w:r>
          </w:p>
        </w:tc>
        <w:tc>
          <w:tcPr>
            <w:tcW w:w="14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 Net</w:t>
            </w:r>
          </w:p>
        </w:tc>
      </w:tr>
      <w:tr>
        <w:trPr>
          <w:trHeight w:val="203"/>
        </w:trPr>
        <w:tc>
          <w:tcPr>
            <w:tcW w:w="4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0"/>
              <w:spacing w:after="0" w:line="202" w:lineRule="exact"/>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sales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70"/>
              <w:spacing w:after="0" w:line="202" w:lineRule="exact"/>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sales</w:t>
            </w: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SG&amp;A Expenses: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gridSpan w:val="3"/>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9"/>
                <w:szCs w:val="19"/>
                <w:color w:val="auto"/>
              </w:rPr>
            </w:pPr>
          </w:p>
        </w:tc>
      </w:tr>
      <w:tr>
        <w:trPr>
          <w:trHeight w:val="24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3,032.7</w:t>
            </w:r>
          </w:p>
        </w:tc>
        <w:tc>
          <w:tcPr>
            <w:tcW w:w="82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4"/>
                <w:szCs w:val="14"/>
                <w:color w:val="auto"/>
              </w:rPr>
              <w:t>15.2%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2,631.4</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15.1%</w:t>
            </w:r>
          </w:p>
        </w:tc>
      </w:tr>
      <w:tr>
        <w:trPr>
          <w:trHeight w:val="243"/>
        </w:trPr>
        <w:tc>
          <w:tcPr>
            <w:tcW w:w="4980" w:type="dxa"/>
            <w:vAlign w:val="bottom"/>
            <w:tcBorders>
              <w:bottom w:val="single" w:sz="8" w:color="CCEEFF"/>
            </w:tcBorders>
          </w:tcPr>
          <w:p>
            <w:pPr>
              <w:ind w:left="160"/>
              <w:spacing w:after="0" w:line="243"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760" w:type="dxa"/>
            <w:vAlign w:val="bottom"/>
            <w:tcBorders>
              <w:bottom w:val="single" w:sz="8" w:color="CCEEFF"/>
            </w:tcBorders>
          </w:tcPr>
          <w:p>
            <w:pPr>
              <w:spacing w:after="0"/>
              <w:rPr>
                <w:sz w:val="21"/>
                <w:szCs w:val="21"/>
                <w:color w:val="auto"/>
              </w:rPr>
            </w:pPr>
          </w:p>
        </w:tc>
      </w:tr>
      <w:tr>
        <w:trPr>
          <w:trHeight w:val="257"/>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SG&amp;A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2,967.2</w:t>
            </w:r>
          </w:p>
        </w:tc>
        <w:tc>
          <w:tcPr>
            <w:tcW w:w="82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4"/>
                <w:szCs w:val="14"/>
                <w:color w:val="auto"/>
              </w:rPr>
              <w:t>14.9%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2,607.3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14.9%</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104" w:lineRule="exact"/>
        <w:rPr>
          <w:sz w:val="20"/>
          <w:szCs w:val="20"/>
          <w:color w:val="auto"/>
        </w:rPr>
      </w:pPr>
    </w:p>
    <w:p>
      <w:pPr>
        <w:ind w:left="240" w:hanging="232"/>
        <w:spacing w:after="0"/>
        <w:tabs>
          <w:tab w:leader="none" w:pos="24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8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SG&amp;A payroll and payroll-related expenses for the first nine months of 2026 were $1,869.3 million, an increase of $238.0 million compared to the same period in 2025, which primarily reflects increases of $96.9 million in commissions and incentives, $76.5 million in salaries, $32.5 million in benefits, and $26.6 million in stock-based compensation expense. The higher commissions and incentives expense was aligned with the increase in Company performance.</w:t>
      </w:r>
    </w:p>
    <w:p>
      <w:pPr>
        <w:spacing w:after="0" w:line="7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SG&amp;A expenses not related to payroll and payroll-related costs for the first nine months of 2026 were $1,163.4 million, an increase of $163.3 million compared to the same period in 2025, which primarily reflects increased transportation costs of $35.8 million, increased professional and consulting fees of $35.3 million, increased costs to operate our facilities of $32.4 million, and increased IT costs of $28.6 million. Additionally, digital transformation costs increased by $41.4 million year-over-year primarily due to increased costs associated with DDP deployment resources.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Income from operations was $1,126.5 million for the first nine months of 2026 compared to $908.5 million for the first nine months of 2025, an increase of $218.0 million, or 24.0%. The increase primarily reflects higher Net sales and lower Cost of goods sold as a percentage of Net sales.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interest expense totaled $300.7 million for the first nine months of 2026 compared to $278.2 million for the first nine months of 2025. The increase of $22.5 million, or 8.1%, was primarily driven by higher net term debt throughout the first nine months of 2026 compared to the first nine months of 2025, as well as a $10.0 million non-cash loss on extinguishment of the 2028 Notes. These increases were partially offset by the issuance of the 2031 Notes and 2034 Notes at lower rates as compared to the 2028 Notes, as well as lower rates on our Receivables Facility and our Revolving Credit Facility throughout the first nine months of 2026 compared to the first nine months of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Other non-operating expense totaled $1.3 million for the first nine months of 2026 compared to income of $7.0 million for the first nine months of 2025. We recognized a net foreign currency exchange loss of $7.8 million for the first nine months of 2026 compared to a net loss of $0.2 million for the first nine months of 2025. We also recognized net periodic pension benefits of $4.8 million and $2.5 million for the nine months ended September 30, 2026 and 2025, respectively, which included a $2.0 million gain related to the partial settlement and remeasurement of the EECOL Canada pension plan in the first nine months of 2026. In the first nine months of 2026 and 2025, we recognized $1.1 million and $4.2 million of income, respectively, from adjustments to the fair value of the contingent consideration liability related to an acquisition.</w:t>
      </w:r>
    </w:p>
    <w:p>
      <w:pPr>
        <w:spacing w:after="0" w:line="7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reconciles Other non-operating expense (income) to Adjusted other non-operating expense (income), which is a non-GAAP financial measure, for the periods presented:</w:t>
      </w:r>
    </w:p>
    <w:p>
      <w:pPr>
        <w:spacing w:after="0" w:line="104" w:lineRule="exact"/>
        <w:rPr>
          <w:sz w:val="20"/>
          <w:szCs w:val="20"/>
          <w:color w:val="auto"/>
        </w:rPr>
      </w:pPr>
    </w:p>
    <w:tbl>
      <w:tblPr>
        <w:tblLayout w:type="fixed"/>
        <w:tblInd w:w="172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3100" w:type="dxa"/>
            <w:vAlign w:val="bottom"/>
            <w:tcBorders>
              <w:bottom w:val="single" w:sz="8" w:color="auto"/>
            </w:tcBorders>
            <w:gridSpan w:val="5"/>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2"/>
        </w:trPr>
        <w:tc>
          <w:tcPr>
            <w:tcW w:w="4940" w:type="dxa"/>
            <w:vAlign w:val="bottom"/>
          </w:tcPr>
          <w:p>
            <w:pPr>
              <w:spacing w:after="0"/>
              <w:rPr>
                <w:sz w:val="15"/>
                <w:szCs w:val="15"/>
                <w:color w:val="auto"/>
              </w:rPr>
            </w:pPr>
          </w:p>
        </w:tc>
        <w:tc>
          <w:tcPr>
            <w:tcW w:w="1600" w:type="dxa"/>
            <w:vAlign w:val="bottom"/>
            <w:gridSpan w:val="3"/>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5"/>
                <w:szCs w:val="15"/>
                <w:color w:val="auto"/>
              </w:rPr>
            </w:pPr>
          </w:p>
        </w:tc>
        <w:tc>
          <w:tcPr>
            <w:tcW w:w="134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494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8"/>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Other Expense (Income), net:</w:t>
            </w:r>
          </w:p>
        </w:tc>
        <w:tc>
          <w:tcPr>
            <w:tcW w:w="1040" w:type="dxa"/>
            <w:vAlign w:val="bottom"/>
          </w:tcPr>
          <w:p>
            <w:pPr>
              <w:spacing w:after="0"/>
              <w:rPr>
                <w:sz w:val="19"/>
                <w:szCs w:val="19"/>
                <w:color w:val="auto"/>
              </w:rPr>
            </w:pPr>
          </w:p>
        </w:tc>
        <w:tc>
          <w:tcPr>
            <w:tcW w:w="2060" w:type="dxa"/>
            <w:vAlign w:val="bottom"/>
            <w:gridSpan w:val="4"/>
          </w:tcPr>
          <w:p>
            <w:pPr>
              <w:jc w:val="right"/>
              <w:ind w:right="107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494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Pension settlement gain</w:t>
            </w:r>
            <w:r>
              <w:rPr>
                <w:rFonts w:ascii="Times New Roman" w:cs="Times New Roman" w:eastAsia="Times New Roman" w:hAnsi="Times New Roman"/>
                <w:sz w:val="23"/>
                <w:szCs w:val="23"/>
                <w:color w:val="auto"/>
                <w:vertAlign w:val="superscript"/>
              </w:rPr>
              <w:t>(1)</w:t>
            </w:r>
          </w:p>
        </w:tc>
        <w:tc>
          <w:tcPr>
            <w:tcW w:w="1040" w:type="dxa"/>
            <w:vAlign w:val="bottom"/>
          </w:tcPr>
          <w:p>
            <w:pPr>
              <w:spacing w:after="0"/>
              <w:rPr>
                <w:sz w:val="21"/>
                <w:szCs w:val="21"/>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4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Loss on termination of business arrangement</w:t>
            </w:r>
            <w:r>
              <w:rPr>
                <w:rFonts w:ascii="Times New Roman" w:cs="Times New Roman" w:eastAsia="Times New Roman" w:hAnsi="Times New Roman"/>
                <w:sz w:val="23"/>
                <w:szCs w:val="23"/>
                <w:color w:val="auto"/>
                <w:vertAlign w:val="superscript"/>
              </w:rPr>
              <w:t>(2)</w:t>
            </w:r>
          </w:p>
        </w:tc>
        <w:tc>
          <w:tcPr>
            <w:tcW w:w="10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r>
      <w:tr>
        <w:trPr>
          <w:trHeight w:val="23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other expense (income), net</w:t>
            </w:r>
          </w:p>
        </w:tc>
        <w:tc>
          <w:tcPr>
            <w:tcW w:w="104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r>
    </w:tbl>
    <w:p>
      <w:pPr>
        <w:spacing w:after="0" w:line="158" w:lineRule="exact"/>
        <w:rPr>
          <w:sz w:val="20"/>
          <w:szCs w:val="20"/>
          <w:color w:val="auto"/>
        </w:rPr>
      </w:pPr>
    </w:p>
    <w:p>
      <w:pPr>
        <w:ind w:left="240" w:hanging="232"/>
        <w:spacing w:after="0"/>
        <w:tabs>
          <w:tab w:leader="none" w:pos="24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Pension settlement gain represents income as a result of the partial settlement and remeasurement of the Company's EECOL Canada pension plan.</w:t>
      </w:r>
    </w:p>
    <w:p>
      <w:pPr>
        <w:spacing w:after="0" w:line="37"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on termination of business arrangement represents the loss recognized as a result of management's decision to terminate a business arrangement with a third party.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$192.3 million for the first nine months of 2026 compared to $155.7 million in last year's comparable period, resulting in effective tax rates of 23.3% and 24.4%, respectively. The lower effective tax rate for the first nine months of 2026 is largely driven by higher discrete income tax benefits relating to the exercise and vesting of stock-based awards and return to provision adjustments primarily attributable to lower U.S. tax on foreign income, partially offset by higher non-deductible compensation expense in 2026 as compared to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and Earnings per Share</w:t>
      </w:r>
    </w:p>
    <w:p>
      <w:pPr>
        <w:spacing w:after="0" w:line="12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income and Earnings per diluted share attributable to common stockholders were $630.6 million and $12.77, respectively, for the first nine months of 2026 compared to $480.6 million and $9.71, respectively, for the first nine months of 2025. Adjusted for the non-GAAP adjustments above and the related income tax effects, and the $27.6 million gain recognized as a result of the Company's redemption of its outstanding Series A Preferred Stock, Net income and Earnings per diluted share attributable to common stockholders were $676.8 million and $13.70, respectively, for the first nine months of 2026 and $470.9 million and $9.51, respectively, for the first nine months of 2025.</w:t>
      </w:r>
    </w:p>
    <w:p>
      <w:pPr>
        <w:spacing w:after="0" w:line="75"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increase in Adjusted earnings per diluted share primarily reflects the increase in Net sales and lower Cost of goods sold as a percentage of Net sales, partially offset by higher Adjusted SG&amp;A Expenses.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0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Adjusted EBITDA, a non-GAAP financial measure, was $1,437.5 million for the first nine months of 2026 compared to $1,127.8 million for the first nine months of 2025, an increase of $309.7 million, or 27.5% year-over-year. The increase primarily reflects higher Net sales and increased gross margin, partially offset by higher Adjusted SG&amp;A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21"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8"/>
          <w:szCs w:val="18"/>
          <w:color w:val="auto"/>
        </w:rPr>
        <w:t>The following is a discussion of the financial results of our operating segments comprising three strategic business units consisting of EES, CSS and UBS for the nine months ended September 30, 2026. As further described below and in Note 13, “Business Segments” of our Notes to the unaudited Condensed Consolidated Financial Statements, the CODM allocates resources and evaluates the performance of the Company’s reportable segments based on Adjusted EBITDA, which is the Company’s measure of segment profit or loss. Adjusted EBITDA and Adjusted EBITDA margin percentage are non-GAAP financial measures.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Electrical &amp; Electronic Solutions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Growth/(Decline)</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ind w:right="133"/>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5"/>
                <w:szCs w:val="15"/>
                <w:color w:val="auto"/>
              </w:rPr>
            </w:pPr>
          </w:p>
        </w:tc>
        <w:tc>
          <w:tcPr>
            <w:tcW w:w="132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5"/>
                <w:szCs w:val="15"/>
                <w:color w:val="auto"/>
              </w:rPr>
            </w:pPr>
          </w:p>
        </w:tc>
        <w:tc>
          <w:tcPr>
            <w:tcW w:w="120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122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10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Organic</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1"/>
                <w:szCs w:val="21"/>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380" w:type="dxa"/>
            <w:vAlign w:val="bottom"/>
            <w:gridSpan w:val="2"/>
            <w:vMerge w:val="continue"/>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220" w:type="dxa"/>
            <w:vAlign w:val="bottom"/>
            <w:gridSpan w:val="2"/>
            <w:vMerge w:val="continue"/>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3"/>
          </w:tcPr>
          <w:p>
            <w:pPr>
              <w:jc w:val="right"/>
              <w:ind w:right="10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7,527.3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6,682.7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675.4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Adjusted EBITDA Margin</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EES reported Net sales of $7.5 billion for the first nine months of 2026 compared to $6.7 billion for the first nine months of 2025, an increase of $844.6 million, or 12.6%. EES organic sales for the first nine months of 2026 grew by 12.1%, reflecting volume growth of approximately 7%, driven primarily by the construction and OEM businesses, and by the impact of changes in price, which favorably impacted organic sales by approximately 5%.</w:t>
      </w:r>
    </w:p>
    <w:p>
      <w:pPr>
        <w:spacing w:after="0" w:line="6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EES Adjusted EBITDA increased $151.6 million, or 28.9% year-over-year. The increase primarily reflects an increase in volume and price, as described above, as well as gross margin expansion driven primarily by a $29.0 million increase in supplier volume rebates. Cost of goods sold increased $584.4 million primarily due to the increase in volume, which was partially offset by improved gross margin. These increases were partially offset by an increase in SG&amp;A payroll expenses, which increased $68.7 million as compared to the prior year, which was primarily attributed to increased salaries of $33.2 million, and increased commissions and incentives of $25.8 million. Other segment items increased $39.2 million as compared to the prior year, which was primarily attributed to increased volume-related costs such as transportation costs and operations expenses.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&amp; Security Solutions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Growth/(Decline)</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133"/>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6"/>
                <w:szCs w:val="16"/>
                <w:color w:val="auto"/>
              </w:rPr>
            </w:pPr>
          </w:p>
        </w:tc>
        <w:tc>
          <w:tcPr>
            <w:tcW w:w="132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c>
          <w:tcPr>
            <w:tcW w:w="120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122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1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Organic</w:t>
            </w:r>
          </w:p>
        </w:tc>
        <w:tc>
          <w:tcPr>
            <w:tcW w:w="0" w:type="dxa"/>
            <w:vAlign w:val="bottom"/>
          </w:tcPr>
          <w:p>
            <w:pPr>
              <w:spacing w:after="0"/>
              <w:rPr>
                <w:sz w:val="1"/>
                <w:szCs w:val="1"/>
                <w:color w:val="auto"/>
              </w:rPr>
            </w:pPr>
          </w:p>
        </w:tc>
      </w:tr>
      <w:tr>
        <w:trPr>
          <w:trHeight w:val="238"/>
        </w:trPr>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380" w:type="dxa"/>
            <w:vAlign w:val="bottom"/>
            <w:gridSpan w:val="2"/>
            <w:vMerge w:val="continue"/>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220" w:type="dxa"/>
            <w:vAlign w:val="bottom"/>
            <w:gridSpan w:val="2"/>
            <w:vMerge w:val="continue"/>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3"/>
          </w:tcPr>
          <w:p>
            <w:pPr>
              <w:jc w:val="right"/>
              <w:ind w:right="10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8,093.6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6,676.4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809.5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Adjusted EBITDA Margin</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CSS reported Net sales of $8.1 billion for the first nine months of 2026 compared to $6.7 billion for the first nine months of 2025, an increase of $1,417.2 million, or 21.2%. CSS organic sales for the first nine months of 2026 grew by 20.2%, primarily reflecting volume growth of approximately 19%, driven primarily by the data center solutions business, as well as the impact of changes in price, which favorably impacted organic sales by approximately 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CSS Adjusted EBITDA increased $231.5 million, or 40.1% year-over-year. The increase primarily reflects an increase in volume, specifically within the data center solutions business as described above. Cost of goods sold increased $1.1 billion primarily due to the increase in volume, which was partially offset by improved gross margin. These increases were partially offset by an increase in SG&amp;A payroll expenses of $55.8 million. The increase in SG&amp;A payroll expenses is primarily attributed to increased salaries $27.2 million, increased commissions and incentives of $21.7 million, and increased benefits expense of $5.7 million. Other segment items increased by $50.7 million as compared to the prior year, which was primarily attributed to increased volume-related costs such as transportation expenses and operations expenses, as well as increased bad debt expenses.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Utility &amp; Broadband Solutions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Growth/(Decline)</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ind w:right="133"/>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5"/>
                <w:szCs w:val="15"/>
                <w:color w:val="auto"/>
              </w:rPr>
            </w:pPr>
          </w:p>
        </w:tc>
        <w:tc>
          <w:tcPr>
            <w:tcW w:w="132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5"/>
                <w:szCs w:val="15"/>
                <w:color w:val="auto"/>
              </w:rPr>
            </w:pPr>
          </w:p>
        </w:tc>
        <w:tc>
          <w:tcPr>
            <w:tcW w:w="120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122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10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Organic</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1"/>
                <w:szCs w:val="21"/>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380" w:type="dxa"/>
            <w:vAlign w:val="bottom"/>
            <w:gridSpan w:val="2"/>
            <w:vMerge w:val="continue"/>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220" w:type="dxa"/>
            <w:vAlign w:val="bottom"/>
            <w:gridSpan w:val="2"/>
            <w:vMerge w:val="continue"/>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3"/>
          </w:tcPr>
          <w:p>
            <w:pPr>
              <w:jc w:val="right"/>
              <w:ind w:right="10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4,350.7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4,083.3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435.7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Adjusted EBITDA Margin</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UBS reported Net sales of $4.4 billion for the first nine months of 2026 compared to $4.1 billion for the first nine months of 2025, an increase of $267.4 million, or 6.5%. UBS organic sales for the first nine months of 2026 grew by 6.5%, reflecting volume growth of approximately 4% driven by the broadband and utility businesses, as well as the impact of changes in price, which favorably impacted organic sales by approximately 3%.</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UBS Adjusted EBITDA increased $5.0 million, or 1.2% year-over-year.</w:t>
      </w:r>
    </w:p>
    <w:p>
      <w:pPr>
        <w:spacing w:after="0" w:line="11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tables reconcile Net income attributable to common stockholders to Adjusted EBITDA and Adjusted EBITDA margin % by segment, which are non-GAAP financial measures,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EES</w:t>
            </w:r>
          </w:p>
        </w:tc>
        <w:tc>
          <w:tcPr>
            <w:tcW w:w="200" w:type="dxa"/>
            <w:vAlign w:val="bottom"/>
          </w:tcPr>
          <w:p>
            <w:pPr>
              <w:spacing w:after="0"/>
              <w:rPr>
                <w:sz w:val="20"/>
                <w:szCs w:val="20"/>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CSS</w:t>
            </w: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UBS</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48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696.4</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407.6</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(1,088.8)</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630.6</w:t>
            </w:r>
          </w:p>
        </w:tc>
      </w:tr>
      <w:tr>
        <w:trPr>
          <w:trHeight w:val="243"/>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482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Provision for income taxes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192.3</w:t>
            </w:r>
          </w:p>
        </w:tc>
      </w:tr>
      <w:tr>
        <w:trPr>
          <w:trHeight w:val="243"/>
        </w:trPr>
        <w:tc>
          <w:tcPr>
            <w:tcW w:w="482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300.7</w:t>
            </w:r>
          </w:p>
        </w:tc>
      </w:tr>
      <w:tr>
        <w:trPr>
          <w:trHeight w:val="243"/>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154.4</w:t>
            </w:r>
          </w:p>
        </w:tc>
      </w:tr>
      <w:tr>
        <w:trPr>
          <w:trHeight w:val="243"/>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r>
      <w:tr>
        <w:trPr>
          <w:trHeight w:val="243"/>
        </w:trPr>
        <w:tc>
          <w:tcPr>
            <w:tcW w:w="482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65.5</w:t>
            </w:r>
          </w:p>
        </w:tc>
      </w:tr>
      <w:tr>
        <w:trPr>
          <w:trHeight w:val="243"/>
        </w:trPr>
        <w:tc>
          <w:tcPr>
            <w:tcW w:w="482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Cloud computing arrangement amortization</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r>
      <w:tr>
        <w:trPr>
          <w:trHeight w:val="237"/>
        </w:trPr>
        <w:tc>
          <w:tcPr>
            <w:tcW w:w="48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675.4</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809.5</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435.7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(483.1)</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1,437.5</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 margin %</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bl>
    <w:p>
      <w:pPr>
        <w:spacing w:after="0" w:line="67" w:lineRule="exact"/>
        <w:rPr>
          <w:sz w:val="20"/>
          <w:szCs w:val="20"/>
          <w:color w:val="auto"/>
        </w:rPr>
      </w:pPr>
    </w:p>
    <w:p>
      <w:pPr>
        <w:ind w:left="200" w:hanging="147"/>
        <w:spacing w:after="0"/>
        <w:tabs>
          <w:tab w:leader="none" w:pos="20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reportable segments do not incur income taxes and interest expense as these costs are centrally controlled through the Corporate tax and treasury functions.</w:t>
      </w:r>
    </w:p>
    <w:p>
      <w:pPr>
        <w:spacing w:after="0" w:line="40" w:lineRule="exact"/>
        <w:rPr>
          <w:rFonts w:ascii="Times New Roman" w:cs="Times New Roman" w:eastAsia="Times New Roman" w:hAnsi="Times New Roman"/>
          <w:sz w:val="18"/>
          <w:szCs w:val="18"/>
          <w:color w:val="auto"/>
          <w:vertAlign w:val="superscript"/>
        </w:rPr>
      </w:pPr>
    </w:p>
    <w:p>
      <w:pPr>
        <w:ind w:left="220" w:hanging="167"/>
        <w:spacing w:after="0" w:line="191" w:lineRule="auto"/>
        <w:tabs>
          <w:tab w:leader="none" w:pos="2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37" w:lineRule="exact"/>
        <w:rPr>
          <w:rFonts w:ascii="Times New Roman" w:cs="Times New Roman" w:eastAsia="Times New Roman" w:hAnsi="Times New Roman"/>
          <w:sz w:val="21"/>
          <w:szCs w:val="21"/>
          <w:color w:val="auto"/>
          <w:vertAlign w:val="superscript"/>
        </w:rPr>
      </w:pPr>
    </w:p>
    <w:p>
      <w:pPr>
        <w:ind w:left="300" w:right="20" w:hanging="247"/>
        <w:spacing w:after="0" w:line="199" w:lineRule="auto"/>
        <w:tabs>
          <w:tab w:leader="none" w:pos="2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Cloud computing arrangement amortization consists of expense recognized in SG&amp;A expenses for capitalized implementation costs for cloud computing arrangements to support our digital transformation initiatives.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EES</w:t>
            </w:r>
          </w:p>
        </w:tc>
        <w:tc>
          <w:tcPr>
            <w:tcW w:w="200" w:type="dxa"/>
            <w:vAlign w:val="bottom"/>
          </w:tcPr>
          <w:p>
            <w:pPr>
              <w:spacing w:after="0"/>
              <w:rPr>
                <w:sz w:val="20"/>
                <w:szCs w:val="20"/>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CSS</w:t>
            </w: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UBS</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48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470.4</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481.0</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(879.6)</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480.6</w:t>
            </w:r>
          </w:p>
        </w:tc>
      </w:tr>
      <w:tr>
        <w:trPr>
          <w:trHeight w:val="243"/>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redemption of Series A Preferred Stock</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r>
      <w:tr>
        <w:trPr>
          <w:trHeight w:val="243"/>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r>
      <w:tr>
        <w:trPr>
          <w:trHeight w:val="243"/>
        </w:trPr>
        <w:tc>
          <w:tcPr>
            <w:tcW w:w="482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Provision for income taxes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155.7</w:t>
            </w:r>
          </w:p>
        </w:tc>
      </w:tr>
      <w:tr>
        <w:trPr>
          <w:trHeight w:val="243"/>
        </w:trPr>
        <w:tc>
          <w:tcPr>
            <w:tcW w:w="482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278.2</w:t>
            </w:r>
          </w:p>
        </w:tc>
      </w:tr>
      <w:tr>
        <w:trPr>
          <w:trHeight w:val="243"/>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145.8</w:t>
            </w:r>
          </w:p>
        </w:tc>
      </w:tr>
      <w:tr>
        <w:trPr>
          <w:trHeight w:val="243"/>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r>
      <w:tr>
        <w:trPr>
          <w:trHeight w:val="243"/>
        </w:trPr>
        <w:tc>
          <w:tcPr>
            <w:tcW w:w="482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r>
      <w:tr>
        <w:trPr>
          <w:trHeight w:val="243"/>
        </w:trPr>
        <w:tc>
          <w:tcPr>
            <w:tcW w:w="482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Cloud computing arrangement amortization</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r>
      <w:tr>
        <w:trPr>
          <w:trHeight w:val="237"/>
        </w:trPr>
        <w:tc>
          <w:tcPr>
            <w:tcW w:w="48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523.8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578.0</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430.7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(404.7)</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1,127.8</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 margin %</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bl>
    <w:p>
      <w:pPr>
        <w:ind w:left="220" w:hanging="167"/>
        <w:spacing w:after="0" w:line="222" w:lineRule="auto"/>
        <w:tabs>
          <w:tab w:leader="none" w:pos="2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reportable segments do not incur income taxes and interest expense as these costs are centrally controlled through the Corporate tax and treasury functions.</w:t>
      </w:r>
    </w:p>
    <w:p>
      <w:pPr>
        <w:spacing w:after="0" w:line="37" w:lineRule="exact"/>
        <w:rPr>
          <w:rFonts w:ascii="Times New Roman" w:cs="Times New Roman" w:eastAsia="Times New Roman" w:hAnsi="Times New Roman"/>
          <w:sz w:val="21"/>
          <w:szCs w:val="21"/>
          <w:color w:val="auto"/>
          <w:vertAlign w:val="superscript"/>
        </w:rPr>
      </w:pPr>
    </w:p>
    <w:p>
      <w:pPr>
        <w:ind w:left="220" w:hanging="167"/>
        <w:spacing w:after="0" w:line="191" w:lineRule="auto"/>
        <w:tabs>
          <w:tab w:leader="none" w:pos="2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37" w:lineRule="exact"/>
        <w:rPr>
          <w:rFonts w:ascii="Times New Roman" w:cs="Times New Roman" w:eastAsia="Times New Roman" w:hAnsi="Times New Roman"/>
          <w:sz w:val="21"/>
          <w:szCs w:val="21"/>
          <w:color w:val="auto"/>
          <w:vertAlign w:val="superscript"/>
        </w:rPr>
      </w:pPr>
    </w:p>
    <w:p>
      <w:pPr>
        <w:ind w:left="300" w:right="20" w:hanging="247"/>
        <w:spacing w:after="0" w:line="199" w:lineRule="auto"/>
        <w:tabs>
          <w:tab w:leader="none" w:pos="2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Cloud computing arrangement amortization consists of expense recognized in SG&amp;A expenses for capitalized implementation costs for cloud computing arrangements to support our digital transformation initiatives.</w:t>
      </w:r>
    </w:p>
    <w:p>
      <w:pPr>
        <w:spacing w:after="0" w:line="26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Note: Adjusted EBITDA and Adjusted EBITDA margin % are non-GAAP financial measures that provide indicators of the Company's performance and its ability to meet debt service requirements. Adjusted EBITDA margin % is calculated by dividing Adjusted EBITDA by Net sales.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The following tables reconcile SG&amp;A expenses, Income from operations, Other non-operating expense (income), Provision for income taxes, Net income attributable to common stockholders and Earnings per diluted share to Adjusted SG&amp;A expenses, Adjusted income from operations, Adjusted other non-operating expense (income), Adjusted provision for income taxes, Adjusted net income attributable to common stockholders, and Adjusted earnings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diluted share, which are non-GAAP financial measures, for the periods presented: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60"/>
        </w:trPr>
        <w:tc>
          <w:tcPr>
            <w:tcW w:w="13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3"/>
        </w:trPr>
        <w:tc>
          <w:tcPr>
            <w:tcW w:w="130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5"/>
                <w:szCs w:val="15"/>
                <w:color w:val="auto"/>
              </w:rPr>
            </w:pPr>
          </w:p>
        </w:tc>
        <w:tc>
          <w:tcPr>
            <w:tcW w:w="134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130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8"/>
        </w:trPr>
        <w:tc>
          <w:tcPr>
            <w:tcW w:w="130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SG&amp;A Expenses:</w:t>
            </w:r>
          </w:p>
        </w:tc>
        <w:tc>
          <w:tcPr>
            <w:tcW w:w="160" w:type="dxa"/>
            <w:vAlign w:val="bottom"/>
          </w:tcPr>
          <w:p>
            <w:pPr>
              <w:spacing w:after="0"/>
              <w:rPr>
                <w:sz w:val="19"/>
                <w:szCs w:val="19"/>
                <w:color w:val="auto"/>
              </w:rPr>
            </w:pPr>
          </w:p>
        </w:tc>
        <w:tc>
          <w:tcPr>
            <w:tcW w:w="2920" w:type="dxa"/>
            <w:vAlign w:val="bottom"/>
            <w:gridSpan w:val="4"/>
          </w:tcPr>
          <w:p>
            <w:pPr>
              <w:jc w:val="right"/>
              <w:ind w:right="107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3"/>
        </w:trPr>
        <w:tc>
          <w:tcPr>
            <w:tcW w:w="1300" w:type="dxa"/>
            <w:vAlign w:val="bottom"/>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3,032.7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2,631.4</w:t>
            </w:r>
          </w:p>
        </w:tc>
      </w:tr>
      <w:tr>
        <w:trPr>
          <w:trHeight w:val="243"/>
        </w:trPr>
        <w:tc>
          <w:tcPr>
            <w:tcW w:w="1300" w:type="dxa"/>
            <w:vAlign w:val="bottom"/>
          </w:tcPr>
          <w:p>
            <w:pPr>
              <w:spacing w:after="0"/>
              <w:rPr>
                <w:sz w:val="21"/>
                <w:szCs w:val="21"/>
                <w:color w:val="auto"/>
              </w:rPr>
            </w:pPr>
          </w:p>
        </w:tc>
        <w:tc>
          <w:tcPr>
            <w:tcW w:w="5820" w:type="dxa"/>
            <w:vAlign w:val="bottom"/>
            <w:tcBorders>
              <w:bottom w:val="single" w:sz="8" w:color="CCEEFF"/>
            </w:tcBorders>
          </w:tcPr>
          <w:p>
            <w:pPr>
              <w:ind w:left="180"/>
              <w:spacing w:after="0" w:line="243"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r>
      <w:tr>
        <w:trPr>
          <w:trHeight w:val="237"/>
        </w:trPr>
        <w:tc>
          <w:tcPr>
            <w:tcW w:w="1300" w:type="dxa"/>
            <w:vAlign w:val="bottom"/>
          </w:tcPr>
          <w:p>
            <w:pPr>
              <w:spacing w:after="0"/>
              <w:rPr>
                <w:sz w:val="20"/>
                <w:szCs w:val="20"/>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SG&amp;A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2,967.2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2,607.3</w:t>
            </w:r>
          </w:p>
        </w:tc>
      </w:tr>
      <w:tr>
        <w:trPr>
          <w:trHeight w:val="270"/>
        </w:trPr>
        <w:tc>
          <w:tcPr>
            <w:tcW w:w="130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43"/>
        </w:trPr>
        <w:tc>
          <w:tcPr>
            <w:tcW w:w="1300" w:type="dxa"/>
            <w:vAlign w:val="bottom"/>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908.5</w:t>
            </w:r>
          </w:p>
        </w:tc>
      </w:tr>
      <w:tr>
        <w:trPr>
          <w:trHeight w:val="243"/>
        </w:trPr>
        <w:tc>
          <w:tcPr>
            <w:tcW w:w="1300" w:type="dxa"/>
            <w:vAlign w:val="bottom"/>
          </w:tcPr>
          <w:p>
            <w:pPr>
              <w:spacing w:after="0"/>
              <w:rPr>
                <w:sz w:val="21"/>
                <w:szCs w:val="21"/>
                <w:color w:val="auto"/>
              </w:rPr>
            </w:pPr>
          </w:p>
        </w:tc>
        <w:tc>
          <w:tcPr>
            <w:tcW w:w="58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r>
      <w:tr>
        <w:trPr>
          <w:trHeight w:val="237"/>
        </w:trPr>
        <w:tc>
          <w:tcPr>
            <w:tcW w:w="130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Adjusted income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1,192.0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932.6</w:t>
            </w:r>
          </w:p>
        </w:tc>
      </w:tr>
      <w:tr>
        <w:trPr>
          <w:trHeight w:val="270"/>
        </w:trPr>
        <w:tc>
          <w:tcPr>
            <w:tcW w:w="1300" w:type="dxa"/>
            <w:vAlign w:val="bottom"/>
          </w:tcPr>
          <w:p>
            <w:pPr>
              <w:spacing w:after="0"/>
              <w:rPr>
                <w:sz w:val="23"/>
                <w:szCs w:val="23"/>
                <w:color w:val="auto"/>
              </w:rPr>
            </w:pPr>
          </w:p>
        </w:tc>
        <w:tc>
          <w:tcPr>
            <w:tcW w:w="5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1300" w:type="dxa"/>
            <w:vAlign w:val="bottom"/>
          </w:tcPr>
          <w:p>
            <w:pPr>
              <w:spacing w:after="0"/>
              <w:rPr>
                <w:sz w:val="21"/>
                <w:szCs w:val="21"/>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Other Expense (Income), net:</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1300" w:type="dxa"/>
            <w:vAlign w:val="bottom"/>
          </w:tcPr>
          <w:p>
            <w:pPr>
              <w:spacing w:after="0"/>
              <w:rPr>
                <w:sz w:val="21"/>
                <w:szCs w:val="21"/>
                <w:color w:val="auto"/>
              </w:rPr>
            </w:pPr>
          </w:p>
        </w:tc>
        <w:tc>
          <w:tcPr>
            <w:tcW w:w="582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Pension settlement gain</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300" w:type="dxa"/>
            <w:vAlign w:val="bottom"/>
          </w:tcPr>
          <w:p>
            <w:pPr>
              <w:spacing w:after="0"/>
              <w:rPr>
                <w:sz w:val="21"/>
                <w:szCs w:val="21"/>
                <w:color w:val="auto"/>
              </w:rPr>
            </w:pPr>
          </w:p>
        </w:tc>
        <w:tc>
          <w:tcPr>
            <w:tcW w:w="58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Loss on termination of business arrangement</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r>
      <w:tr>
        <w:trPr>
          <w:trHeight w:val="237"/>
        </w:trPr>
        <w:tc>
          <w:tcPr>
            <w:tcW w:w="130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Adjusted other expense (income),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r>
      <w:tr>
        <w:trPr>
          <w:trHeight w:val="270"/>
        </w:trPr>
        <w:tc>
          <w:tcPr>
            <w:tcW w:w="1300" w:type="dxa"/>
            <w:vAlign w:val="bottom"/>
          </w:tcPr>
          <w:p>
            <w:pPr>
              <w:spacing w:after="0"/>
              <w:rPr>
                <w:sz w:val="23"/>
                <w:szCs w:val="23"/>
                <w:color w:val="auto"/>
              </w:rPr>
            </w:pPr>
          </w:p>
        </w:tc>
        <w:tc>
          <w:tcPr>
            <w:tcW w:w="5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1300" w:type="dxa"/>
            <w:vAlign w:val="bottom"/>
          </w:tcPr>
          <w:p>
            <w:pPr>
              <w:spacing w:after="0"/>
              <w:rPr>
                <w:sz w:val="21"/>
                <w:szCs w:val="21"/>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Provision for Income Taxes: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155.7</w:t>
            </w:r>
          </w:p>
        </w:tc>
      </w:tr>
      <w:tr>
        <w:trPr>
          <w:trHeight w:val="189"/>
        </w:trPr>
        <w:tc>
          <w:tcPr>
            <w:tcW w:w="1300" w:type="dxa"/>
            <w:vAlign w:val="bottom"/>
          </w:tcPr>
          <w:p>
            <w:pPr>
              <w:spacing w:after="0"/>
              <w:rPr>
                <w:sz w:val="16"/>
                <w:szCs w:val="16"/>
                <w:color w:val="auto"/>
              </w:rPr>
            </w:pPr>
          </w:p>
        </w:tc>
        <w:tc>
          <w:tcPr>
            <w:tcW w:w="58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Income tax effect of adjustments to Income from operations and Other</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43"/>
        </w:trPr>
        <w:tc>
          <w:tcPr>
            <w:tcW w:w="1300" w:type="dxa"/>
            <w:vAlign w:val="bottom"/>
          </w:tcPr>
          <w:p>
            <w:pPr>
              <w:spacing w:after="0"/>
              <w:rPr>
                <w:sz w:val="21"/>
                <w:szCs w:val="21"/>
                <w:color w:val="auto"/>
              </w:rPr>
            </w:pPr>
          </w:p>
        </w:tc>
        <w:tc>
          <w:tcPr>
            <w:tcW w:w="5820" w:type="dxa"/>
            <w:vAlign w:val="bottom"/>
            <w:tcBorders>
              <w:bottom w:val="single" w:sz="8" w:color="CCEEFF"/>
            </w:tcBorders>
          </w:tcPr>
          <w:p>
            <w:pPr>
              <w:ind w:left="260"/>
              <w:spacing w:after="0" w:line="243" w:lineRule="exact"/>
              <w:rPr>
                <w:sz w:val="20"/>
                <w:szCs w:val="20"/>
                <w:color w:val="auto"/>
              </w:rPr>
            </w:pPr>
            <w:r>
              <w:rPr>
                <w:rFonts w:ascii="Times New Roman" w:cs="Times New Roman" w:eastAsia="Times New Roman" w:hAnsi="Times New Roman"/>
                <w:sz w:val="18"/>
                <w:szCs w:val="18"/>
                <w:color w:val="auto"/>
              </w:rPr>
              <w:t>expense (income), net</w:t>
            </w:r>
            <w:r>
              <w:rPr>
                <w:rFonts w:ascii="Times New Roman" w:cs="Times New Roman" w:eastAsia="Times New Roman" w:hAnsi="Times New Roman"/>
                <w:sz w:val="23"/>
                <w:szCs w:val="23"/>
                <w:color w:val="auto"/>
                <w:vertAlign w:val="superscript"/>
              </w:rPr>
              <w:t>(4)</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r>
      <w:tr>
        <w:trPr>
          <w:trHeight w:val="236"/>
        </w:trPr>
        <w:tc>
          <w:tcPr>
            <w:tcW w:w="1300" w:type="dxa"/>
            <w:vAlign w:val="bottom"/>
          </w:tcPr>
          <w:p>
            <w:pPr>
              <w:spacing w:after="0"/>
              <w:rPr>
                <w:sz w:val="20"/>
                <w:szCs w:val="20"/>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provision for 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162.2</w:t>
            </w:r>
          </w:p>
        </w:tc>
      </w:tr>
      <w:tr>
        <w:trPr>
          <w:trHeight w:val="270"/>
        </w:trPr>
        <w:tc>
          <w:tcPr>
            <w:tcW w:w="130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43"/>
        </w:trPr>
        <w:tc>
          <w:tcPr>
            <w:tcW w:w="1300" w:type="dxa"/>
            <w:vAlign w:val="bottom"/>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Common Stockholders:</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630.6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480.6</w:t>
            </w:r>
          </w:p>
        </w:tc>
      </w:tr>
      <w:tr>
        <w:trPr>
          <w:trHeight w:val="243"/>
        </w:trPr>
        <w:tc>
          <w:tcPr>
            <w:tcW w:w="1300" w:type="dxa"/>
            <w:vAlign w:val="bottom"/>
          </w:tcPr>
          <w:p>
            <w:pPr>
              <w:spacing w:after="0"/>
              <w:rPr>
                <w:sz w:val="21"/>
                <w:szCs w:val="21"/>
                <w:color w:val="auto"/>
              </w:rPr>
            </w:pPr>
          </w:p>
        </w:tc>
        <w:tc>
          <w:tcPr>
            <w:tcW w:w="58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r>
      <w:tr>
        <w:trPr>
          <w:trHeight w:val="243"/>
        </w:trPr>
        <w:tc>
          <w:tcPr>
            <w:tcW w:w="1300" w:type="dxa"/>
            <w:vAlign w:val="bottom"/>
          </w:tcPr>
          <w:p>
            <w:pPr>
              <w:spacing w:after="0"/>
              <w:rPr>
                <w:sz w:val="21"/>
                <w:szCs w:val="21"/>
                <w:color w:val="auto"/>
              </w:rPr>
            </w:pPr>
          </w:p>
        </w:tc>
        <w:tc>
          <w:tcPr>
            <w:tcW w:w="582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Pension settlement gain</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300" w:type="dxa"/>
            <w:vAlign w:val="bottom"/>
          </w:tcPr>
          <w:p>
            <w:pPr>
              <w:spacing w:after="0"/>
              <w:rPr>
                <w:sz w:val="21"/>
                <w:szCs w:val="21"/>
                <w:color w:val="auto"/>
              </w:rPr>
            </w:pPr>
          </w:p>
        </w:tc>
        <w:tc>
          <w:tcPr>
            <w:tcW w:w="58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Loss on termination of business arrangement</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r>
      <w:tr>
        <w:trPr>
          <w:trHeight w:val="189"/>
        </w:trPr>
        <w:tc>
          <w:tcPr>
            <w:tcW w:w="1300" w:type="dxa"/>
            <w:vAlign w:val="bottom"/>
          </w:tcPr>
          <w:p>
            <w:pPr>
              <w:spacing w:after="0"/>
              <w:rPr>
                <w:sz w:val="16"/>
                <w:szCs w:val="16"/>
                <w:color w:val="auto"/>
              </w:rPr>
            </w:pPr>
          </w:p>
        </w:tc>
        <w:tc>
          <w:tcPr>
            <w:tcW w:w="58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Income tax effect of adjustments to Income from operations and Other</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43"/>
        </w:trPr>
        <w:tc>
          <w:tcPr>
            <w:tcW w:w="1300" w:type="dxa"/>
            <w:vAlign w:val="bottom"/>
          </w:tcPr>
          <w:p>
            <w:pPr>
              <w:spacing w:after="0"/>
              <w:rPr>
                <w:sz w:val="21"/>
                <w:szCs w:val="21"/>
                <w:color w:val="auto"/>
              </w:rPr>
            </w:pPr>
          </w:p>
        </w:tc>
        <w:tc>
          <w:tcPr>
            <w:tcW w:w="582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expense (income), net</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1300" w:type="dxa"/>
            <w:vAlign w:val="bottom"/>
          </w:tcPr>
          <w:p>
            <w:pPr>
              <w:spacing w:after="0"/>
              <w:rPr>
                <w:sz w:val="21"/>
                <w:szCs w:val="21"/>
                <w:color w:val="auto"/>
              </w:rPr>
            </w:pPr>
          </w:p>
        </w:tc>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redemption of Series A Preferred Stock</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r>
      <w:tr>
        <w:trPr>
          <w:trHeight w:val="236"/>
        </w:trPr>
        <w:tc>
          <w:tcPr>
            <w:tcW w:w="130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676.8</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470.9</w:t>
            </w:r>
          </w:p>
        </w:tc>
      </w:tr>
    </w:tbl>
    <w:p>
      <w:pPr>
        <w:spacing w:after="0" w:line="104"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50"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Pension settlement gain represents income as a result of the partial settlement and remeasurement of the Company's EECOL Canada pension plan.</w:t>
      </w:r>
    </w:p>
    <w:p>
      <w:pPr>
        <w:spacing w:after="0" w:line="50"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on termination of business arrangement represents the loss recognized as a result of management's decision to terminate a business arrangement with a third party.</w:t>
      </w:r>
    </w:p>
    <w:p>
      <w:pPr>
        <w:spacing w:after="0" w:line="64" w:lineRule="exact"/>
        <w:rPr>
          <w:rFonts w:ascii="Times New Roman" w:cs="Times New Roman" w:eastAsia="Times New Roman" w:hAnsi="Times New Roman"/>
          <w:sz w:val="21"/>
          <w:szCs w:val="21"/>
          <w:color w:val="auto"/>
          <w:vertAlign w:val="superscript"/>
        </w:rPr>
      </w:pPr>
    </w:p>
    <w:p>
      <w:pPr>
        <w:ind w:left="260" w:right="20" w:hanging="252"/>
        <w:spacing w:after="0" w:line="215" w:lineRule="auto"/>
        <w:tabs>
          <w:tab w:leader="none" w:pos="366"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adjustments to Income from operations and Other expense (income), net have been tax effected at rates of 27.2% and 26.4% for the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83"/>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Diluted Share:</w:t>
            </w:r>
          </w:p>
        </w:tc>
        <w:tc>
          <w:tcPr>
            <w:tcW w:w="140" w:type="dxa"/>
            <w:vAlign w:val="bottom"/>
          </w:tcPr>
          <w:p>
            <w:pPr>
              <w:spacing w:after="0"/>
              <w:rPr>
                <w:sz w:val="15"/>
                <w:szCs w:val="15"/>
                <w:color w:val="auto"/>
              </w:rPr>
            </w:pPr>
          </w:p>
        </w:tc>
        <w:tc>
          <w:tcPr>
            <w:tcW w:w="148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5"/>
                <w:szCs w:val="15"/>
                <w:color w:val="auto"/>
              </w:rPr>
            </w:pPr>
          </w:p>
        </w:tc>
        <w:tc>
          <w:tcPr>
            <w:tcW w:w="136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135"/>
        </w:trPr>
        <w:tc>
          <w:tcPr>
            <w:tcW w:w="78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03"/>
        </w:trPr>
        <w:tc>
          <w:tcPr>
            <w:tcW w:w="7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income from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0" w:type="dxa"/>
            <w:vAlign w:val="bottom"/>
          </w:tcPr>
          <w:p>
            <w:pPr>
              <w:spacing w:after="0"/>
              <w:rPr>
                <w:sz w:val="1"/>
                <w:szCs w:val="1"/>
                <w:color w:val="auto"/>
              </w:rPr>
            </w:pPr>
          </w:p>
        </w:tc>
      </w:tr>
      <w:tr>
        <w:trPr>
          <w:trHeight w:val="243"/>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other expense (income), net</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income before income taxes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provision for income taxes</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WESCO International, Inc.</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earnings per diluted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Note: For the nine months ended September 30, 2026, SG&amp;A expenses, Income from operations, Other non-operating expense (income), Provision for income taxes, Net income attributable to common stockholders, and Earnings per diluted share have been adjusted to exclude Digital transformation costs, the gain recognized from the partial settlement of the EECOL Canada pension plan, and the related income tax effects. For the nine months ended September 30, 2025, SG&amp;A expenses, Income from operations, Other non-operating expense (income), Provision for income taxes, Net income attributable to common stockholders, and Earnings per diluted share have been adjusted to exclude Digital transformation costs, Restructuring costs, the loss on termination of business arrangement, the related income tax effects, and the gain on redemption of the Company's Series A Preferred Stock. These non-GAAP financial measures provide a better understanding of our financial results on a comparable basis.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Our liquidity needs generally arise from fluctuations in our working capital requirements, information technology investments, capital expenditures, acquisitions, the payment of dividends, and debt service obligations. We finance our operating and investing needs primarily with borrowings under our Revolving Credit Facility and Receivables Facility, as well as uncommitted lines of credit entered into by certain of our foreign subsidiaries to support local operations, some of which are overdraft facilities. The Revolving Credit Facility has a borrowing limit of $1,850 million and the purchase limit under the Receivables Facility is $1,750 million. Our international lines of credit generally are renewable on an annual basis and certain facilities are fully and unconditionally guaranteed by Wesco Distribution. Accordingly, certain borrowings under these lines directly reduce availability under our Revolving Credit Facility. The maximum borrowing limits of our international lines of credit vary by facility and range between $1.0 million and $12.0 million. As of September 30, 2026, we had $1.4 million outstanding under our international lines of credit.</w:t>
      </w:r>
    </w:p>
    <w:p>
      <w:pPr>
        <w:spacing w:after="0" w:line="8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As of September 30, 2026, we had $496.3 million outstanding and $1,312.1 million in available borrowing capacity on the Revolving Credit Facility after giving effect to outstanding letters of credit and certain borrowings under our international lines of credit. Additionally as of September 30, 2026, we had $1,430.0 million outstanding and $320.0 million of available borrowing capacity under our Receivables Facility, which combined with available cash of $433.1 million, provided liquidity of approximately $2.1 billion. Cash included in our determination of liquidity represents cash in certain deposit and interest-bearing investment accounts held in the United States and Canada. We monitor the depository institutions that hold our cash and cash equivalents on a regular basis, and we believe that we have placed our deposits with creditworthy financial institutions.</w:t>
      </w:r>
    </w:p>
    <w:p>
      <w:pPr>
        <w:spacing w:after="0" w:line="7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For information regarding amendments to the Receivables Facility and Revolving Credit Facility as well as disclosure of our debt instruments, including our outstanding indebtedness as of September 30, 2026, see Note 9, “Debt” of our Notes to the unaudited Condensed Consolidated Financial Statements.</w:t>
      </w:r>
    </w:p>
    <w:p>
      <w:pPr>
        <w:spacing w:after="0" w:line="5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February 27, 2026, Wesco Distribution issued $650 million aggregate principal amount of 2031 Notes and $850 million aggregate principal amount of 2034 Notes. We used the net proceeds from the issuance of the 2031 and 2034 Notes to redeem all of our outstanding 2028 Notes on June 15, 2026. Prior to redeeming the 2028 Notes, we used the net proceeds to temporarily repay a portion of the outstanding borrowings under our Receivables Facility and Revolving Credit Facility. We subsequently redrew under the Receivables Facility and the Revolving Credit Facility in an aggregate amount sufficient to redeem the 2028 Notes.</w:t>
      </w:r>
    </w:p>
    <w:p>
      <w:pPr>
        <w:spacing w:after="0" w:line="7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regularly review our mix of fixed versus variable rate debt. As of September 30, 2026, approximately 67% of our debt portfolio consisted of fixed rate debt. We may, from time to time, issue or retire borrowings and/or refinance existing debt in an effort to mitigate the impact of interest rate and foreign exchange rate fluctuations, and to maintain a cost-effective capital structure consistent with our anticipated capital requirements. Interest rates remained stable for the majority of the first nine months of 2026, with the Federal Reserve increasing its benchmark interest rate by 25 basis points at the end of the third quarter of 2026. Future interest rate changes could raise or lower the rates we pay on our variable rate debt and contribute to fluctuations in interest expense versus prior periods. We believe our capital structure has an appropriate mix of fixed versus variable rate debt and secured versus unsecured instruments.</w:t>
      </w:r>
    </w:p>
    <w:p>
      <w:pPr>
        <w:spacing w:after="0" w:line="8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Over the next several quarters, we expect that our excess liquidity will be directed primarily at debt reduction, the payment of dividends, share repurchases, digital transformation initiatives, and potential acquisitions and related integration activities. We expect to maintain sufficient liquidity through our credit facilities and cash balances. We continue to monitor the sufficiency of our liquidity given the potential impact of current economic conditions and uncertainty, including tariffs, interest rates, and inflation. While we did not face significant challenges with our sources or uses of cash in the first nine months of 2026, future market disruptions could occur which could potentially affect our liquidity. We believe cash provided by operations and financing activities will be adequate to cover our operational and business needs for at least the next twelve months.</w:t>
      </w:r>
    </w:p>
    <w:p>
      <w:pPr>
        <w:spacing w:after="0" w:line="7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communicate on a regular basis with our lenders regarding our financial and working capital performance, and liquidity position. We were in compliance with all financial covenants and restrictions contained in our debt agreements as of September 30, 2026.</w:t>
      </w:r>
    </w:p>
    <w:p>
      <w:pPr>
        <w:spacing w:after="0" w:line="5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We also measure our ability to meet our debt obligations based on our financial leverage ratio, which was 2.8x as of September 30, 2026 and 3.4x as of December 31,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our financial leverage ratio, which is a non-GAAP financial measure, for the periods presented:</w:t>
      </w:r>
    </w:p>
    <w:p>
      <w:pPr>
        <w:spacing w:after="0" w:line="120"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4"/>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172"/>
        </w:trPr>
        <w:tc>
          <w:tcPr>
            <w:tcW w:w="6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ind w:left="200"/>
              <w:spacing w:after="0" w:line="17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4"/>
                <w:szCs w:val="14"/>
                <w:color w:val="auto"/>
              </w:rPr>
            </w:pPr>
          </w:p>
        </w:tc>
        <w:tc>
          <w:tcPr>
            <w:tcW w:w="1660" w:type="dxa"/>
            <w:vAlign w:val="bottom"/>
          </w:tcPr>
          <w:p>
            <w:pPr>
              <w:jc w:val="right"/>
              <w:ind w:right="439"/>
              <w:spacing w:after="0" w:line="172"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76"/>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ratios)</w:t>
            </w: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3"/>
        </w:trPr>
        <w:tc>
          <w:tcPr>
            <w:tcW w:w="6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9"/>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645.8</w:t>
            </w:r>
          </w:p>
        </w:tc>
      </w:tr>
      <w:tr>
        <w:trPr>
          <w:trHeight w:val="227"/>
        </w:trPr>
        <w:tc>
          <w:tcPr>
            <w:tcW w:w="6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2"/>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 on redemption of Series A Preferred Stock</w:t>
            </w:r>
          </w:p>
        </w:tc>
        <w:tc>
          <w:tcPr>
            <w:tcW w:w="3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27"/>
        </w:trPr>
        <w:tc>
          <w:tcPr>
            <w:tcW w:w="6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30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33"/>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w:t>
            </w:r>
          </w:p>
        </w:tc>
      </w:tr>
      <w:tr>
        <w:trPr>
          <w:trHeight w:val="226"/>
        </w:trPr>
        <w:tc>
          <w:tcPr>
            <w:tcW w:w="6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r>
      <w:tr>
        <w:trPr>
          <w:trHeight w:val="233"/>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w:t>
            </w:r>
          </w:p>
        </w:tc>
      </w:tr>
      <w:tr>
        <w:trPr>
          <w:trHeight w:val="220"/>
        </w:trPr>
        <w:tc>
          <w:tcPr>
            <w:tcW w:w="644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1,658.3</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1,440.2</w:t>
            </w:r>
          </w:p>
        </w:tc>
      </w:tr>
      <w:tr>
        <w:trPr>
          <w:trHeight w:val="233"/>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27"/>
        </w:trPr>
        <w:tc>
          <w:tcPr>
            <w:tcW w:w="6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32"/>
        </w:trPr>
        <w:tc>
          <w:tcPr>
            <w:tcW w:w="6440" w:type="dxa"/>
            <w:vAlign w:val="bottom"/>
            <w:shd w:val="clear" w:color="auto" w:fill="CCEEFF"/>
          </w:tcPr>
          <w:p>
            <w:pPr>
              <w:ind w:left="260"/>
              <w:spacing w:after="0" w:line="233" w:lineRule="exact"/>
              <w:rPr>
                <w:sz w:val="20"/>
                <w:szCs w:val="20"/>
                <w:color w:val="auto"/>
              </w:rPr>
            </w:pPr>
            <w:r>
              <w:rPr>
                <w:rFonts w:ascii="Times New Roman" w:cs="Times New Roman" w:eastAsia="Times New Roman" w:hAnsi="Times New Roman"/>
                <w:sz w:val="16"/>
                <w:szCs w:val="16"/>
                <w:color w:val="auto"/>
              </w:rPr>
              <w:t>Digital transformation costs</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30"/>
        </w:trPr>
        <w:tc>
          <w:tcPr>
            <w:tcW w:w="6440" w:type="dxa"/>
            <w:vAlign w:val="bottom"/>
            <w:tcBorders>
              <w:bottom w:val="single" w:sz="8" w:color="CCEEFF"/>
            </w:tcBorders>
          </w:tcPr>
          <w:p>
            <w:pPr>
              <w:ind w:left="260"/>
              <w:spacing w:after="0" w:line="230" w:lineRule="exact"/>
              <w:rPr>
                <w:sz w:val="20"/>
                <w:szCs w:val="20"/>
                <w:color w:val="auto"/>
              </w:rPr>
            </w:pPr>
            <w:r>
              <w:rPr>
                <w:rFonts w:ascii="Times New Roman" w:cs="Times New Roman" w:eastAsia="Times New Roman" w:hAnsi="Times New Roman"/>
                <w:sz w:val="16"/>
                <w:szCs w:val="16"/>
                <w:color w:val="auto"/>
              </w:rPr>
              <w:t>Cloud computing arrangement amortization</w:t>
            </w:r>
            <w:r>
              <w:rPr>
                <w:rFonts w:ascii="Times New Roman" w:cs="Times New Roman" w:eastAsia="Times New Roman" w:hAnsi="Times New Roman"/>
                <w:sz w:val="21"/>
                <w:szCs w:val="21"/>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48"/>
        </w:trPr>
        <w:tc>
          <w:tcPr>
            <w:tcW w:w="6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60" w:type="dxa"/>
            <w:vAlign w:val="bottom"/>
            <w:tcBorders>
              <w:bottom w:val="single" w:sz="8" w:color="auto"/>
            </w:tcBorders>
          </w:tcPr>
          <w:p>
            <w:pPr>
              <w:spacing w:after="0"/>
              <w:rPr>
                <w:sz w:val="18"/>
                <w:szCs w:val="18"/>
                <w:color w:val="auto"/>
              </w:rPr>
            </w:pPr>
          </w:p>
        </w:tc>
      </w:tr>
      <w:tr>
        <w:trPr>
          <w:trHeight w:val="172"/>
        </w:trPr>
        <w:tc>
          <w:tcPr>
            <w:tcW w:w="6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ind w:left="200"/>
              <w:spacing w:after="0" w:line="17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4"/>
                <w:szCs w:val="14"/>
                <w:color w:val="auto"/>
              </w:rPr>
            </w:pPr>
          </w:p>
        </w:tc>
        <w:tc>
          <w:tcPr>
            <w:tcW w:w="1660" w:type="dxa"/>
            <w:vAlign w:val="bottom"/>
          </w:tcPr>
          <w:p>
            <w:pPr>
              <w:jc w:val="right"/>
              <w:ind w:right="439"/>
              <w:spacing w:after="0" w:line="172"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Short-term debt and current portion of long-term debt, net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27"/>
        </w:trPr>
        <w:tc>
          <w:tcPr>
            <w:tcW w:w="6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Long-term debt, net</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5,756.4</w:t>
            </w:r>
          </w:p>
        </w:tc>
      </w:tr>
      <w:tr>
        <w:trPr>
          <w:trHeight w:val="232"/>
        </w:trPr>
        <w:tc>
          <w:tcPr>
            <w:tcW w:w="6440" w:type="dxa"/>
            <w:vAlign w:val="bottom"/>
            <w:shd w:val="clear" w:color="auto" w:fill="CCEEFF"/>
          </w:tcPr>
          <w:p>
            <w:pPr>
              <w:ind w:left="260"/>
              <w:spacing w:after="0" w:line="233" w:lineRule="exact"/>
              <w:rPr>
                <w:sz w:val="20"/>
                <w:szCs w:val="20"/>
                <w:color w:val="auto"/>
              </w:rPr>
            </w:pPr>
            <w:r>
              <w:rPr>
                <w:rFonts w:ascii="Times New Roman" w:cs="Times New Roman" w:eastAsia="Times New Roman" w:hAnsi="Times New Roman"/>
                <w:sz w:val="16"/>
                <w:szCs w:val="16"/>
                <w:color w:val="auto"/>
              </w:rPr>
              <w:t>Debt discount and debt issuance costs</w:t>
            </w:r>
            <w:r>
              <w:rPr>
                <w:rFonts w:ascii="Times New Roman" w:cs="Times New Roman" w:eastAsia="Times New Roman" w:hAnsi="Times New Roman"/>
                <w:sz w:val="21"/>
                <w:szCs w:val="21"/>
                <w:color w:val="auto"/>
                <w:vertAlign w:val="superscript"/>
              </w:rPr>
              <w:t>(3)</w:t>
            </w:r>
          </w:p>
        </w:tc>
        <w:tc>
          <w:tcPr>
            <w:tcW w:w="30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20"/>
        </w:trPr>
        <w:tc>
          <w:tcPr>
            <w:tcW w:w="64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debt</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5,829.4</w:t>
            </w:r>
          </w:p>
        </w:tc>
      </w:tr>
      <w:tr>
        <w:trPr>
          <w:trHeight w:val="229"/>
        </w:trPr>
        <w:tc>
          <w:tcPr>
            <w:tcW w:w="64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Less: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604.8</w:t>
            </w:r>
          </w:p>
        </w:tc>
      </w:tr>
      <w:tr>
        <w:trPr>
          <w:trHeight w:val="226"/>
        </w:trPr>
        <w:tc>
          <w:tcPr>
            <w:tcW w:w="64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debt, net of cash</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5,224.6</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7"/>
        </w:trPr>
        <w:tc>
          <w:tcPr>
            <w:tcW w:w="6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leverage ratio</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bl>
    <w:p>
      <w:pPr>
        <w:spacing w:after="0" w:line="110"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50" w:lineRule="exact"/>
        <w:rPr>
          <w:rFonts w:ascii="Times New Roman" w:cs="Times New Roman" w:eastAsia="Times New Roman" w:hAnsi="Times New Roman"/>
          <w:sz w:val="21"/>
          <w:szCs w:val="21"/>
          <w:color w:val="auto"/>
          <w:vertAlign w:val="superscript"/>
        </w:rPr>
      </w:pPr>
    </w:p>
    <w:p>
      <w:pPr>
        <w:ind w:left="260" w:hanging="252"/>
        <w:spacing w:after="0" w:line="215" w:lineRule="auto"/>
        <w:tabs>
          <w:tab w:leader="none" w:pos="24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Cloud computing arrangement amortization consists of expense recognized in SG&amp;A expenses for capitalized implementation costs for cloud computing arrangements to support our digital transformation initiatives.</w:t>
      </w:r>
    </w:p>
    <w:p>
      <w:pPr>
        <w:spacing w:after="0" w:line="15" w:lineRule="exact"/>
        <w:rPr>
          <w:rFonts w:ascii="Times New Roman" w:cs="Times New Roman" w:eastAsia="Times New Roman" w:hAnsi="Times New Roman"/>
          <w:sz w:val="21"/>
          <w:szCs w:val="21"/>
          <w:color w:val="auto"/>
          <w:vertAlign w:val="superscript"/>
        </w:rPr>
      </w:pPr>
    </w:p>
    <w:p>
      <w:pPr>
        <w:ind w:left="240" w:hanging="232"/>
        <w:spacing w:after="0"/>
        <w:tabs>
          <w:tab w:leader="none" w:pos="2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Debt is presented in the unaudited Condensed Consolidated Balance Sheets net of Debt discount and debt issuance costs.</w:t>
      </w:r>
    </w:p>
    <w:p>
      <w:pPr>
        <w:spacing w:after="0" w:line="14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Note: Financial leverage ratio is a non-GAAP measure of the use of debt. Financial leverage ratio is calculated by dividing total debt, excluding debt issuance costs and debt discount, net of cash, by Adjusted EBITDA. EBITDA is defined as the trailing twelve months earnings before interest, taxes, depreciation and amortization.</w:t>
      </w:r>
    </w:p>
    <w:p>
      <w:pPr>
        <w:spacing w:after="0" w:line="3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Most of the undistributed earnings of our foreign subsidiaries have been taxed in the U.S. under either the one-time tax imposed on the deemed repatriation of undistributed foreign earnings (the “transition tax”), or the global intangible low-taxed income tax regime imposed by the Tax Cuts and Jobs Act of 2017 renamed, along with other changes, under the One Big Beautiful Bill Act signed into law on July 4, 2025, to net controlled foreign corporation tested income. The distribution of earnings, however, by our foreign subsidiaries in the form of dividends, or otherwise, may be subject to additional taxation. We believe that we are able to maintain sufficient liquidity for our domestic operations and commitments without repatriating cash from our foreign subsidiaries. Therefore, we continue to assert that the remaining undistributed earnings of our foreign subsidiaries are indefinitely reinvested.</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 analysis of cash flow for the first nine months of 2026 and 2025 follows: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first nine months of 2026 totaled $469.0 million, compared to $53.1 million for the first nine months of 2025. The $415.9 million increase is driven by a $478.2 million impact from changes in accounts payable, primarily driven by increased inventory purchases, as well as the timing of inventory purchases and payments to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suppliers as compared to the prior year. Other current and noncurrent liabilities additionally contributed to the increase, with a $397.7 million impact primarily driven by deferred revenue due to advance payments from customers and milestone billings. An increase in net income as adjusted for certain non-cash items also contributed to the increase in operating cash flows.</w:t>
      </w:r>
    </w:p>
    <w:p>
      <w:pPr>
        <w:spacing w:after="0" w:line="6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These favorable impacts were partially offset by a $299.9 million impact from changes in trade accounts receivable and a $261.6 million impact from changes in other current and noncurrent assets. The impact from trade accounts receivable was primarily due to sales growth in all three segments, as well as the timing of receipts from customers as compared to the prior year, and the impact from other current and noncurrent assets was primarily driven by increases in supplier prepayments related to arrangements requiring advance payments from customers and advance payments to suppliers. A $198.6 million impact from inventories also offset the increases, primarily due to an increase in volume related to growth in large projects as compared to the prior year.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for the first nine months of 2026 was $203.8 million compared to $100.4 million in the first nine months of 2025. Included in the first nine months of 2026 was capital expenditures of $80.7 million compared to $55.4 million in the first nine months of 2025. Capital expenditures in the first nine months of 2026 and 2025 primarily comprised leasehold improvements and equipment to support our global network of locations, and internal-use computer software and information technology hardware to support our digital transformation initiatives. The first nine months of 2026 also included $127.7 million paid to acquire Newark, net of cash acquired, and the first nine months of 2025 included $36.3 million paid to acquire Industrial Software Solutions, net of cash acquired.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for the first nine months of 2026 was $22.0 million, compared to $94.2 million during the first nine months of 2025. During the first nine months of 2026, financing activities primarily comprised the redemption of our $1,325 million aggregate principal amount of 2028 Notes, net repayments of $77.0 million related to our Revolving Credit Facility, payment of debt issuance costs of $22.7 million related to the issuance of the 2031 and 2034 Notes and amendments to the Revolving Credit Facility and Receivables Facility, proceeds of $650.0 million and $850.0 million related to the issuance of the 2031 and 2034 Notes, respectively, and net borrowings of $130.0 million related to our Receivables Facility. The first nine months of 2026 also included $75.0 million of common stock repurchases, $73.1 million of dividends paid to holders of our common stock, and $50.5 million of payments for taxes related to the exercise and vesting of stock-based awards.</w:t>
      </w:r>
    </w:p>
    <w:p>
      <w:pPr>
        <w:spacing w:after="0" w:line="8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During the first nine months of 2025, financing activities primarily comprised proceeds of $800.0 million related to the issuance of the 6.375% senior notes due 2033 (the “2033 Notes”), net repayments of $100.0 million related to our Revolving Credit Facility, net repayments of $25.0 million related to our Receivables Facility, and payment of total debt issuance costs of $14.0 million related to the issuance of the 2033 Notes and amendments to the Revolving Credit Facility and Receivables Facility. The first nine months of 2025 also included $540.3 million paid to redeem our Series A Preferred Stock, $75.0 million of common stock repurchases, $66.3 million and $27.3 million of dividends paid to holders of our common stock and Series A Preferred Stock, respectively, and $35.9 million of payments for taxes related to the exercise and vesting of stock-based awards.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Cash Obligations and Other Commercial Commitments</w:t>
      </w:r>
    </w:p>
    <w:p>
      <w:pPr>
        <w:spacing w:after="0" w:line="11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contractual obligations and other commercial commitments that would require an update to the disclosure provided in our Annual Report on Form 10-K for the fiscal year ended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operating results are not significantly affected by seasonal factors. Sales during the first and fourth quarters have historically been affected by a reduced level of activity and the impact of weather on projects. Sales typically increase throughout the first quarter, with slight fluctuations through the remainder of the year. During periods of economic expansion or contraction, our sales by quarter have varied significantly from this pattern.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the critical accounting estimates disclosed in Part II, Item 7. “Management’s Discussion and Analysis of Financial Condition and Results of Operations” of our Annual Report on Form 10-K for the year ended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See Note 2, “Accounting Policies” of our Notes to the unaudited Condensed Consolidated Financial Statements for a description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i w:val="1"/>
          <w:iCs w:val="1"/>
          <w:color w:val="auto"/>
        </w:rPr>
        <w:t>All statements made herein that are not historical facts should be considered as “forward-looking statements” within the meaning of the Private Securities Litigation Reform Act of 1995. Such statements involve known and unknown risks, uncertainties and other factors that may cause actual results to differ materially. These statements include, but are not limited to, statements regarding business strategy, growth strategy, competitive strengths, productivity and profitability enhancement, competition, new product and service introductions, and liquidity and capital resources. Such statements can generally be identified by the use of words such as “anticipate,” “plan,” “believe,” “estimate,” “intend,” “expect,” “project,” and similar words, phrases or expressions or future or conditional verbs such as “could,” “may,” “should,” “will,” and “would,” although not all forward-looking statements contain such words. These forward-looking statements are based on current expectations and beliefs of Wesco's management, as well as assumptions made by, and information currently available to, Wesco's management, current market trends and market conditions and involve risks and uncertainties, many of which are outside of Wesco's and Wesco's management's control, and which may cause actual results to differ materially from those contained in forward-looking statements. Accordingly, you should not place undue reliance on such statements.</w:t>
      </w:r>
    </w:p>
    <w:p>
      <w:pPr>
        <w:spacing w:after="0" w:line="158"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i w:val="1"/>
          <w:iCs w:val="1"/>
          <w:color w:val="auto"/>
        </w:rPr>
        <w:t>Important factors that could cause actual results or events to differ materially from those presented or implied in the forward-looking statements include, among others, the failure to achieve the anticipated benefits of, and other risks associated with, acquisitions, joint ventures, divestitures and other corporate transactions; the inability to successfully integrate acquired businesses; the impact of increased interest rates or borrowing costs; fluctuations in currency exchange rates; evolving impacts from tariffs or other trade tensions between the U.S. and other countries (including implementation of new tariffs and retaliatory measures); failure to adequately protect Wesco's intellectual property or successfully defend against infringement claims; the inability to successfully deploy new technologies, digital products and information systems or to otherwise adapt to emerging technologies in the marketplace, such as those incorporating artificial intelligence (AI); risks relating to our use or reliance on AI; failure to execute on our efforts and programs related to environmental, social and governance (ESG) matters; unanticipated expenditures or other adverse developments related to compliance with new or stricter government policies, laws or regulations, including those relating to data privacy, cybersecurity, competition, sustainability and environmental protection; the inability to successfully develop, manage or implement new technology initiatives or business strategies, including with respect to the expansion of e-commerce or AI capabilities and other digital solutions and digitalization initiatives; disruption of information technology systems or operations; natural disasters (including as a result of climate change), health epidemics, pandemics and other outbreaks; supply chain disruptions; geopolitical conflicts and issues, such as the ongoing Middle East and Russia/Ukraine conflicts; the impact of changing and expanding export controls, sanctions, and data localization rules; the failure to manage the increased risks and impacts of cyber incidents or data breaches; and exacerbation of key materials shortages, inflationary cost pressures, material cost increases, demand volatility, and logistics and capacity constraints, any of which may have a material adverse effect on the Company's business, results of operations and financial condition. All such factors are difficult to predict and are beyond the Company's control. Additional factors that could cause results to differ materially from those described above can be found in Wesco's most recent Annual Report on Form 10-K and other periodic reports filed with the U.S. Securities and Exchange Commission.</w:t>
      </w:r>
    </w:p>
    <w:p>
      <w:pPr>
        <w:spacing w:after="0" w:line="1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Risks.</w:t>
      </w:r>
    </w:p>
    <w:p>
      <w:pPr>
        <w:spacing w:after="0" w:line="121"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For a discussion of changes to the market risks that were previously disclosed in our Annual Report on Form 10-K for the fiscal year ended December 31, 2025, refer to Part I, Item 2, “Management’s Discussion and Analysis of Financial Condition and Results of Operations” and to Part II, Item 1A, “Risk Factors”.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defined in Exchange Act Rules 13a-15(e) and 15d-15(e)) and internal control over financial reporting (as defined in Exchange Act Rules 13a-15(f) and 15d-15(f)). Based on this evaluation, our principal executive officer and our principal financial officer concluded that our disclosure controls and procedures and internal control over financial reporting were effective as of the end of the period covered by this report.</w:t>
      </w:r>
    </w:p>
    <w:p>
      <w:pPr>
        <w:spacing w:after="0" w:line="7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quarterly period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the quarterly period ended September 30, 2026, the Company continued its multi-year, phased development and implementation of a new Digital and Data Platform (“DDP”). The DDP is intended to be a unified, technology-enabled operating model that spans all business functions, maintains and enhances the flow of financial information, and improves resource efficiency. The implementation, in certain cases, may affect the processes that constitute the Company’s internal control over financial reporting and will require testing for effectiveness.</w:t>
      </w:r>
    </w:p>
    <w:p>
      <w:pPr>
        <w:spacing w:after="0" w:line="7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concluded, as part of its evaluation described in the above paragraphs, that the current quarter developments have not materially affected, or are reasonably likely to materially affect, its internal control over financial reporting and will continue to make such an assessment throughout the implementation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As set forth in Note 11, “Commitments and Contingencies” to the Notes to the unaudited Condensed Consolidated Financial Statements, from time to time, a number of lawsuits and claims have been or may be asserted against us relating to the conduct of our business, including litigation relating to commercial, product and employment matters. The outcome of any litigation cannot be predicted with certainty, and some lawsuits may be determined adversely to us. However, management does not believe that the ultimate outcome of any such pending matters is likely to have a material adverse effect on our financial condition or liquidity, although the resolution in any fiscal period of one or more of these matters may have a material adverse effect on our results of operations for that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of WESCO International, Inc.’s Annual Report on Form 10-K for the fiscal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all issuer purchases of common stock during the three months ended September 30, 2026:</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right"/>
        <w:spacing w:after="0"/>
        <w:tabs>
          <w:tab w:leader="none" w:pos="1420" w:val="left"/>
        </w:tabs>
        <w:rPr>
          <w:sz w:val="20"/>
          <w:szCs w:val="20"/>
          <w:color w:val="auto"/>
        </w:rPr>
      </w:pPr>
      <w:r>
        <w:rPr>
          <w:rFonts w:ascii="Times New Roman" w:cs="Times New Roman" w:eastAsia="Times New Roman" w:hAnsi="Times New Roman"/>
          <w:sz w:val="14"/>
          <w:szCs w:val="14"/>
          <w:b w:val="1"/>
          <w:bCs w:val="1"/>
          <w:color w:val="auto"/>
        </w:rPr>
        <w:t>Total Number of Shares</w:t>
      </w:r>
      <w:r>
        <w:rPr>
          <w:sz w:val="20"/>
          <w:szCs w:val="20"/>
          <w:color w:val="auto"/>
        </w:rPr>
        <w:tab/>
      </w:r>
      <w:r>
        <w:rPr>
          <w:rFonts w:ascii="Times New Roman" w:cs="Times New Roman" w:eastAsia="Times New Roman" w:hAnsi="Times New Roman"/>
          <w:sz w:val="14"/>
          <w:szCs w:val="14"/>
          <w:b w:val="1"/>
          <w:bCs w:val="1"/>
          <w:color w:val="auto"/>
        </w:rPr>
        <w:t>Average Price Paid Per</w:t>
      </w:r>
    </w:p>
    <w:p>
      <w:pPr>
        <w:ind w:left="3960"/>
        <w:spacing w:after="0"/>
        <w:tabs>
          <w:tab w:leader="none" w:pos="6060" w:val="left"/>
        </w:tabs>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18"/>
          <w:szCs w:val="18"/>
          <w:b w:val="1"/>
          <w:bCs w:val="1"/>
          <w:color w:val="auto"/>
          <w:vertAlign w:val="superscript"/>
        </w:rPr>
        <w:t>(1)</w:t>
      </w:r>
      <w:r>
        <w:rPr>
          <w:sz w:val="20"/>
          <w:szCs w:val="20"/>
          <w:color w:val="auto"/>
        </w:rPr>
        <w:tab/>
      </w:r>
      <w:r>
        <w:rPr>
          <w:rFonts w:ascii="Times New Roman" w:cs="Times New Roman" w:eastAsia="Times New Roman" w:hAnsi="Times New Roman"/>
          <w:sz w:val="14"/>
          <w:szCs w:val="14"/>
          <w:b w:val="1"/>
          <w:bCs w:val="1"/>
          <w:color w:val="auto"/>
        </w:rPr>
        <w:t>Share</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46"/>
        </w:trPr>
        <w:tc>
          <w:tcPr>
            <w:tcW w:w="1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86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35"/>
        </w:trPr>
        <w:tc>
          <w:tcPr>
            <w:tcW w:w="1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860" w:type="dxa"/>
            <w:vAlign w:val="bottom"/>
          </w:tcPr>
          <w:p>
            <w:pPr>
              <w:jc w:val="center"/>
              <w:ind w:left="8"/>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r>
      <w:tr>
        <w:trPr>
          <w:trHeight w:val="218"/>
        </w:trPr>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Programs</w:t>
            </w:r>
            <w:r>
              <w:rPr>
                <w:rFonts w:ascii="Times New Roman" w:cs="Times New Roman" w:eastAsia="Times New Roman" w:hAnsi="Times New Roman"/>
                <w:sz w:val="18"/>
                <w:szCs w:val="18"/>
                <w:b w:val="1"/>
                <w:bCs w:val="1"/>
                <w:color w:val="auto"/>
                <w:w w:val="98"/>
                <w:vertAlign w:val="superscript"/>
              </w:rPr>
              <w:t>(2)</w:t>
            </w:r>
          </w:p>
        </w:tc>
        <w:tc>
          <w:tcPr>
            <w:tcW w:w="18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or Programs</w:t>
            </w:r>
            <w:r>
              <w:rPr>
                <w:rFonts w:ascii="Times New Roman" w:cs="Times New Roman" w:eastAsia="Times New Roman" w:hAnsi="Times New Roman"/>
                <w:sz w:val="18"/>
                <w:szCs w:val="18"/>
                <w:b w:val="1"/>
                <w:bCs w:val="1"/>
                <w:color w:val="auto"/>
                <w:w w:val="97"/>
                <w:vertAlign w:val="superscript"/>
              </w:rPr>
              <w:t>(2)</w:t>
            </w:r>
          </w:p>
        </w:tc>
      </w:tr>
      <w:tr>
        <w:trPr>
          <w:trHeight w:val="190"/>
        </w:trPr>
        <w:tc>
          <w:tcPr>
            <w:tcW w:w="1860" w:type="dxa"/>
            <w:vAlign w:val="bottom"/>
          </w:tcPr>
          <w:p>
            <w:pPr>
              <w:spacing w:after="0"/>
              <w:rPr>
                <w:sz w:val="16"/>
                <w:szCs w:val="16"/>
                <w:color w:val="auto"/>
              </w:rPr>
            </w:pPr>
          </w:p>
        </w:tc>
        <w:tc>
          <w:tcPr>
            <w:tcW w:w="18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(In millions)</w:t>
            </w:r>
          </w:p>
        </w:tc>
      </w:tr>
    </w:tbl>
    <w:p>
      <w:pPr>
        <w:spacing w:after="0" w:line="3" w:lineRule="exact"/>
        <w:rPr>
          <w:sz w:val="20"/>
          <w:szCs w:val="20"/>
          <w:color w:val="auto"/>
        </w:rPr>
      </w:pPr>
    </w:p>
    <w:p>
      <w:pPr>
        <w:sectPr>
          <w:pgSz w:w="11900" w:h="16838" w:orient="portrait"/>
          <w:cols w:equalWidth="0" w:num="2">
            <w:col w:w="6980" w:space="300"/>
            <w:col w:w="3960"/>
          </w:cols>
          <w:pgMar w:left="320" w:top="117" w:right="339" w:bottom="1440" w:gutter="0" w:footer="0" w:header="0"/>
          <w:type w:val="continuous"/>
        </w:sectPr>
      </w:pPr>
    </w:p>
    <w:tbl>
      <w:tblPr>
        <w:tblLayout w:type="fixed"/>
        <w:tblInd w:w="220" w:type="dxa"/>
        <w:tblCellMar>
          <w:top w:w="0" w:type="dxa"/>
          <w:left w:w="0" w:type="dxa"/>
          <w:bottom w:w="0" w:type="dxa"/>
          <w:right w:w="0" w:type="dxa"/>
        </w:tblCellMar>
      </w:tblPr>
      <w:tr>
        <w:trPr>
          <w:trHeight w:val="257"/>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 2026</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347.58</w:t>
            </w:r>
          </w:p>
        </w:tc>
        <w:tc>
          <w:tcPr>
            <w:tcW w:w="120" w:type="dxa"/>
            <w:vAlign w:val="bottom"/>
            <w:tcBorders>
              <w:top w:val="single" w:sz="8" w:color="CCEEFF"/>
            </w:tcBorders>
            <w:shd w:val="clear" w:color="auto" w:fill="CCEEFF"/>
          </w:tcPr>
          <w:p>
            <w:pPr>
              <w:spacing w:after="0"/>
              <w:rPr>
                <w:sz w:val="22"/>
                <w:szCs w:val="22"/>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August 31, 2026</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78,602</w:t>
            </w:r>
          </w:p>
        </w:tc>
        <w:tc>
          <w:tcPr>
            <w:tcW w:w="7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343.42</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73,167</w:t>
            </w:r>
          </w:p>
        </w:tc>
        <w:tc>
          <w:tcPr>
            <w:tcW w:w="8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w:t>
            </w: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 2026</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7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120" w:type="dxa"/>
            <w:vAlign w:val="bottom"/>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r>
      <w:tr>
        <w:trPr>
          <w:trHeight w:val="237"/>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81,202</w:t>
            </w:r>
          </w:p>
        </w:tc>
        <w:tc>
          <w:tcPr>
            <w:tcW w:w="7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343.70</w:t>
            </w:r>
          </w:p>
        </w:tc>
        <w:tc>
          <w:tcPr>
            <w:tcW w:w="120" w:type="dxa"/>
            <w:vAlign w:val="bottom"/>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73,167</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
        </w:trPr>
        <w:tc>
          <w:tcPr>
            <w:tcW w:w="32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left="260" w:hanging="252"/>
        <w:spacing w:after="0" w:line="231" w:lineRule="auto"/>
        <w:tabs>
          <w:tab w:leader="none" w:pos="245"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There were 8,035 shares purchased during the quarterly period ended September 30, 2026 that were not part of the publicly announced share repurchase program. These shares were surrendered by stock-based compensation plan participants to satisfy tax withholding obligations arising from the exercise of stock-settled stock appreciation rights and vesting of restricted stock units.</w:t>
      </w:r>
    </w:p>
    <w:p>
      <w:pPr>
        <w:spacing w:after="0" w:line="101" w:lineRule="exact"/>
        <w:rPr>
          <w:rFonts w:ascii="Times New Roman" w:cs="Times New Roman" w:eastAsia="Times New Roman" w:hAnsi="Times New Roman"/>
          <w:sz w:val="21"/>
          <w:szCs w:val="21"/>
          <w:color w:val="auto"/>
          <w:vertAlign w:val="superscript"/>
        </w:rPr>
      </w:pPr>
    </w:p>
    <w:p>
      <w:pPr>
        <w:jc w:val="both"/>
        <w:ind w:left="260" w:hanging="252"/>
        <w:spacing w:after="0" w:line="239" w:lineRule="auto"/>
        <w:tabs>
          <w:tab w:leader="none" w:pos="245"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May 31, 2022, Wesco’s Board of Directors authorized the repurchase of up to $1 billion of the Company’s common stock. The share repurchase authorization has no expiration date and may be modified, suspended, or terminated at any time without prior notice. During the three months ended September 30, 2026, the Company entered into spot repurchase transactions through brokers to purchase 73,167 shares of its common stock in the open market for cash totaling $25.0 million. Wesco funded the repurchases with available cash and borrowings under its accounts receivable securitization and revolving credit facilities.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 No.</w:t>
            </w:r>
          </w:p>
        </w:tc>
        <w:tc>
          <w:tcPr>
            <w:tcW w:w="682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Description of Exhibit</w:t>
            </w:r>
          </w:p>
        </w:tc>
        <w:tc>
          <w:tcPr>
            <w:tcW w:w="3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Prior Filing or Sequential Page Number</w:t>
            </w:r>
          </w:p>
        </w:tc>
        <w:tc>
          <w:tcPr>
            <w:tcW w:w="0" w:type="dxa"/>
            <w:vAlign w:val="bottom"/>
          </w:tcPr>
          <w:p>
            <w:pPr>
              <w:spacing w:after="0"/>
              <w:rPr>
                <w:sz w:val="1"/>
                <w:szCs w:val="1"/>
                <w:color w:val="auto"/>
              </w:rPr>
            </w:pPr>
          </w:p>
        </w:tc>
      </w:tr>
      <w:tr>
        <w:trPr>
          <w:trHeight w:val="23"/>
        </w:trPr>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6820" w:type="dxa"/>
            <w:vAlign w:val="bottom"/>
            <w:gridSpan w:val="17"/>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Ninth Amendment to Fourth Amended and Restated Credit Agreement, dated as of</w:t>
              </w:r>
            </w:hyperlink>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Incorporated by reference to Exhibit 10.1 to</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vMerge w:val="restart"/>
          </w:tcPr>
          <w:p>
            <w:pPr>
              <w:ind w:left="80"/>
              <w:spacing w:after="0" w:line="176" w:lineRule="exact"/>
              <w:rPr>
                <w:sz w:val="20"/>
                <w:szCs w:val="20"/>
                <w:color w:val="auto"/>
              </w:rPr>
            </w:pPr>
            <w:r>
              <w:rPr>
                <w:rFonts w:ascii="Times New Roman" w:cs="Times New Roman" w:eastAsia="Times New Roman" w:hAnsi="Times New Roman"/>
                <w:sz w:val="18"/>
                <w:szCs w:val="18"/>
                <w:color w:val="auto"/>
                <w:w w:val="99"/>
              </w:rPr>
              <w:t>Wesco's Current Report on Form 8-K, dated</w:t>
            </w:r>
          </w:p>
        </w:tc>
        <w:tc>
          <w:tcPr>
            <w:tcW w:w="0" w:type="dxa"/>
            <w:vAlign w:val="bottom"/>
          </w:tcPr>
          <w:p>
            <w:pPr>
              <w:spacing w:after="0" w:line="20" w:lineRule="exact"/>
              <w:rPr>
                <w:sz w:val="1"/>
                <w:szCs w:val="1"/>
                <w:color w:val="auto"/>
              </w:rPr>
            </w:pPr>
          </w:p>
        </w:tc>
      </w:tr>
      <w:tr>
        <w:trPr>
          <w:trHeight w:val="156"/>
        </w:trPr>
        <w:tc>
          <w:tcPr>
            <w:tcW w:w="1140" w:type="dxa"/>
            <w:vAlign w:val="bottom"/>
          </w:tcPr>
          <w:p>
            <w:pPr>
              <w:spacing w:after="0"/>
              <w:rPr>
                <w:sz w:val="13"/>
                <w:szCs w:val="13"/>
                <w:color w:val="auto"/>
              </w:rPr>
            </w:pPr>
          </w:p>
        </w:tc>
        <w:tc>
          <w:tcPr>
            <w:tcW w:w="638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September 17, 2026, by and among WESCO Distribution, Inc., the other U.S. borrowers</w:t>
              </w:r>
            </w:hyperlink>
          </w:p>
        </w:tc>
        <w:tc>
          <w:tcPr>
            <w:tcW w:w="440" w:type="dxa"/>
            <w:vAlign w:val="bottom"/>
            <w:gridSpan w:val="9"/>
          </w:tcPr>
          <w:p>
            <w:pPr>
              <w:spacing w:after="0"/>
              <w:rPr>
                <w:sz w:val="13"/>
                <w:szCs w:val="13"/>
                <w:color w:val="auto"/>
              </w:rPr>
            </w:pPr>
          </w:p>
        </w:tc>
        <w:tc>
          <w:tcPr>
            <w:tcW w:w="3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6820" w:type="dxa"/>
            <w:vAlign w:val="bottom"/>
            <w:gridSpan w:val="17"/>
          </w:tcPr>
          <w:p>
            <w:pPr>
              <w:spacing w:after="0" w:line="169"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party thereto, WESCO Distribution Canada LP, the other Canadian borrowers party thereto,</w:t>
              </w:r>
            </w:hyperlink>
          </w:p>
        </w:tc>
        <w:tc>
          <w:tcPr>
            <w:tcW w:w="328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September 17, 2026</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66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WESCO International, Inc., the lenders party thereto and Barclays Bank PLC, as</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administrative agent.</w:t>
              </w:r>
            </w:hyperlink>
          </w:p>
        </w:tc>
        <w:tc>
          <w:tcPr>
            <w:tcW w:w="4300" w:type="dxa"/>
            <w:vAlign w:val="bottom"/>
            <w:tcBorders>
              <w:top w:val="single" w:sz="8" w:color="0000FF"/>
            </w:tcBorders>
            <w:gridSpan w:val="2"/>
          </w:tcPr>
          <w:p>
            <w:pPr>
              <w:spacing w:after="0"/>
              <w:rPr>
                <w:sz w:val="13"/>
                <w:szCs w:val="13"/>
                <w:color w:val="auto"/>
              </w:rPr>
            </w:pPr>
          </w:p>
        </w:tc>
        <w:tc>
          <w:tcPr>
            <w:tcW w:w="6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6820" w:type="dxa"/>
            <w:vAlign w:val="bottom"/>
            <w:gridSpan w:val="17"/>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Tenth Amendment to Fifth Amended and Restated Receivables Purchase Agreement, dated</w:t>
              </w:r>
            </w:hyperlink>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Incorporated by reference to Exhibit 10.2 to</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65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as of September 17, 2026, by and among WESCO Distribution, Inc., WESCO Receivables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80"/>
              <w:spacing w:after="0" w:line="156" w:lineRule="exact"/>
              <w:rPr>
                <w:sz w:val="20"/>
                <w:szCs w:val="20"/>
                <w:color w:val="auto"/>
              </w:rPr>
            </w:pPr>
            <w:r>
              <w:rPr>
                <w:rFonts w:ascii="Times New Roman" w:cs="Times New Roman" w:eastAsia="Times New Roman" w:hAnsi="Times New Roman"/>
                <w:sz w:val="18"/>
                <w:szCs w:val="18"/>
                <w:color w:val="auto"/>
                <w:w w:val="99"/>
              </w:rPr>
              <w:t>Wesco's Current Report on Form 8-K, dated</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654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Corp., the various purchasers and purchaser agents party thereto and PNC Bank, National</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September 17, 2026</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Association, as administrator.</w:t>
              </w:r>
            </w:hyperlink>
          </w:p>
        </w:tc>
        <w:tc>
          <w:tcPr>
            <w:tcW w:w="4320" w:type="dxa"/>
            <w:vAlign w:val="bottom"/>
            <w:tcBorders>
              <w:top w:val="single" w:sz="8" w:color="0000FF"/>
            </w:tcBorders>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6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13a-14(a) promulgated under the</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664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Exchange Act.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6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promulgated under the</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65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Exchange Act.</w:t>
            </w:r>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540" w:type="dxa"/>
            <w:vAlign w:val="bottom"/>
            <w:gridSpan w:val="1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6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660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1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14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6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 Sarbanes-Oxley Act of</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2002.</w:t>
            </w:r>
          </w:p>
        </w:tc>
        <w:tc>
          <w:tcPr>
            <w:tcW w:w="1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36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68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68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68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68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68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68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140" w:hanging="111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WESCO International, Inc.</w:t>
            </w:r>
          </w:p>
        </w:tc>
        <w:tc>
          <w:tcPr>
            <w:tcW w:w="1100" w:type="dxa"/>
            <w:vAlign w:val="bottom"/>
          </w:tcPr>
          <w:p>
            <w:pPr>
              <w:spacing w:after="0"/>
              <w:rPr>
                <w:sz w:val="20"/>
                <w:szCs w:val="20"/>
                <w:color w:val="auto"/>
              </w:rPr>
            </w:pPr>
          </w:p>
        </w:tc>
      </w:tr>
      <w:tr>
        <w:trPr>
          <w:trHeight w:val="237"/>
        </w:trPr>
        <w:tc>
          <w:tcPr>
            <w:tcW w:w="2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c>
          <w:tcPr>
            <w:tcW w:w="1100" w:type="dxa"/>
            <w:vAlign w:val="bottom"/>
          </w:tcPr>
          <w:p>
            <w:pPr>
              <w:spacing w:after="0"/>
              <w:rPr>
                <w:sz w:val="20"/>
                <w:szCs w:val="20"/>
                <w:color w:val="auto"/>
              </w:rPr>
            </w:pPr>
          </w:p>
        </w:tc>
      </w:tr>
      <w:tr>
        <w:trPr>
          <w:trHeight w:val="365"/>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29, 2026</w:t>
            </w:r>
          </w:p>
        </w:tc>
        <w:tc>
          <w:tcPr>
            <w:tcW w:w="6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By: /s/ Indraneel Dev</w:t>
            </w:r>
          </w:p>
        </w:tc>
        <w:tc>
          <w:tcPr>
            <w:tcW w:w="1100" w:type="dxa"/>
            <w:vAlign w:val="bottom"/>
          </w:tcPr>
          <w:p>
            <w:pPr>
              <w:spacing w:after="0"/>
              <w:rPr>
                <w:sz w:val="24"/>
                <w:szCs w:val="24"/>
                <w:color w:val="auto"/>
              </w:rPr>
            </w:pPr>
          </w:p>
        </w:tc>
      </w:tr>
      <w:tr>
        <w:trPr>
          <w:trHeight w:val="237"/>
        </w:trPr>
        <w:tc>
          <w:tcPr>
            <w:tcW w:w="2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460" w:type="dxa"/>
            <w:vAlign w:val="bottom"/>
          </w:tcPr>
          <w:p>
            <w:pPr>
              <w:spacing w:after="0"/>
              <w:rPr>
                <w:sz w:val="20"/>
                <w:szCs w:val="20"/>
                <w:color w:val="auto"/>
              </w:rPr>
            </w:pPr>
          </w:p>
        </w:tc>
        <w:tc>
          <w:tcPr>
            <w:tcW w:w="5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Indraneel Dev</w:t>
            </w:r>
          </w:p>
        </w:tc>
        <w:tc>
          <w:tcPr>
            <w:tcW w:w="1100" w:type="dxa"/>
            <w:vAlign w:val="bottom"/>
            <w:tcBorders>
              <w:top w:val="single" w:sz="8" w:color="auto"/>
            </w:tcBorders>
          </w:tcPr>
          <w:p>
            <w:pPr>
              <w:spacing w:after="0"/>
              <w:rPr>
                <w:sz w:val="20"/>
                <w:szCs w:val="20"/>
                <w:color w:val="auto"/>
              </w:rPr>
            </w:pPr>
          </w:p>
        </w:tc>
      </w:tr>
      <w:tr>
        <w:trPr>
          <w:trHeight w:val="243"/>
        </w:trPr>
        <w:tc>
          <w:tcPr>
            <w:tcW w:w="2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100" w:type="dxa"/>
            <w:vAlign w:val="bottom"/>
          </w:tcPr>
          <w:p>
            <w:pPr>
              <w:spacing w:after="0"/>
              <w:rPr>
                <w:sz w:val="21"/>
                <w:szCs w:val="21"/>
                <w:color w:val="auto"/>
              </w:rPr>
            </w:pPr>
          </w:p>
        </w:tc>
      </w:tr>
      <w:tr>
        <w:trPr>
          <w:trHeight w:val="243"/>
        </w:trPr>
        <w:tc>
          <w:tcPr>
            <w:tcW w:w="2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100" w:type="dxa"/>
            <w:vAlign w:val="bottom"/>
          </w:tcPr>
          <w:p>
            <w:pPr>
              <w:spacing w:after="0"/>
              <w:rPr>
                <w:sz w:val="21"/>
                <w:szCs w:val="21"/>
                <w:color w:val="auto"/>
              </w:rPr>
            </w:pPr>
          </w:p>
        </w:tc>
      </w:tr>
      <w:tr>
        <w:trPr>
          <w:trHeight w:val="594"/>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29, 2026</w:t>
            </w:r>
          </w:p>
        </w:tc>
        <w:tc>
          <w:tcPr>
            <w:tcW w:w="6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By: /s/ Matthew S. Kulasa</w:t>
            </w:r>
          </w:p>
        </w:tc>
        <w:tc>
          <w:tcPr>
            <w:tcW w:w="1100" w:type="dxa"/>
            <w:vAlign w:val="bottom"/>
          </w:tcPr>
          <w:p>
            <w:pPr>
              <w:spacing w:after="0"/>
              <w:rPr>
                <w:sz w:val="24"/>
                <w:szCs w:val="24"/>
                <w:color w:val="auto"/>
              </w:rPr>
            </w:pPr>
          </w:p>
        </w:tc>
      </w:tr>
      <w:tr>
        <w:trPr>
          <w:trHeight w:val="237"/>
        </w:trPr>
        <w:tc>
          <w:tcPr>
            <w:tcW w:w="2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460" w:type="dxa"/>
            <w:vAlign w:val="bottom"/>
          </w:tcPr>
          <w:p>
            <w:pPr>
              <w:spacing w:after="0"/>
              <w:rPr>
                <w:sz w:val="20"/>
                <w:szCs w:val="20"/>
                <w:color w:val="auto"/>
              </w:rPr>
            </w:pPr>
          </w:p>
        </w:tc>
        <w:tc>
          <w:tcPr>
            <w:tcW w:w="5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Matthew S. Kulasa</w:t>
            </w:r>
          </w:p>
        </w:tc>
        <w:tc>
          <w:tcPr>
            <w:tcW w:w="1100" w:type="dxa"/>
            <w:vAlign w:val="bottom"/>
            <w:tcBorders>
              <w:top w:val="single" w:sz="8" w:color="auto"/>
            </w:tcBorders>
          </w:tcPr>
          <w:p>
            <w:pPr>
              <w:spacing w:after="0"/>
              <w:rPr>
                <w:sz w:val="20"/>
                <w:szCs w:val="20"/>
                <w:color w:val="auto"/>
              </w:rPr>
            </w:pPr>
          </w:p>
        </w:tc>
      </w:tr>
      <w:tr>
        <w:trPr>
          <w:trHeight w:val="243"/>
        </w:trPr>
        <w:tc>
          <w:tcPr>
            <w:tcW w:w="2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Corporate Controller and Chief Accounting Officer</w:t>
            </w:r>
          </w:p>
        </w:tc>
        <w:tc>
          <w:tcPr>
            <w:tcW w:w="1100" w:type="dxa"/>
            <w:vAlign w:val="bottom"/>
          </w:tcPr>
          <w:p>
            <w:pPr>
              <w:spacing w:after="0"/>
              <w:rPr>
                <w:sz w:val="21"/>
                <w:szCs w:val="21"/>
                <w:color w:val="auto"/>
              </w:rPr>
            </w:pPr>
          </w:p>
        </w:tc>
      </w:tr>
      <w:tr>
        <w:trPr>
          <w:trHeight w:val="243"/>
        </w:trPr>
        <w:tc>
          <w:tcPr>
            <w:tcW w:w="2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1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1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 John J. Engel, certify that:</w:t>
      </w:r>
    </w:p>
    <w:p>
      <w:pPr>
        <w:spacing w:after="0" w:line="117" w:lineRule="exact"/>
        <w:rPr>
          <w:sz w:val="20"/>
          <w:szCs w:val="20"/>
          <w:color w:val="auto"/>
        </w:rPr>
      </w:pPr>
    </w:p>
    <w:p>
      <w:pPr>
        <w:ind w:left="400" w:hanging="187"/>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WESCO International, Inc.;</w:t>
      </w:r>
    </w:p>
    <w:p>
      <w:pPr>
        <w:spacing w:after="0" w:line="117" w:lineRule="exact"/>
        <w:rPr>
          <w:rFonts w:ascii="Times New Roman" w:cs="Times New Roman" w:eastAsia="Times New Roman" w:hAnsi="Times New Roman"/>
          <w:sz w:val="18"/>
          <w:szCs w:val="18"/>
          <w:color w:val="auto"/>
        </w:rPr>
      </w:pPr>
    </w:p>
    <w:p>
      <w:pPr>
        <w:ind w:left="-20" w:right="240" w:firstLine="233"/>
        <w:spacing w:after="0" w:line="282" w:lineRule="auto"/>
        <w:tabs>
          <w:tab w:leader="none" w:pos="3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left="-20" w:right="300" w:firstLine="233"/>
        <w:spacing w:after="0" w:line="282" w:lineRule="auto"/>
        <w:tabs>
          <w:tab w:leader="none" w:pos="3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20" w:right="60" w:firstLine="233"/>
        <w:spacing w:after="0" w:line="266" w:lineRule="auto"/>
        <w:tabs>
          <w:tab w:leader="none" w:pos="38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20" w:right="20" w:firstLine="233"/>
        <w:spacing w:after="0" w:line="266" w:lineRule="auto"/>
        <w:tabs>
          <w:tab w:leader="none" w:pos="45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0" w:firstLine="233"/>
        <w:spacing w:after="0" w:line="266"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20" w:right="80" w:firstLine="233"/>
        <w:spacing w:after="0" w:line="282" w:lineRule="auto"/>
        <w:tabs>
          <w:tab w:leader="none" w:pos="45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20" w:right="120" w:firstLine="233"/>
        <w:spacing w:after="0" w:line="266"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20" w:right="60" w:firstLine="233"/>
        <w:spacing w:after="0" w:line="282" w:lineRule="auto"/>
        <w:tabs>
          <w:tab w:leader="none" w:pos="38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20" w:firstLine="233"/>
        <w:spacing w:after="0" w:line="282" w:lineRule="auto"/>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20" w:right="40" w:firstLine="233"/>
        <w:spacing w:after="0" w:line="282" w:lineRule="auto"/>
        <w:tabs>
          <w:tab w:leader="none" w:pos="4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76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By:  /s/ John J. Engel</w:t>
            </w:r>
          </w:p>
        </w:tc>
      </w:tr>
      <w:tr>
        <w:trPr>
          <w:trHeight w:val="218"/>
        </w:trPr>
        <w:tc>
          <w:tcPr>
            <w:tcW w:w="2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J. Engel</w:t>
            </w:r>
          </w:p>
        </w:tc>
      </w:tr>
      <w:tr>
        <w:trPr>
          <w:trHeight w:val="234"/>
        </w:trPr>
        <w:tc>
          <w:tcPr>
            <w:tcW w:w="2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ectPr>
          <w:pgSz w:w="11900" w:h="16838" w:orient="portrait"/>
          <w:cols w:equalWidth="0" w:num="1">
            <w:col w:w="11200"/>
          </w:cols>
          <w:pgMar w:left="340" w:top="887" w:right="35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 Indraneel Dev, certify that:</w:t>
      </w:r>
    </w:p>
    <w:p>
      <w:pPr>
        <w:spacing w:after="0" w:line="117" w:lineRule="exact"/>
        <w:rPr>
          <w:sz w:val="20"/>
          <w:szCs w:val="20"/>
          <w:color w:val="auto"/>
        </w:rPr>
      </w:pPr>
    </w:p>
    <w:p>
      <w:pPr>
        <w:ind w:left="400" w:hanging="187"/>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WESCO International, Inc.;</w:t>
      </w:r>
    </w:p>
    <w:p>
      <w:pPr>
        <w:spacing w:after="0" w:line="117" w:lineRule="exact"/>
        <w:rPr>
          <w:rFonts w:ascii="Times New Roman" w:cs="Times New Roman" w:eastAsia="Times New Roman" w:hAnsi="Times New Roman"/>
          <w:sz w:val="18"/>
          <w:szCs w:val="18"/>
          <w:color w:val="auto"/>
        </w:rPr>
      </w:pPr>
    </w:p>
    <w:p>
      <w:pPr>
        <w:ind w:left="-20" w:right="240" w:firstLine="233"/>
        <w:spacing w:after="0" w:line="282" w:lineRule="auto"/>
        <w:tabs>
          <w:tab w:leader="none" w:pos="3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left="-20" w:right="300" w:firstLine="233"/>
        <w:spacing w:after="0" w:line="282" w:lineRule="auto"/>
        <w:tabs>
          <w:tab w:leader="none" w:pos="3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20" w:right="60" w:firstLine="233"/>
        <w:spacing w:after="0" w:line="266" w:lineRule="auto"/>
        <w:tabs>
          <w:tab w:leader="none" w:pos="38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20" w:right="20" w:firstLine="233"/>
        <w:spacing w:after="0" w:line="266" w:lineRule="auto"/>
        <w:tabs>
          <w:tab w:leader="none" w:pos="4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0" w:firstLine="233"/>
        <w:spacing w:after="0" w:line="266"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20" w:right="80" w:firstLine="233"/>
        <w:spacing w:after="0" w:line="282" w:lineRule="auto"/>
        <w:tabs>
          <w:tab w:leader="none" w:pos="4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20" w:right="120" w:firstLine="233"/>
        <w:spacing w:after="0" w:line="266"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20" w:right="60" w:firstLine="233"/>
        <w:spacing w:after="0" w:line="282" w:lineRule="auto"/>
        <w:tabs>
          <w:tab w:leader="none" w:pos="3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20" w:firstLine="233"/>
        <w:spacing w:after="0" w:line="282"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20" w:right="40" w:firstLine="233"/>
        <w:spacing w:after="0" w:line="282" w:lineRule="auto"/>
        <w:tabs>
          <w:tab w:leader="none" w:pos="45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76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By:  /s/ Indraneel Dev</w:t>
            </w:r>
          </w:p>
        </w:tc>
      </w:tr>
      <w:tr>
        <w:trPr>
          <w:trHeight w:val="218"/>
        </w:trPr>
        <w:tc>
          <w:tcPr>
            <w:tcW w:w="2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Indraneel Dev</w:t>
            </w:r>
          </w:p>
        </w:tc>
      </w:tr>
      <w:tr>
        <w:trPr>
          <w:trHeight w:val="234"/>
        </w:trPr>
        <w:tc>
          <w:tcPr>
            <w:tcW w:w="2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00"/>
          </w:cols>
          <w:pgMar w:left="340" w:top="887" w:right="359" w:bottom="1440" w:gutter="0" w:footer="0" w:header="0"/>
        </w:sectPr>
      </w:pPr>
    </w:p>
    <w:bookmarkStart w:id="53" w:name="page54"/>
    <w:bookmarkEnd w:id="53"/>
    <w:p>
      <w:pPr>
        <w:ind w:left="51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WESCO International, Inc. (the “Company”) on Form 10-Q for the period ended September 30, 2026,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w:t>
      </w:r>
    </w:p>
    <w:p>
      <w:pPr>
        <w:spacing w:after="0" w:line="68"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 of the Company.</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76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By:  /s/ John J. Engel</w:t>
            </w:r>
          </w:p>
        </w:tc>
      </w:tr>
      <w:tr>
        <w:trPr>
          <w:trHeight w:val="218"/>
        </w:trPr>
        <w:tc>
          <w:tcPr>
            <w:tcW w:w="2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J. Engel</w:t>
            </w:r>
          </w:p>
        </w:tc>
      </w:tr>
      <w:tr>
        <w:trPr>
          <w:trHeight w:val="234"/>
        </w:trPr>
        <w:tc>
          <w:tcPr>
            <w:tcW w:w="2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ectPr>
          <w:pgSz w:w="11900" w:h="16838" w:orient="portrait"/>
          <w:cols w:equalWidth="0" w:num="1">
            <w:col w:w="11060"/>
          </w:cols>
          <w:pgMar w:left="320" w:top="887" w:right="519" w:bottom="1440" w:gutter="0" w:footer="0" w:header="0"/>
        </w:sectPr>
      </w:pPr>
    </w:p>
    <w:bookmarkStart w:id="54" w:name="page55"/>
    <w:bookmarkEnd w:id="54"/>
    <w:p>
      <w:pPr>
        <w:ind w:left="51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WESCO International, Inc. (the “Company”) on Form 10-Q for the period ended September 30, 2026,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w:t>
      </w:r>
    </w:p>
    <w:p>
      <w:pPr>
        <w:spacing w:after="0" w:line="68"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 of the Company.</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76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By:  /s/ Indraneel Dev</w:t>
            </w:r>
          </w:p>
        </w:tc>
      </w:tr>
      <w:tr>
        <w:trPr>
          <w:trHeight w:val="218"/>
        </w:trPr>
        <w:tc>
          <w:tcPr>
            <w:tcW w:w="2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Indraneel Dev</w:t>
            </w:r>
          </w:p>
        </w:tc>
      </w:tr>
      <w:tr>
        <w:trPr>
          <w:trHeight w:val="234"/>
        </w:trPr>
        <w:tc>
          <w:tcPr>
            <w:tcW w:w="2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060"/>
      </w:cols>
      <w:pgMar w:left="320" w:top="88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decimal"/>
      <w:start w:val="104"/>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5"/>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7" Type="http://schemas.openxmlformats.org/officeDocument/2006/relationships/image" Target="media/image68.png"/><Relationship Id="rId75" Type="http://schemas.openxmlformats.org/officeDocument/2006/relationships/hyperlink" Target="https://www.sec.gov/Archives/edgar/data/929008/000119312526396005/d163628dex101.htm" TargetMode="External"/><Relationship Id="rId76" Type="http://schemas.openxmlformats.org/officeDocument/2006/relationships/hyperlink" Target="https://www.sec.gov/Archives/edgar/data/929008/000119312526396005/d16362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2026-10-29T16:36:03Z</dcterms:created>
  <dcterms:modified xsi:type="dcterms:W3CDTF">2026-10-29T16:36:03Z</dcterms:modified>
</cp:coreProperties>
</file>